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AF1FC8" w:rsidRPr="00F524A6" w14:paraId="225BABF3" w14:textId="77777777" w:rsidTr="00F52168">
        <w:trPr>
          <w:trHeight w:hRule="exact" w:val="418"/>
          <w:jc w:val="center"/>
        </w:trPr>
        <w:tc>
          <w:tcPr>
            <w:tcW w:w="8721" w:type="dxa"/>
            <w:gridSpan w:val="2"/>
          </w:tcPr>
          <w:p w14:paraId="34B86DDE" w14:textId="77777777" w:rsidR="00AF1FC8" w:rsidRPr="00F524A6" w:rsidRDefault="00AF1FC8" w:rsidP="00E72CDA">
            <w:pPr>
              <w:pStyle w:val="a3"/>
              <w:jc w:val="center"/>
              <w:rPr>
                <w:rFonts w:ascii="Tahoma" w:hAnsi="Tahoma" w:cs="Tahoma"/>
                <w:color w:val="000080"/>
                <w:rtl/>
              </w:rPr>
            </w:pPr>
            <w:r w:rsidRPr="00F524A6">
              <w:rPr>
                <w:rFonts w:ascii="Tahoma" w:hAnsi="Tahoma" w:cs="Tahoma"/>
                <w:b/>
                <w:bCs/>
                <w:color w:val="000080"/>
                <w:rtl/>
              </w:rPr>
              <w:t>בית המשפט המחוזי בחיפה</w:t>
            </w:r>
          </w:p>
        </w:tc>
      </w:tr>
      <w:tr w:rsidR="00AF1FC8" w:rsidRPr="00F524A6" w14:paraId="457039D1" w14:textId="77777777" w:rsidTr="00F52168">
        <w:trPr>
          <w:trHeight w:val="337"/>
          <w:jc w:val="center"/>
        </w:trPr>
        <w:tc>
          <w:tcPr>
            <w:tcW w:w="5059" w:type="dxa"/>
          </w:tcPr>
          <w:p w14:paraId="31E05C00" w14:textId="77777777" w:rsidR="00AF1FC8" w:rsidRPr="00F524A6" w:rsidRDefault="00AF1FC8" w:rsidP="00E72CDA">
            <w:pPr>
              <w:rPr>
                <w:rFonts w:cs="FrankRuehl"/>
                <w:sz w:val="28"/>
                <w:szCs w:val="28"/>
                <w:rtl/>
              </w:rPr>
            </w:pPr>
            <w:r w:rsidRPr="00F524A6">
              <w:rPr>
                <w:b/>
                <w:bCs/>
                <w:sz w:val="26"/>
                <w:szCs w:val="26"/>
                <w:rtl/>
              </w:rPr>
              <w:t>ת"פ</w:t>
            </w:r>
            <w:r w:rsidRPr="00F524A6">
              <w:rPr>
                <w:rFonts w:cs="FrankRuehl" w:hint="cs"/>
                <w:sz w:val="28"/>
                <w:szCs w:val="28"/>
                <w:rtl/>
              </w:rPr>
              <w:t xml:space="preserve"> </w:t>
            </w:r>
            <w:r w:rsidRPr="00F524A6">
              <w:rPr>
                <w:b/>
                <w:bCs/>
                <w:sz w:val="26"/>
                <w:szCs w:val="26"/>
                <w:rtl/>
              </w:rPr>
              <w:t>23416-08-24</w:t>
            </w:r>
            <w:r w:rsidRPr="00F524A6">
              <w:rPr>
                <w:rFonts w:cs="FrankRuehl" w:hint="cs"/>
                <w:sz w:val="28"/>
                <w:szCs w:val="28"/>
                <w:rtl/>
              </w:rPr>
              <w:t xml:space="preserve"> </w:t>
            </w:r>
            <w:r w:rsidRPr="00F524A6">
              <w:rPr>
                <w:b/>
                <w:bCs/>
                <w:sz w:val="26"/>
                <w:szCs w:val="26"/>
                <w:rtl/>
              </w:rPr>
              <w:t>מדינת ישראל נ' גנאים(עציר)</w:t>
            </w:r>
          </w:p>
        </w:tc>
        <w:tc>
          <w:tcPr>
            <w:tcW w:w="3662" w:type="dxa"/>
          </w:tcPr>
          <w:p w14:paraId="073633DC" w14:textId="77777777" w:rsidR="00AF1FC8" w:rsidRPr="00F524A6" w:rsidRDefault="00AF1FC8" w:rsidP="00E72CDA">
            <w:pPr>
              <w:pStyle w:val="a3"/>
              <w:jc w:val="right"/>
              <w:rPr>
                <w:rFonts w:cs="FrankRuehl"/>
                <w:sz w:val="28"/>
                <w:szCs w:val="28"/>
                <w:rtl/>
              </w:rPr>
            </w:pPr>
          </w:p>
        </w:tc>
      </w:tr>
    </w:tbl>
    <w:p w14:paraId="7D66D7EB" w14:textId="77777777" w:rsidR="00AF1FC8" w:rsidRPr="00F524A6" w:rsidRDefault="00AF1FC8" w:rsidP="00F52168">
      <w:pPr>
        <w:pStyle w:val="a3"/>
      </w:pPr>
      <w:r w:rsidRPr="00F524A6">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AF1FC8" w:rsidRPr="00F524A6" w14:paraId="1527C794" w14:textId="77777777" w:rsidTr="00AF1FC8">
        <w:trPr>
          <w:trHeight w:val="295"/>
          <w:jc w:val="center"/>
        </w:trPr>
        <w:tc>
          <w:tcPr>
            <w:tcW w:w="923" w:type="dxa"/>
            <w:tcBorders>
              <w:top w:val="nil"/>
              <w:left w:val="nil"/>
              <w:bottom w:val="nil"/>
              <w:right w:val="nil"/>
            </w:tcBorders>
            <w:shd w:val="clear" w:color="auto" w:fill="auto"/>
          </w:tcPr>
          <w:p w14:paraId="6D766022" w14:textId="77777777" w:rsidR="00AF1FC8" w:rsidRPr="00F524A6" w:rsidRDefault="00AF1FC8" w:rsidP="00AF1FC8">
            <w:pPr>
              <w:jc w:val="both"/>
              <w:rPr>
                <w:rFonts w:ascii="Arial" w:hAnsi="Arial" w:cs="FrankRuehl"/>
                <w:sz w:val="28"/>
                <w:szCs w:val="28"/>
              </w:rPr>
            </w:pPr>
            <w:r w:rsidRPr="00F524A6">
              <w:rPr>
                <w:rFonts w:ascii="David" w:hAnsi="David"/>
                <w:b/>
                <w:bCs/>
                <w:sz w:val="26"/>
                <w:szCs w:val="26"/>
                <w:rtl/>
              </w:rPr>
              <w:t>לפני</w:t>
            </w:r>
          </w:p>
        </w:tc>
        <w:tc>
          <w:tcPr>
            <w:tcW w:w="7897" w:type="dxa"/>
            <w:gridSpan w:val="2"/>
            <w:tcBorders>
              <w:top w:val="nil"/>
              <w:left w:val="nil"/>
              <w:bottom w:val="nil"/>
              <w:right w:val="nil"/>
            </w:tcBorders>
            <w:shd w:val="clear" w:color="auto" w:fill="auto"/>
          </w:tcPr>
          <w:p w14:paraId="7152EBAA" w14:textId="77777777" w:rsidR="00AF1FC8" w:rsidRPr="00F524A6" w:rsidRDefault="00AF1FC8" w:rsidP="00AF1FC8">
            <w:pPr>
              <w:jc w:val="both"/>
              <w:rPr>
                <w:rFonts w:ascii="Arial" w:hAnsi="Arial" w:cs="FrankRuehl"/>
                <w:sz w:val="26"/>
                <w:szCs w:val="26"/>
              </w:rPr>
            </w:pPr>
            <w:r w:rsidRPr="00F524A6">
              <w:rPr>
                <w:rFonts w:ascii="David" w:hAnsi="David"/>
                <w:b/>
                <w:bCs/>
                <w:sz w:val="26"/>
                <w:szCs w:val="26"/>
                <w:rtl/>
              </w:rPr>
              <w:t>כב' הנשיא, השופט אבי לוי</w:t>
            </w:r>
          </w:p>
        </w:tc>
      </w:tr>
      <w:tr w:rsidR="00AF1FC8" w:rsidRPr="00F524A6" w14:paraId="19708C22" w14:textId="77777777" w:rsidTr="00AF1FC8">
        <w:trPr>
          <w:trHeight w:val="355"/>
          <w:jc w:val="center"/>
        </w:trPr>
        <w:tc>
          <w:tcPr>
            <w:tcW w:w="923" w:type="dxa"/>
            <w:tcBorders>
              <w:top w:val="nil"/>
              <w:left w:val="nil"/>
              <w:bottom w:val="nil"/>
              <w:right w:val="nil"/>
            </w:tcBorders>
            <w:shd w:val="clear" w:color="auto" w:fill="auto"/>
          </w:tcPr>
          <w:p w14:paraId="3220451E" w14:textId="77777777" w:rsidR="00AF1FC8" w:rsidRPr="00F524A6" w:rsidRDefault="00AF1FC8" w:rsidP="00AF1FC8">
            <w:pPr>
              <w:jc w:val="both"/>
              <w:rPr>
                <w:rFonts w:ascii="David" w:hAnsi="David"/>
                <w:b/>
                <w:bCs/>
                <w:sz w:val="26"/>
                <w:szCs w:val="26"/>
              </w:rPr>
            </w:pPr>
            <w:bookmarkStart w:id="0" w:name="FirstAppellant"/>
            <w:bookmarkStart w:id="1" w:name="LastJudge"/>
            <w:bookmarkEnd w:id="1"/>
            <w:r w:rsidRPr="00F524A6">
              <w:rPr>
                <w:rFonts w:ascii="David" w:hAnsi="David" w:hint="cs"/>
                <w:b/>
                <w:bCs/>
                <w:sz w:val="26"/>
                <w:szCs w:val="26"/>
                <w:rtl/>
              </w:rPr>
              <w:t>בעניין:</w:t>
            </w:r>
          </w:p>
        </w:tc>
        <w:tc>
          <w:tcPr>
            <w:tcW w:w="4126" w:type="dxa"/>
            <w:tcBorders>
              <w:top w:val="nil"/>
              <w:left w:val="nil"/>
              <w:bottom w:val="nil"/>
              <w:right w:val="nil"/>
            </w:tcBorders>
            <w:shd w:val="clear" w:color="auto" w:fill="auto"/>
          </w:tcPr>
          <w:p w14:paraId="1B086D43" w14:textId="77777777" w:rsidR="00AF1FC8" w:rsidRPr="00F524A6" w:rsidRDefault="00AF1FC8" w:rsidP="00E72CDA">
            <w:pPr>
              <w:rPr>
                <w:rFonts w:ascii="David" w:hAnsi="David"/>
                <w:b/>
                <w:bCs/>
                <w:sz w:val="26"/>
                <w:szCs w:val="26"/>
              </w:rPr>
            </w:pPr>
            <w:r w:rsidRPr="00F524A6">
              <w:rPr>
                <w:rFonts w:ascii="David" w:hAnsi="David" w:hint="cs"/>
                <w:b/>
                <w:bCs/>
                <w:sz w:val="26"/>
                <w:szCs w:val="26"/>
                <w:rtl/>
              </w:rPr>
              <w:t>המאשימה</w:t>
            </w:r>
          </w:p>
        </w:tc>
        <w:tc>
          <w:tcPr>
            <w:tcW w:w="3771" w:type="dxa"/>
            <w:tcBorders>
              <w:top w:val="nil"/>
              <w:left w:val="nil"/>
              <w:bottom w:val="nil"/>
              <w:right w:val="nil"/>
            </w:tcBorders>
            <w:shd w:val="clear" w:color="auto" w:fill="auto"/>
          </w:tcPr>
          <w:p w14:paraId="2D546341" w14:textId="77777777" w:rsidR="00AF1FC8" w:rsidRPr="00F524A6" w:rsidRDefault="00AF1FC8" w:rsidP="00AF1FC8">
            <w:pPr>
              <w:jc w:val="both"/>
              <w:rPr>
                <w:rFonts w:ascii="David" w:hAnsi="David"/>
                <w:b/>
                <w:bCs/>
                <w:sz w:val="26"/>
                <w:szCs w:val="26"/>
              </w:rPr>
            </w:pPr>
            <w:r w:rsidRPr="00F524A6">
              <w:rPr>
                <w:rFonts w:ascii="David" w:hAnsi="David" w:hint="cs"/>
                <w:b/>
                <w:bCs/>
                <w:sz w:val="26"/>
                <w:szCs w:val="26"/>
                <w:rtl/>
              </w:rPr>
              <w:t xml:space="preserve">מדינת ישראל </w:t>
            </w:r>
          </w:p>
        </w:tc>
      </w:tr>
      <w:bookmarkEnd w:id="0"/>
      <w:tr w:rsidR="00AF1FC8" w:rsidRPr="00F524A6" w14:paraId="15A2EC4C" w14:textId="77777777" w:rsidTr="00AF1FC8">
        <w:trPr>
          <w:trHeight w:val="355"/>
          <w:jc w:val="center"/>
        </w:trPr>
        <w:tc>
          <w:tcPr>
            <w:tcW w:w="923" w:type="dxa"/>
            <w:tcBorders>
              <w:top w:val="nil"/>
              <w:left w:val="nil"/>
              <w:bottom w:val="nil"/>
              <w:right w:val="nil"/>
            </w:tcBorders>
            <w:shd w:val="clear" w:color="auto" w:fill="auto"/>
          </w:tcPr>
          <w:p w14:paraId="0DBCADD3" w14:textId="77777777" w:rsidR="00AF1FC8" w:rsidRPr="00F524A6" w:rsidRDefault="00AF1FC8" w:rsidP="00AF1FC8">
            <w:pPr>
              <w:jc w:val="both"/>
              <w:rPr>
                <w:rFonts w:ascii="David" w:hAnsi="David"/>
                <w:b/>
                <w:bCs/>
                <w:sz w:val="26"/>
                <w:szCs w:val="26"/>
                <w:rtl/>
              </w:rPr>
            </w:pPr>
          </w:p>
        </w:tc>
        <w:tc>
          <w:tcPr>
            <w:tcW w:w="7897" w:type="dxa"/>
            <w:gridSpan w:val="2"/>
            <w:tcBorders>
              <w:top w:val="nil"/>
              <w:left w:val="nil"/>
              <w:bottom w:val="nil"/>
              <w:right w:val="nil"/>
            </w:tcBorders>
            <w:shd w:val="clear" w:color="auto" w:fill="auto"/>
          </w:tcPr>
          <w:p w14:paraId="1A653758" w14:textId="77777777" w:rsidR="00AF1FC8" w:rsidRPr="00F524A6" w:rsidRDefault="00AF1FC8" w:rsidP="00AF1FC8">
            <w:pPr>
              <w:jc w:val="center"/>
              <w:rPr>
                <w:rFonts w:ascii="David" w:hAnsi="David"/>
                <w:b/>
                <w:bCs/>
                <w:sz w:val="26"/>
                <w:szCs w:val="26"/>
                <w:rtl/>
              </w:rPr>
            </w:pPr>
          </w:p>
          <w:p w14:paraId="3808ED95" w14:textId="77777777" w:rsidR="00AF1FC8" w:rsidRPr="00F524A6" w:rsidRDefault="00AF1FC8" w:rsidP="00AF1FC8">
            <w:pPr>
              <w:jc w:val="center"/>
              <w:rPr>
                <w:rFonts w:ascii="David" w:hAnsi="David"/>
                <w:b/>
                <w:bCs/>
                <w:sz w:val="26"/>
                <w:szCs w:val="26"/>
                <w:rtl/>
              </w:rPr>
            </w:pPr>
            <w:r w:rsidRPr="00F524A6">
              <w:rPr>
                <w:rFonts w:ascii="David" w:hAnsi="David"/>
                <w:b/>
                <w:bCs/>
                <w:sz w:val="26"/>
                <w:szCs w:val="26"/>
                <w:rtl/>
              </w:rPr>
              <w:t>נגד</w:t>
            </w:r>
          </w:p>
          <w:p w14:paraId="498F32F6" w14:textId="77777777" w:rsidR="00AF1FC8" w:rsidRPr="00F524A6" w:rsidRDefault="00AF1FC8" w:rsidP="00AF1FC8">
            <w:pPr>
              <w:jc w:val="both"/>
              <w:rPr>
                <w:rFonts w:ascii="David" w:hAnsi="David"/>
                <w:b/>
                <w:bCs/>
                <w:sz w:val="26"/>
                <w:szCs w:val="26"/>
              </w:rPr>
            </w:pPr>
          </w:p>
        </w:tc>
      </w:tr>
      <w:tr w:rsidR="00AF1FC8" w:rsidRPr="00F524A6" w14:paraId="61070094" w14:textId="77777777" w:rsidTr="00AF1FC8">
        <w:trPr>
          <w:trHeight w:val="355"/>
          <w:jc w:val="center"/>
        </w:trPr>
        <w:tc>
          <w:tcPr>
            <w:tcW w:w="923" w:type="dxa"/>
            <w:tcBorders>
              <w:top w:val="nil"/>
              <w:left w:val="nil"/>
              <w:bottom w:val="nil"/>
              <w:right w:val="nil"/>
            </w:tcBorders>
            <w:shd w:val="clear" w:color="auto" w:fill="auto"/>
          </w:tcPr>
          <w:p w14:paraId="264FECCA" w14:textId="77777777" w:rsidR="00AF1FC8" w:rsidRPr="00F524A6" w:rsidRDefault="00AF1FC8" w:rsidP="00AF1FC8">
            <w:pPr>
              <w:jc w:val="both"/>
              <w:rPr>
                <w:rFonts w:ascii="David" w:hAnsi="David"/>
                <w:b/>
                <w:bCs/>
                <w:sz w:val="26"/>
                <w:szCs w:val="26"/>
                <w:rtl/>
              </w:rPr>
            </w:pPr>
          </w:p>
        </w:tc>
        <w:tc>
          <w:tcPr>
            <w:tcW w:w="4126" w:type="dxa"/>
            <w:tcBorders>
              <w:top w:val="nil"/>
              <w:left w:val="nil"/>
              <w:bottom w:val="nil"/>
              <w:right w:val="nil"/>
            </w:tcBorders>
            <w:shd w:val="clear" w:color="auto" w:fill="auto"/>
          </w:tcPr>
          <w:p w14:paraId="633BB84E" w14:textId="77777777" w:rsidR="00AF1FC8" w:rsidRPr="00F524A6" w:rsidRDefault="00AF1FC8" w:rsidP="00AF1FC8">
            <w:pPr>
              <w:jc w:val="both"/>
              <w:rPr>
                <w:rFonts w:ascii="David" w:hAnsi="David"/>
                <w:b/>
                <w:bCs/>
                <w:sz w:val="26"/>
                <w:szCs w:val="26"/>
                <w:rtl/>
              </w:rPr>
            </w:pPr>
            <w:r w:rsidRPr="00F524A6">
              <w:rPr>
                <w:rFonts w:ascii="David" w:hAnsi="David" w:hint="cs"/>
                <w:b/>
                <w:bCs/>
                <w:sz w:val="26"/>
                <w:szCs w:val="26"/>
                <w:rtl/>
              </w:rPr>
              <w:t xml:space="preserve">הנאשם </w:t>
            </w:r>
          </w:p>
        </w:tc>
        <w:tc>
          <w:tcPr>
            <w:tcW w:w="3771" w:type="dxa"/>
            <w:tcBorders>
              <w:top w:val="nil"/>
              <w:left w:val="nil"/>
              <w:bottom w:val="nil"/>
              <w:right w:val="nil"/>
            </w:tcBorders>
            <w:shd w:val="clear" w:color="auto" w:fill="auto"/>
          </w:tcPr>
          <w:p w14:paraId="051A67A6" w14:textId="77777777" w:rsidR="00AF1FC8" w:rsidRPr="00F524A6" w:rsidRDefault="00AF1FC8" w:rsidP="00AF1FC8">
            <w:pPr>
              <w:jc w:val="both"/>
              <w:rPr>
                <w:rFonts w:ascii="David" w:hAnsi="David"/>
                <w:b/>
                <w:bCs/>
                <w:sz w:val="26"/>
                <w:szCs w:val="26"/>
              </w:rPr>
            </w:pPr>
            <w:r w:rsidRPr="00F524A6">
              <w:rPr>
                <w:rFonts w:ascii="David" w:hAnsi="David"/>
                <w:b/>
                <w:bCs/>
                <w:sz w:val="26"/>
                <w:szCs w:val="26"/>
                <w:rtl/>
              </w:rPr>
              <w:t>מועתז גנאים (עציר)</w:t>
            </w:r>
          </w:p>
        </w:tc>
      </w:tr>
    </w:tbl>
    <w:p w14:paraId="64AE0D39" w14:textId="77777777" w:rsidR="00F524A6" w:rsidRPr="00F524A6" w:rsidRDefault="00F524A6" w:rsidP="00F524A6">
      <w:pPr>
        <w:rPr>
          <w:rtl/>
        </w:rPr>
      </w:pPr>
    </w:p>
    <w:p w14:paraId="043E2D49" w14:textId="77777777" w:rsidR="00F52168" w:rsidRPr="00F52168" w:rsidRDefault="00F52168" w:rsidP="00F52168">
      <w:pPr>
        <w:spacing w:before="120" w:after="120" w:line="240" w:lineRule="exact"/>
        <w:ind w:left="283" w:hanging="283"/>
        <w:jc w:val="both"/>
        <w:rPr>
          <w:rFonts w:ascii="FrankRuehl" w:hAnsi="FrankRuehl" w:cs="FrankRuehl"/>
          <w:rtl/>
        </w:rPr>
      </w:pPr>
      <w:bookmarkStart w:id="2" w:name="LawTable"/>
      <w:bookmarkEnd w:id="2"/>
    </w:p>
    <w:p w14:paraId="605BFA5F" w14:textId="77777777" w:rsidR="00F52168" w:rsidRPr="00F52168" w:rsidRDefault="00F52168" w:rsidP="00F52168">
      <w:pPr>
        <w:spacing w:before="120" w:after="120" w:line="240" w:lineRule="exact"/>
        <w:ind w:left="283" w:hanging="283"/>
        <w:jc w:val="both"/>
        <w:rPr>
          <w:rFonts w:ascii="FrankRuehl" w:hAnsi="FrankRuehl" w:cs="FrankRuehl"/>
          <w:rtl/>
        </w:rPr>
      </w:pPr>
      <w:r w:rsidRPr="00F52168">
        <w:rPr>
          <w:rFonts w:ascii="FrankRuehl" w:hAnsi="FrankRuehl" w:cs="FrankRuehl"/>
          <w:rtl/>
        </w:rPr>
        <w:t xml:space="preserve">חקיקה שאוזכרה: </w:t>
      </w:r>
    </w:p>
    <w:p w14:paraId="43A0F8D6" w14:textId="77777777" w:rsidR="00F52168" w:rsidRPr="00F52168" w:rsidRDefault="00F52168" w:rsidP="00F52168">
      <w:pPr>
        <w:spacing w:before="120" w:after="120" w:line="240" w:lineRule="exact"/>
        <w:ind w:left="283" w:hanging="283"/>
        <w:jc w:val="both"/>
        <w:rPr>
          <w:rFonts w:ascii="FrankRuehl" w:hAnsi="FrankRuehl" w:cs="FrankRuehl"/>
          <w:color w:val="0000FF"/>
          <w:rtl/>
        </w:rPr>
      </w:pPr>
      <w:hyperlink r:id="rId7" w:history="1">
        <w:r w:rsidRPr="00F52168">
          <w:rPr>
            <w:rStyle w:val="Hyperlink"/>
            <w:rFonts w:ascii="FrankRuehl" w:hAnsi="FrankRuehl" w:cs="FrankRuehl"/>
            <w:u w:val="none"/>
            <w:rtl/>
          </w:rPr>
          <w:t>חוק העונשין, תשל"ז-1977</w:t>
        </w:r>
      </w:hyperlink>
      <w:r w:rsidRPr="00F52168">
        <w:rPr>
          <w:rFonts w:ascii="FrankRuehl" w:hAnsi="FrankRuehl" w:cs="FrankRuehl"/>
          <w:color w:val="0000FF"/>
          <w:rtl/>
        </w:rPr>
        <w:t xml:space="preserve">: סע'  </w:t>
      </w:r>
      <w:hyperlink r:id="rId8" w:history="1">
        <w:r w:rsidRPr="00F52168">
          <w:rPr>
            <w:rStyle w:val="Hyperlink"/>
            <w:rFonts w:ascii="FrankRuehl" w:hAnsi="FrankRuehl" w:cs="FrankRuehl"/>
            <w:u w:val="none"/>
          </w:rPr>
          <w:t>25</w:t>
        </w:r>
      </w:hyperlink>
      <w:r w:rsidRPr="00F52168">
        <w:rPr>
          <w:rFonts w:ascii="FrankRuehl" w:hAnsi="FrankRuehl" w:cs="FrankRuehl"/>
          <w:color w:val="0000FF"/>
          <w:rtl/>
        </w:rPr>
        <w:t xml:space="preserve">, </w:t>
      </w:r>
      <w:hyperlink r:id="rId9" w:history="1">
        <w:r w:rsidRPr="00F52168">
          <w:rPr>
            <w:rStyle w:val="Hyperlink"/>
            <w:rFonts w:ascii="FrankRuehl" w:hAnsi="FrankRuehl" w:cs="FrankRuehl"/>
            <w:u w:val="none"/>
          </w:rPr>
          <w:t>29</w:t>
        </w:r>
      </w:hyperlink>
      <w:r w:rsidRPr="00F52168">
        <w:rPr>
          <w:rFonts w:ascii="FrankRuehl" w:hAnsi="FrankRuehl" w:cs="FrankRuehl"/>
          <w:color w:val="0000FF"/>
          <w:rtl/>
        </w:rPr>
        <w:t xml:space="preserve">, </w:t>
      </w:r>
      <w:hyperlink r:id="rId10" w:history="1">
        <w:r w:rsidRPr="00F52168">
          <w:rPr>
            <w:rStyle w:val="Hyperlink"/>
            <w:rFonts w:ascii="FrankRuehl" w:hAnsi="FrankRuehl" w:cs="FrankRuehl"/>
            <w:u w:val="none"/>
          </w:rPr>
          <w:t>32</w:t>
        </w:r>
      </w:hyperlink>
      <w:r w:rsidRPr="00F52168">
        <w:rPr>
          <w:rFonts w:ascii="FrankRuehl" w:hAnsi="FrankRuehl" w:cs="FrankRuehl"/>
          <w:color w:val="0000FF"/>
          <w:rtl/>
        </w:rPr>
        <w:t xml:space="preserve">, </w:t>
      </w:r>
      <w:hyperlink r:id="rId11" w:history="1">
        <w:r w:rsidRPr="00F52168">
          <w:rPr>
            <w:rStyle w:val="Hyperlink"/>
            <w:rFonts w:ascii="FrankRuehl" w:hAnsi="FrankRuehl" w:cs="FrankRuehl"/>
            <w:u w:val="none"/>
          </w:rPr>
          <w:t>5</w:t>
        </w:r>
      </w:hyperlink>
      <w:r w:rsidRPr="00F52168">
        <w:rPr>
          <w:rFonts w:ascii="FrankRuehl" w:hAnsi="FrankRuehl" w:cs="FrankRuehl"/>
          <w:color w:val="0000FF"/>
          <w:rtl/>
        </w:rPr>
        <w:t xml:space="preserve">, </w:t>
      </w:r>
      <w:hyperlink r:id="rId12" w:history="1">
        <w:r w:rsidRPr="00F52168">
          <w:rPr>
            <w:rStyle w:val="Hyperlink"/>
            <w:rFonts w:ascii="FrankRuehl" w:hAnsi="FrankRuehl" w:cs="FrankRuehl"/>
            <w:u w:val="none"/>
          </w:rPr>
          <w:t>40</w:t>
        </w:r>
        <w:r w:rsidRPr="00F52168">
          <w:rPr>
            <w:rStyle w:val="Hyperlink"/>
            <w:rFonts w:ascii="FrankRuehl" w:hAnsi="FrankRuehl" w:cs="FrankRuehl"/>
            <w:u w:val="none"/>
            <w:rtl/>
          </w:rPr>
          <w:t>ז</w:t>
        </w:r>
      </w:hyperlink>
      <w:r w:rsidRPr="00F52168">
        <w:rPr>
          <w:rFonts w:ascii="FrankRuehl" w:hAnsi="FrankRuehl" w:cs="FrankRuehl"/>
          <w:color w:val="0000FF"/>
          <w:rtl/>
        </w:rPr>
        <w:t xml:space="preserve">, </w:t>
      </w:r>
      <w:hyperlink r:id="rId13" w:history="1">
        <w:r w:rsidRPr="00F52168">
          <w:rPr>
            <w:rStyle w:val="Hyperlink"/>
            <w:rFonts w:ascii="FrankRuehl" w:hAnsi="FrankRuehl" w:cs="FrankRuehl"/>
            <w:u w:val="none"/>
          </w:rPr>
          <w:t>40</w:t>
        </w:r>
        <w:r w:rsidRPr="00F52168">
          <w:rPr>
            <w:rStyle w:val="Hyperlink"/>
            <w:rFonts w:ascii="FrankRuehl" w:hAnsi="FrankRuehl" w:cs="FrankRuehl"/>
            <w:u w:val="none"/>
            <w:rtl/>
          </w:rPr>
          <w:t>ט</w:t>
        </w:r>
      </w:hyperlink>
      <w:r w:rsidRPr="00F52168">
        <w:rPr>
          <w:rFonts w:ascii="FrankRuehl" w:hAnsi="FrankRuehl" w:cs="FrankRuehl"/>
          <w:color w:val="0000FF"/>
          <w:rtl/>
        </w:rPr>
        <w:t xml:space="preserve">(א), </w:t>
      </w:r>
      <w:hyperlink r:id="rId14" w:history="1">
        <w:r w:rsidRPr="00F52168">
          <w:rPr>
            <w:rStyle w:val="Hyperlink"/>
            <w:rFonts w:ascii="FrankRuehl" w:hAnsi="FrankRuehl" w:cs="FrankRuehl"/>
            <w:u w:val="none"/>
          </w:rPr>
          <w:t>144</w:t>
        </w:r>
      </w:hyperlink>
      <w:r w:rsidRPr="00F52168">
        <w:rPr>
          <w:rFonts w:ascii="FrankRuehl" w:hAnsi="FrankRuehl" w:cs="FrankRuehl"/>
          <w:color w:val="0000FF"/>
          <w:rtl/>
        </w:rPr>
        <w:t xml:space="preserve">(א), </w:t>
      </w:r>
      <w:hyperlink r:id="rId15" w:history="1">
        <w:r w:rsidRPr="00F52168">
          <w:rPr>
            <w:rStyle w:val="Hyperlink"/>
            <w:rFonts w:ascii="FrankRuehl" w:hAnsi="FrankRuehl" w:cs="FrankRuehl"/>
            <w:u w:val="none"/>
          </w:rPr>
          <w:t>144</w:t>
        </w:r>
      </w:hyperlink>
      <w:r w:rsidRPr="00F52168">
        <w:rPr>
          <w:rFonts w:ascii="FrankRuehl" w:hAnsi="FrankRuehl" w:cs="FrankRuehl"/>
          <w:color w:val="0000FF"/>
          <w:rtl/>
        </w:rPr>
        <w:t xml:space="preserve">(ב), </w:t>
      </w:r>
      <w:hyperlink r:id="rId16" w:history="1">
        <w:r w:rsidRPr="00F52168">
          <w:rPr>
            <w:rStyle w:val="Hyperlink"/>
            <w:rFonts w:ascii="FrankRuehl" w:hAnsi="FrankRuehl" w:cs="FrankRuehl"/>
            <w:u w:val="none"/>
          </w:rPr>
          <w:t>144</w:t>
        </w:r>
      </w:hyperlink>
      <w:r w:rsidRPr="00F52168">
        <w:rPr>
          <w:rFonts w:ascii="FrankRuehl" w:hAnsi="FrankRuehl" w:cs="FrankRuehl"/>
          <w:color w:val="0000FF"/>
          <w:rtl/>
        </w:rPr>
        <w:t xml:space="preserve">(ב2), </w:t>
      </w:r>
      <w:hyperlink r:id="rId17" w:history="1">
        <w:r w:rsidRPr="00F52168">
          <w:rPr>
            <w:rStyle w:val="Hyperlink"/>
            <w:rFonts w:ascii="FrankRuehl" w:hAnsi="FrankRuehl" w:cs="FrankRuehl"/>
            <w:u w:val="none"/>
          </w:rPr>
          <w:t>144</w:t>
        </w:r>
      </w:hyperlink>
      <w:r w:rsidRPr="00F52168">
        <w:rPr>
          <w:rFonts w:ascii="FrankRuehl" w:hAnsi="FrankRuehl" w:cs="FrankRuehl"/>
          <w:color w:val="0000FF"/>
          <w:rtl/>
        </w:rPr>
        <w:t xml:space="preserve">(ז), </w:t>
      </w:r>
      <w:hyperlink r:id="rId18" w:history="1">
        <w:r w:rsidRPr="00F52168">
          <w:rPr>
            <w:rStyle w:val="Hyperlink"/>
            <w:rFonts w:ascii="FrankRuehl" w:hAnsi="FrankRuehl" w:cs="FrankRuehl"/>
            <w:u w:val="none"/>
          </w:rPr>
          <w:t xml:space="preserve">40 </w:t>
        </w:r>
        <w:r w:rsidRPr="00F52168">
          <w:rPr>
            <w:rStyle w:val="Hyperlink"/>
            <w:rFonts w:ascii="FrankRuehl" w:hAnsi="FrankRuehl" w:cs="FrankRuehl"/>
            <w:u w:val="none"/>
            <w:rtl/>
          </w:rPr>
          <w:t>יא</w:t>
        </w:r>
      </w:hyperlink>
      <w:r w:rsidRPr="00F52168">
        <w:rPr>
          <w:rFonts w:ascii="FrankRuehl" w:hAnsi="FrankRuehl" w:cs="FrankRuehl"/>
          <w:color w:val="0000FF"/>
          <w:rtl/>
        </w:rPr>
        <w:t xml:space="preserve">, </w:t>
      </w:r>
      <w:hyperlink r:id="rId19" w:history="1">
        <w:r w:rsidRPr="00F52168">
          <w:rPr>
            <w:rStyle w:val="Hyperlink"/>
            <w:rFonts w:ascii="FrankRuehl" w:hAnsi="FrankRuehl" w:cs="FrankRuehl"/>
            <w:u w:val="none"/>
          </w:rPr>
          <w:t>4</w:t>
        </w:r>
      </w:hyperlink>
      <w:r w:rsidRPr="00F52168">
        <w:rPr>
          <w:rFonts w:ascii="FrankRuehl" w:hAnsi="FrankRuehl" w:cs="FrankRuehl"/>
          <w:color w:val="0000FF"/>
          <w:rtl/>
        </w:rPr>
        <w:t xml:space="preserve">, </w:t>
      </w:r>
      <w:hyperlink r:id="rId20" w:history="1">
        <w:r w:rsidRPr="00F52168">
          <w:rPr>
            <w:rStyle w:val="Hyperlink"/>
            <w:rFonts w:ascii="FrankRuehl" w:hAnsi="FrankRuehl" w:cs="FrankRuehl"/>
            <w:u w:val="none"/>
          </w:rPr>
          <w:t>6</w:t>
        </w:r>
      </w:hyperlink>
      <w:r w:rsidRPr="00F52168">
        <w:rPr>
          <w:rFonts w:ascii="FrankRuehl" w:hAnsi="FrankRuehl" w:cs="FrankRuehl"/>
          <w:color w:val="0000FF"/>
          <w:rtl/>
        </w:rPr>
        <w:t xml:space="preserve">, </w:t>
      </w:r>
      <w:hyperlink r:id="rId21" w:history="1">
        <w:r w:rsidRPr="00F52168">
          <w:rPr>
            <w:rStyle w:val="Hyperlink"/>
            <w:rFonts w:ascii="FrankRuehl" w:hAnsi="FrankRuehl" w:cs="FrankRuehl"/>
            <w:u w:val="none"/>
          </w:rPr>
          <w:t>40</w:t>
        </w:r>
        <w:r w:rsidRPr="00F52168">
          <w:rPr>
            <w:rStyle w:val="Hyperlink"/>
            <w:rFonts w:ascii="FrankRuehl" w:hAnsi="FrankRuehl" w:cs="FrankRuehl"/>
            <w:u w:val="none"/>
            <w:rtl/>
          </w:rPr>
          <w:t>יג</w:t>
        </w:r>
      </w:hyperlink>
      <w:r w:rsidRPr="00F52168">
        <w:rPr>
          <w:rFonts w:ascii="FrankRuehl" w:hAnsi="FrankRuehl" w:cs="FrankRuehl"/>
          <w:color w:val="0000FF"/>
          <w:rtl/>
        </w:rPr>
        <w:t xml:space="preserve">(א), </w:t>
      </w:r>
      <w:hyperlink r:id="rId22" w:history="1">
        <w:r w:rsidRPr="00F52168">
          <w:rPr>
            <w:rStyle w:val="Hyperlink"/>
            <w:rFonts w:ascii="FrankRuehl" w:hAnsi="FrankRuehl" w:cs="FrankRuehl"/>
            <w:u w:val="none"/>
          </w:rPr>
          <w:t>40</w:t>
        </w:r>
        <w:r w:rsidRPr="00F52168">
          <w:rPr>
            <w:rStyle w:val="Hyperlink"/>
            <w:rFonts w:ascii="FrankRuehl" w:hAnsi="FrankRuehl" w:cs="FrankRuehl"/>
            <w:u w:val="none"/>
            <w:rtl/>
          </w:rPr>
          <w:t>יג</w:t>
        </w:r>
      </w:hyperlink>
      <w:r w:rsidRPr="00F52168">
        <w:rPr>
          <w:rFonts w:ascii="FrankRuehl" w:hAnsi="FrankRuehl" w:cs="FrankRuehl"/>
          <w:color w:val="0000FF"/>
          <w:rtl/>
        </w:rPr>
        <w:t xml:space="preserve">(ב), </w:t>
      </w:r>
      <w:hyperlink r:id="rId23" w:history="1">
        <w:r w:rsidRPr="00F52168">
          <w:rPr>
            <w:rStyle w:val="Hyperlink"/>
            <w:rFonts w:ascii="FrankRuehl" w:hAnsi="FrankRuehl" w:cs="FrankRuehl"/>
            <w:u w:val="none"/>
          </w:rPr>
          <w:t>40</w:t>
        </w:r>
        <w:r w:rsidRPr="00F52168">
          <w:rPr>
            <w:rStyle w:val="Hyperlink"/>
            <w:rFonts w:ascii="FrankRuehl" w:hAnsi="FrankRuehl" w:cs="FrankRuehl"/>
            <w:u w:val="none"/>
            <w:rtl/>
          </w:rPr>
          <w:t>יג</w:t>
        </w:r>
      </w:hyperlink>
      <w:r w:rsidRPr="00F52168">
        <w:rPr>
          <w:rFonts w:ascii="FrankRuehl" w:hAnsi="FrankRuehl" w:cs="FrankRuehl"/>
          <w:color w:val="0000FF"/>
          <w:rtl/>
        </w:rPr>
        <w:t xml:space="preserve">(ג), </w:t>
      </w:r>
      <w:hyperlink r:id="rId24" w:history="1">
        <w:r w:rsidRPr="00F52168">
          <w:rPr>
            <w:rStyle w:val="Hyperlink"/>
            <w:rFonts w:ascii="FrankRuehl" w:hAnsi="FrankRuehl" w:cs="FrankRuehl"/>
            <w:u w:val="none"/>
          </w:rPr>
          <w:t>499</w:t>
        </w:r>
      </w:hyperlink>
      <w:r w:rsidRPr="00F52168">
        <w:rPr>
          <w:rFonts w:ascii="FrankRuehl" w:hAnsi="FrankRuehl" w:cs="FrankRuehl"/>
          <w:color w:val="0000FF"/>
          <w:rtl/>
        </w:rPr>
        <w:t>(א)(1)</w:t>
      </w:r>
    </w:p>
    <w:p w14:paraId="1176F9EB" w14:textId="77777777" w:rsidR="00AF1FC8" w:rsidRPr="00F52168" w:rsidRDefault="00AF1FC8" w:rsidP="00F52168">
      <w:bookmarkStart w:id="3" w:name="LawTable_End"/>
      <w:bookmarkEnd w:id="3"/>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F1FC8" w14:paraId="6EA74B5A" w14:textId="77777777" w:rsidTr="00AF1FC8">
        <w:trPr>
          <w:trHeight w:val="355"/>
          <w:jc w:val="center"/>
        </w:trPr>
        <w:tc>
          <w:tcPr>
            <w:tcW w:w="8820" w:type="dxa"/>
            <w:tcBorders>
              <w:top w:val="nil"/>
              <w:left w:val="nil"/>
              <w:bottom w:val="nil"/>
              <w:right w:val="nil"/>
            </w:tcBorders>
            <w:shd w:val="clear" w:color="auto" w:fill="auto"/>
          </w:tcPr>
          <w:p w14:paraId="1C5E6D7C" w14:textId="77777777" w:rsidR="00F524A6" w:rsidRPr="00F524A6" w:rsidRDefault="00F524A6" w:rsidP="00F524A6">
            <w:pPr>
              <w:jc w:val="center"/>
              <w:rPr>
                <w:rFonts w:ascii="Arial" w:hAnsi="Arial"/>
                <w:b/>
                <w:bCs/>
                <w:sz w:val="28"/>
                <w:szCs w:val="28"/>
                <w:u w:val="single"/>
                <w:rtl/>
              </w:rPr>
            </w:pPr>
            <w:bookmarkStart w:id="4" w:name="PsakDin" w:colFirst="0" w:colLast="0"/>
            <w:r w:rsidRPr="00F524A6">
              <w:rPr>
                <w:rFonts w:ascii="Arial" w:hAnsi="Arial"/>
                <w:b/>
                <w:bCs/>
                <w:sz w:val="28"/>
                <w:szCs w:val="28"/>
                <w:u w:val="single"/>
                <w:rtl/>
              </w:rPr>
              <w:t>גזר דין</w:t>
            </w:r>
          </w:p>
          <w:p w14:paraId="6D9B01F7" w14:textId="77777777" w:rsidR="00AF1FC8" w:rsidRPr="00F524A6" w:rsidRDefault="00AF1FC8" w:rsidP="00F524A6">
            <w:pPr>
              <w:jc w:val="center"/>
              <w:rPr>
                <w:rFonts w:ascii="Arial" w:hAnsi="Arial"/>
                <w:bCs/>
                <w:sz w:val="28"/>
                <w:szCs w:val="28"/>
                <w:u w:val="single"/>
                <w:rtl/>
              </w:rPr>
            </w:pPr>
          </w:p>
        </w:tc>
      </w:tr>
    </w:tbl>
    <w:bookmarkEnd w:id="4"/>
    <w:p w14:paraId="2302A7D2" w14:textId="77777777" w:rsidR="00AF1FC8" w:rsidRPr="004F0C0B" w:rsidRDefault="00AF1FC8" w:rsidP="00AF1FC8">
      <w:pPr>
        <w:spacing w:after="120"/>
        <w:jc w:val="both"/>
        <w:rPr>
          <w:rFonts w:ascii="David" w:eastAsia="Calibri" w:hAnsi="David"/>
          <w:u w:val="single"/>
          <w:rtl/>
        </w:rPr>
      </w:pPr>
      <w:r w:rsidRPr="004F0C0B">
        <w:rPr>
          <w:rFonts w:ascii="David" w:eastAsia="Calibri" w:hAnsi="David"/>
          <w:u w:val="single"/>
          <w:rtl/>
        </w:rPr>
        <w:t>כללי</w:t>
      </w:r>
    </w:p>
    <w:p w14:paraId="37ECDAF6" w14:textId="77777777" w:rsidR="00AF1FC8" w:rsidRPr="004F0C0B" w:rsidRDefault="00AF1FC8" w:rsidP="00AF1FC8">
      <w:pPr>
        <w:spacing w:after="120" w:line="360" w:lineRule="auto"/>
        <w:jc w:val="both"/>
        <w:rPr>
          <w:rFonts w:ascii="David" w:eastAsia="Calibri" w:hAnsi="David"/>
          <w:rtl/>
        </w:rPr>
      </w:pPr>
      <w:bookmarkStart w:id="5" w:name="ABSTRACT_START"/>
      <w:bookmarkEnd w:id="5"/>
      <w:r w:rsidRPr="004F0C0B">
        <w:rPr>
          <w:rFonts w:ascii="David" w:eastAsia="Calibri" w:hAnsi="David"/>
          <w:rtl/>
        </w:rPr>
        <w:t xml:space="preserve">הנאשם, מועתז גנאים, הורשע ביום 5.12.24 על-סמך הודאתו במסגרת הסדר טיעון, בעבירות שנכללו בכתב-אישום מתוקן שהוגש נגדו, ואשר עניינן </w:t>
      </w:r>
      <w:r w:rsidRPr="004F0C0B">
        <w:rPr>
          <w:rFonts w:ascii="David" w:eastAsia="Calibri" w:hAnsi="David"/>
          <w:b/>
          <w:bCs/>
          <w:rtl/>
        </w:rPr>
        <w:t>עבירות בנשק</w:t>
      </w:r>
      <w:r w:rsidRPr="004F0C0B">
        <w:rPr>
          <w:rFonts w:ascii="David" w:eastAsia="Calibri" w:hAnsi="David"/>
          <w:rtl/>
        </w:rPr>
        <w:t xml:space="preserve"> בניגוד ל</w:t>
      </w:r>
      <w:hyperlink r:id="rId25" w:history="1">
        <w:r w:rsidR="00F524A6" w:rsidRPr="00F524A6">
          <w:rPr>
            <w:rFonts w:ascii="David" w:eastAsia="Calibri" w:hAnsi="David"/>
            <w:color w:val="0000FF"/>
            <w:u w:val="single"/>
            <w:rtl/>
          </w:rPr>
          <w:t>חוק העונשין</w:t>
        </w:r>
      </w:hyperlink>
      <w:r w:rsidRPr="004F0C0B">
        <w:rPr>
          <w:rFonts w:ascii="David" w:eastAsia="Calibri" w:hAnsi="David"/>
          <w:rtl/>
        </w:rPr>
        <w:t>, התשל"ז-1977 (להלן: "</w:t>
      </w:r>
      <w:r w:rsidRPr="004F0C0B">
        <w:rPr>
          <w:rFonts w:ascii="David" w:eastAsia="Calibri" w:hAnsi="David"/>
          <w:b/>
          <w:bCs/>
          <w:rtl/>
        </w:rPr>
        <w:t>חוק העונשין</w:t>
      </w:r>
      <w:r w:rsidRPr="004F0C0B">
        <w:rPr>
          <w:rFonts w:ascii="David" w:eastAsia="Calibri" w:hAnsi="David"/>
          <w:rtl/>
        </w:rPr>
        <w:t>" או "</w:t>
      </w:r>
      <w:r w:rsidRPr="004F0C0B">
        <w:rPr>
          <w:rFonts w:ascii="David" w:eastAsia="Calibri" w:hAnsi="David"/>
          <w:b/>
          <w:bCs/>
          <w:rtl/>
        </w:rPr>
        <w:t>החוק</w:t>
      </w:r>
      <w:r w:rsidRPr="004F0C0B">
        <w:rPr>
          <w:rFonts w:ascii="David" w:eastAsia="Calibri" w:hAnsi="David"/>
          <w:rtl/>
        </w:rPr>
        <w:t xml:space="preserve">") כדלקמן: </w:t>
      </w:r>
      <w:r w:rsidRPr="004F0C0B">
        <w:rPr>
          <w:rFonts w:ascii="David" w:eastAsia="Calibri" w:hAnsi="David"/>
          <w:b/>
          <w:bCs/>
          <w:rtl/>
        </w:rPr>
        <w:t>רכישת נשק, נשיאתו והובלתו</w:t>
      </w:r>
      <w:r w:rsidRPr="004F0C0B">
        <w:rPr>
          <w:rFonts w:ascii="David" w:eastAsia="Calibri" w:hAnsi="David"/>
          <w:rtl/>
        </w:rPr>
        <w:t xml:space="preserve">, בניגוד </w:t>
      </w:r>
      <w:hyperlink r:id="rId26" w:history="1">
        <w:r w:rsidR="00F52168" w:rsidRPr="00F52168">
          <w:rPr>
            <w:rStyle w:val="Hyperlink"/>
            <w:rFonts w:ascii="David" w:eastAsia="Calibri" w:hAnsi="David"/>
            <w:color w:val="0000FF"/>
            <w:rtl/>
          </w:rPr>
          <w:t>לסעיף 144(ב)</w:t>
        </w:r>
      </w:hyperlink>
      <w:r w:rsidRPr="004F0C0B">
        <w:rPr>
          <w:rFonts w:ascii="David" w:eastAsia="Calibri" w:hAnsi="David"/>
          <w:rtl/>
        </w:rPr>
        <w:t xml:space="preserve"> רישא וסיפא לחוק</w:t>
      </w:r>
      <w:r w:rsidRPr="004F0C0B">
        <w:rPr>
          <w:rFonts w:ascii="David" w:eastAsia="Calibri" w:hAnsi="David"/>
        </w:rPr>
        <w:t>;</w:t>
      </w:r>
      <w:r w:rsidRPr="004F0C0B">
        <w:rPr>
          <w:rFonts w:ascii="David" w:eastAsia="Calibri" w:hAnsi="David"/>
          <w:rtl/>
        </w:rPr>
        <w:t xml:space="preserve"> </w:t>
      </w:r>
      <w:r w:rsidRPr="004F0C0B">
        <w:rPr>
          <w:rFonts w:ascii="David" w:eastAsia="Calibri" w:hAnsi="David" w:hint="cs"/>
          <w:b/>
          <w:bCs/>
          <w:rtl/>
        </w:rPr>
        <w:t>החזקת נשק</w:t>
      </w:r>
      <w:r w:rsidRPr="004F0C0B">
        <w:rPr>
          <w:rFonts w:ascii="David" w:eastAsia="Calibri" w:hAnsi="David" w:hint="cs"/>
          <w:rtl/>
        </w:rPr>
        <w:t xml:space="preserve"> – בניגוד </w:t>
      </w:r>
      <w:hyperlink r:id="rId27" w:history="1">
        <w:r w:rsidR="00F52168" w:rsidRPr="00F52168">
          <w:rPr>
            <w:rStyle w:val="Hyperlink"/>
            <w:rFonts w:ascii="David" w:eastAsia="Calibri" w:hAnsi="David" w:hint="eastAsia"/>
            <w:color w:val="0000FF"/>
            <w:rtl/>
          </w:rPr>
          <w:t>לסעיף</w:t>
        </w:r>
        <w:r w:rsidR="00F52168" w:rsidRPr="00F52168">
          <w:rPr>
            <w:rStyle w:val="Hyperlink"/>
            <w:rFonts w:ascii="David" w:eastAsia="Calibri" w:hAnsi="David"/>
            <w:color w:val="0000FF"/>
            <w:rtl/>
          </w:rPr>
          <w:t xml:space="preserve"> 144(א)</w:t>
        </w:r>
      </w:hyperlink>
      <w:r w:rsidRPr="004F0C0B">
        <w:rPr>
          <w:rFonts w:ascii="David" w:eastAsia="Calibri" w:hAnsi="David" w:hint="cs"/>
          <w:rtl/>
        </w:rPr>
        <w:t xml:space="preserve"> רישא וסיפא לחוק.</w:t>
      </w:r>
    </w:p>
    <w:p w14:paraId="1498E7A3" w14:textId="77777777" w:rsidR="00AF1FC8" w:rsidRPr="004F0C0B" w:rsidRDefault="00AF1FC8" w:rsidP="00AF1FC8">
      <w:pPr>
        <w:spacing w:after="240" w:line="360" w:lineRule="auto"/>
        <w:jc w:val="both"/>
        <w:rPr>
          <w:rFonts w:ascii="David" w:eastAsia="Calibri" w:hAnsi="David"/>
          <w:rtl/>
        </w:rPr>
      </w:pPr>
      <w:bookmarkStart w:id="6" w:name="ABSTRACT_END"/>
      <w:bookmarkEnd w:id="6"/>
      <w:r w:rsidRPr="004F0C0B">
        <w:rPr>
          <w:rFonts w:ascii="David" w:eastAsia="Calibri" w:hAnsi="David"/>
          <w:rtl/>
        </w:rPr>
        <w:t>הסדר הטיעון לא כלל הסכמה לעניין העונש שיוטל על הנאשם.</w:t>
      </w:r>
    </w:p>
    <w:p w14:paraId="48FB0AA4" w14:textId="77777777" w:rsidR="00AF1FC8" w:rsidRPr="004F0C0B" w:rsidRDefault="00AF1FC8" w:rsidP="00AF1FC8">
      <w:pPr>
        <w:spacing w:after="120"/>
        <w:jc w:val="both"/>
        <w:rPr>
          <w:rFonts w:ascii="David" w:eastAsia="Calibri" w:hAnsi="David"/>
          <w:u w:val="single"/>
        </w:rPr>
      </w:pPr>
      <w:r w:rsidRPr="004F0C0B">
        <w:rPr>
          <w:rFonts w:ascii="David" w:eastAsia="Calibri" w:hAnsi="David"/>
          <w:u w:val="single"/>
          <w:rtl/>
        </w:rPr>
        <w:t>עובדות כתב האישום המתוקן</w:t>
      </w:r>
    </w:p>
    <w:p w14:paraId="61D418C8" w14:textId="77777777" w:rsidR="00AF1FC8" w:rsidRPr="004F0C0B" w:rsidRDefault="00AF1FC8" w:rsidP="00AF1FC8">
      <w:pPr>
        <w:spacing w:after="240" w:line="360" w:lineRule="auto"/>
        <w:jc w:val="both"/>
        <w:rPr>
          <w:rFonts w:ascii="David" w:eastAsia="Calibri" w:hAnsi="David"/>
          <w:rtl/>
        </w:rPr>
      </w:pPr>
      <w:r w:rsidRPr="004F0C0B">
        <w:rPr>
          <w:rFonts w:ascii="David" w:eastAsia="Calibri" w:hAnsi="David"/>
          <w:rtl/>
        </w:rPr>
        <w:t xml:space="preserve">בסוף שנת 2023, במועד שאינו ידוע במדויק, רכש הנאשם מאדם פלוני, רובה 'סער' מסוג </w:t>
      </w:r>
      <w:r w:rsidRPr="004F0C0B">
        <w:rPr>
          <w:rFonts w:ascii="David" w:eastAsia="Calibri" w:hAnsi="David"/>
        </w:rPr>
        <w:t>M-16</w:t>
      </w:r>
      <w:r w:rsidRPr="004F0C0B">
        <w:rPr>
          <w:rFonts w:ascii="David" w:eastAsia="Calibri" w:hAnsi="David"/>
          <w:rtl/>
        </w:rPr>
        <w:t xml:space="preserve"> ומחסנית תואמת, תמורת סכום של עשרות אלפי שקלים. לאחר שקיבל הנאשם את הרובה ואת המחסנית לידיו, הגיע לשטח מיוער הסמוך לסכנין, שם חפר בור באדמה והחביא אותם במקום מסתור אשר היה ידוע רק לו. ממועד זה, החזיק הנאשם את הרובה והמחסנית, במקום המסתור. כחודשיים לאחר מכן, רכש הנאשם מאדם פלוני, 13 מחסניות תואמות לרובה שרכש, וכן ארגז תחמושת צה"לי המכיל 200 כדורים מתאימים בקוטר 5.56 מ"מ כל זאת תמורת סכום כולל של כ-20,000 ₪. לאחר שקיבל לידיו הנאשם את המחסניות והתחמושת, הגיע למקום המסתור והחזיק גם בהם שם. במהלך שנת 2024, במועד שאינו ידוע במדויק, רכש הנאשם מאדם פלוני, כוונת המתאימה לרובה שבחזקתו, תמורת 4,500 ₪. באותו מועד, רכש הנאשם גם אפוד לחימה תמורת 2,000 ₪. לאחר שקיבל הנאשם את הכוונת והאפוד לידיו, הגיע אל מקום המסתור, שם חיבר את הכוונת אל הרובה והסתירם שם. באותו מועד, הטמין הנאשם את האפוד במקום המסתור, ביחד עם הרובה, המחסניות והתחמושת. בהמשך לכך, במהלך שנת 2024, במועד שאינו ידוע במדויק, הגיע הנאשם למקום המסתור, הוציא משם את הרובה עם הכוונת, המחסניות, התחמושת והאפוד, נשא והוביל אותם לביתו בסכנין, שם צילם פריטים אלה במספר תמונות. לאחר מכן, השאיר הנאשם את הפריטים בביתו, וביום שלאחר מכן נשא והוביל אותם בחזרה למקום המסתור.</w:t>
      </w:r>
    </w:p>
    <w:p w14:paraId="20C79D61" w14:textId="77777777" w:rsidR="00AF1FC8" w:rsidRPr="004F0C0B" w:rsidRDefault="00AF1FC8" w:rsidP="00AF1FC8">
      <w:pPr>
        <w:spacing w:after="240"/>
        <w:jc w:val="both"/>
        <w:rPr>
          <w:rFonts w:ascii="David" w:eastAsia="Calibri" w:hAnsi="David"/>
          <w:b/>
          <w:bCs/>
          <w:u w:val="single"/>
          <w:rtl/>
        </w:rPr>
      </w:pPr>
      <w:r w:rsidRPr="004F0C0B">
        <w:rPr>
          <w:rFonts w:ascii="David" w:eastAsia="Calibri" w:hAnsi="David"/>
          <w:b/>
          <w:bCs/>
          <w:u w:val="single"/>
          <w:rtl/>
        </w:rPr>
        <w:lastRenderedPageBreak/>
        <w:t>הראיות לעניין העונש</w:t>
      </w:r>
    </w:p>
    <w:p w14:paraId="24ED5B38" w14:textId="77777777" w:rsidR="00AF1FC8" w:rsidRPr="004F0C0B" w:rsidRDefault="00AF1FC8" w:rsidP="00AF1FC8">
      <w:pPr>
        <w:spacing w:after="120"/>
        <w:jc w:val="both"/>
        <w:rPr>
          <w:rFonts w:ascii="David" w:eastAsia="Calibri" w:hAnsi="David"/>
          <w:u w:val="single"/>
          <w:rtl/>
        </w:rPr>
      </w:pPr>
      <w:r w:rsidRPr="004F0C0B">
        <w:rPr>
          <w:rFonts w:ascii="David" w:eastAsia="Calibri" w:hAnsi="David"/>
          <w:u w:val="single"/>
          <w:rtl/>
        </w:rPr>
        <w:t>המאשימה</w:t>
      </w:r>
    </w:p>
    <w:p w14:paraId="40D14A09" w14:textId="77777777" w:rsidR="00AF1FC8" w:rsidRPr="004F0C0B" w:rsidRDefault="00AF1FC8" w:rsidP="00AF1FC8">
      <w:pPr>
        <w:spacing w:after="120" w:line="360" w:lineRule="auto"/>
        <w:jc w:val="both"/>
        <w:rPr>
          <w:rFonts w:ascii="David" w:eastAsia="Calibri" w:hAnsi="David"/>
          <w:color w:val="000000"/>
          <w:shd w:val="clear" w:color="auto" w:fill="FFFFFF"/>
          <w:rtl/>
        </w:rPr>
      </w:pPr>
      <w:r w:rsidRPr="004F0C0B">
        <w:rPr>
          <w:rFonts w:ascii="David" w:eastAsia="Calibri" w:hAnsi="David"/>
          <w:color w:val="000000"/>
          <w:shd w:val="clear" w:color="auto" w:fill="FFFFFF"/>
          <w:rtl/>
        </w:rPr>
        <w:t xml:space="preserve">בא-כוחו המלומד של המאשימה, עו"ד בני פסקל, הגיש לעיוני </w:t>
      </w:r>
      <w:r w:rsidRPr="004F0C0B">
        <w:rPr>
          <w:rFonts w:ascii="David" w:eastAsia="Calibri" w:hAnsi="David"/>
          <w:b/>
          <w:bCs/>
          <w:color w:val="000000"/>
          <w:shd w:val="clear" w:color="auto" w:fill="FFFFFF"/>
          <w:rtl/>
        </w:rPr>
        <w:t>תדפיס מידע פלילי</w:t>
      </w:r>
      <w:r w:rsidRPr="004F0C0B">
        <w:rPr>
          <w:rFonts w:ascii="David" w:eastAsia="Calibri" w:hAnsi="David"/>
          <w:color w:val="000000"/>
          <w:shd w:val="clear" w:color="auto" w:fill="FFFFFF"/>
          <w:rtl/>
        </w:rPr>
        <w:t xml:space="preserve"> בעניינו של הנאשם (סומן </w:t>
      </w:r>
      <w:r w:rsidRPr="004F0C0B">
        <w:rPr>
          <w:rFonts w:ascii="David" w:eastAsia="Calibri" w:hAnsi="David"/>
          <w:b/>
          <w:bCs/>
          <w:color w:val="000000"/>
          <w:shd w:val="clear" w:color="auto" w:fill="FFFFFF"/>
          <w:rtl/>
        </w:rPr>
        <w:t>טעת/1</w:t>
      </w:r>
      <w:r w:rsidRPr="004F0C0B">
        <w:rPr>
          <w:rFonts w:ascii="David" w:eastAsia="Calibri" w:hAnsi="David"/>
          <w:color w:val="000000"/>
          <w:shd w:val="clear" w:color="auto" w:fill="FFFFFF"/>
          <w:rtl/>
        </w:rPr>
        <w:t>)</w:t>
      </w:r>
      <w:r w:rsidRPr="004F0C0B">
        <w:rPr>
          <w:rFonts w:ascii="David" w:eastAsia="Calibri" w:hAnsi="David"/>
          <w:color w:val="000000"/>
          <w:shd w:val="clear" w:color="auto" w:fill="FFFFFF"/>
        </w:rPr>
        <w:t>;</w:t>
      </w:r>
      <w:r w:rsidRPr="004F0C0B">
        <w:rPr>
          <w:rFonts w:ascii="David" w:eastAsia="Calibri" w:hAnsi="David"/>
          <w:color w:val="000000"/>
          <w:shd w:val="clear" w:color="auto" w:fill="FFFFFF"/>
          <w:rtl/>
        </w:rPr>
        <w:t xml:space="preserve"> </w:t>
      </w:r>
      <w:r w:rsidRPr="004F0C0B">
        <w:rPr>
          <w:rFonts w:ascii="David" w:eastAsia="Calibri" w:hAnsi="David" w:hint="cs"/>
          <w:color w:val="000000"/>
          <w:shd w:val="clear" w:color="auto" w:fill="FFFFFF"/>
          <w:rtl/>
        </w:rPr>
        <w:t xml:space="preserve">ממנו עולה כי הוא הורשע בעברו בשתי הרשעות ונגזר דינו: גזר-דין משנת 2016 בתחום </w:t>
      </w:r>
      <w:r w:rsidRPr="004F0C0B">
        <w:rPr>
          <w:rFonts w:ascii="David" w:eastAsia="Calibri" w:hAnsi="David" w:hint="cs"/>
          <w:color w:val="000000"/>
          <w:u w:val="single"/>
          <w:shd w:val="clear" w:color="auto" w:fill="FFFFFF"/>
          <w:rtl/>
        </w:rPr>
        <w:t>עבירות בנשק</w:t>
      </w:r>
      <w:r w:rsidRPr="004F0C0B">
        <w:rPr>
          <w:rFonts w:ascii="David" w:eastAsia="Calibri" w:hAnsi="David" w:hint="cs"/>
          <w:color w:val="000000"/>
          <w:shd w:val="clear" w:color="auto" w:fill="FFFFFF"/>
          <w:rtl/>
        </w:rPr>
        <w:t>, במסגרתו הוטלו עליו עונש מאסר בפועל (ריצה 51 חודשים) ומאסרים מותנים</w:t>
      </w:r>
      <w:r w:rsidRPr="004F0C0B">
        <w:rPr>
          <w:rFonts w:ascii="David" w:eastAsia="Calibri" w:hAnsi="David"/>
          <w:color w:val="000000"/>
          <w:shd w:val="clear" w:color="auto" w:fill="FFFFFF"/>
        </w:rPr>
        <w:t>;</w:t>
      </w:r>
      <w:r w:rsidRPr="004F0C0B">
        <w:rPr>
          <w:rFonts w:ascii="David" w:eastAsia="Calibri" w:hAnsi="David"/>
          <w:color w:val="000000"/>
          <w:shd w:val="clear" w:color="auto" w:fill="FFFFFF"/>
          <w:rtl/>
        </w:rPr>
        <w:t xml:space="preserve"> </w:t>
      </w:r>
      <w:r w:rsidRPr="004F0C0B">
        <w:rPr>
          <w:rFonts w:ascii="David" w:eastAsia="Calibri" w:hAnsi="David" w:hint="cs"/>
          <w:color w:val="000000"/>
          <w:shd w:val="clear" w:color="auto" w:fill="FFFFFF"/>
          <w:rtl/>
        </w:rPr>
        <w:t>גזר-דין משנת 2012 בגין עבירות אלימות שונות, איומים ועבירות נוספות, במסגרתו הוטלו עליו 6 חודשי מאסר לריצוי בדרך של עבודות שירות, מאסרים מותנים, צו מבחן, התחייבות ופיצוי לנפגע העבירה.</w:t>
      </w:r>
    </w:p>
    <w:p w14:paraId="38121B2E" w14:textId="77777777" w:rsidR="00AF1FC8" w:rsidRPr="004F0C0B" w:rsidRDefault="00AF1FC8" w:rsidP="00AF1FC8">
      <w:pPr>
        <w:spacing w:after="120" w:line="360" w:lineRule="auto"/>
        <w:jc w:val="both"/>
        <w:rPr>
          <w:rFonts w:ascii="David" w:eastAsia="Calibri" w:hAnsi="David"/>
          <w:rtl/>
        </w:rPr>
      </w:pPr>
      <w:r w:rsidRPr="004F0C0B">
        <w:rPr>
          <w:rFonts w:ascii="David" w:eastAsia="Calibri" w:hAnsi="David"/>
          <w:color w:val="000000"/>
          <w:shd w:val="clear" w:color="auto" w:fill="FFFFFF"/>
          <w:rtl/>
        </w:rPr>
        <w:t>כמו כן, הגישה המאשימה את גזר-הדין בעניינו של הנאשם, משנת 2016</w:t>
      </w:r>
      <w:r w:rsidRPr="004F0C0B">
        <w:rPr>
          <w:rFonts w:ascii="David" w:eastAsia="Calibri" w:hAnsi="David"/>
          <w:rtl/>
        </w:rPr>
        <w:t xml:space="preserve">, אשר עסק בעבירות בנשק: </w:t>
      </w:r>
      <w:hyperlink r:id="rId28" w:history="1">
        <w:r w:rsidR="00F524A6" w:rsidRPr="00F524A6">
          <w:rPr>
            <w:rFonts w:ascii="David" w:eastAsia="Calibri" w:hAnsi="David"/>
            <w:color w:val="0000FF"/>
            <w:u w:val="single"/>
            <w:rtl/>
          </w:rPr>
          <w:t>ת"פ (מחוזי חיפה) 7317-01-15</w:t>
        </w:r>
      </w:hyperlink>
      <w:r w:rsidRPr="004F0C0B">
        <w:rPr>
          <w:rFonts w:ascii="David" w:eastAsia="Calibri" w:hAnsi="David"/>
          <w:rtl/>
        </w:rPr>
        <w:t xml:space="preserve"> </w:t>
      </w:r>
      <w:r w:rsidRPr="004F0C0B">
        <w:rPr>
          <w:rFonts w:ascii="David" w:eastAsia="Calibri" w:hAnsi="David"/>
          <w:b/>
          <w:bCs/>
          <w:rtl/>
        </w:rPr>
        <w:t>מדינת ישראל נ' גנאים</w:t>
      </w:r>
      <w:r w:rsidRPr="004F0C0B">
        <w:rPr>
          <w:rFonts w:ascii="David" w:eastAsia="Calibri" w:hAnsi="David"/>
          <w:rtl/>
        </w:rPr>
        <w:t xml:space="preserve"> (ניתן ביום 7.1.16), במסגרתו הורשע הנאשם על סמך הודאתו בכתב-אישום מתוקן, שכלל את העבירות הבאות: אישום ראשון, בעבירות של הובלה ונשיאת נשק לפי </w:t>
      </w:r>
      <w:hyperlink r:id="rId29" w:history="1">
        <w:r w:rsidR="00F52168" w:rsidRPr="00F52168">
          <w:rPr>
            <w:rStyle w:val="Hyperlink"/>
            <w:rFonts w:ascii="David" w:eastAsia="Calibri" w:hAnsi="David"/>
            <w:color w:val="0000FF"/>
            <w:rtl/>
          </w:rPr>
          <w:t>סעיף 144(ב)</w:t>
        </w:r>
      </w:hyperlink>
      <w:r w:rsidRPr="004F0C0B">
        <w:rPr>
          <w:rFonts w:ascii="David" w:eastAsia="Calibri" w:hAnsi="David"/>
          <w:rtl/>
        </w:rPr>
        <w:t xml:space="preserve"> רישא וסיפא לחוק, ובעבירות של החזקת נשק לפי </w:t>
      </w:r>
      <w:hyperlink r:id="rId30" w:history="1">
        <w:r w:rsidR="00F52168" w:rsidRPr="00F52168">
          <w:rPr>
            <w:rStyle w:val="Hyperlink"/>
            <w:rFonts w:ascii="David" w:eastAsia="Calibri" w:hAnsi="David"/>
            <w:color w:val="0000FF"/>
            <w:rtl/>
          </w:rPr>
          <w:t>סעיף 144(א)</w:t>
        </w:r>
      </w:hyperlink>
      <w:r w:rsidRPr="004F0C0B">
        <w:rPr>
          <w:rFonts w:ascii="David" w:eastAsia="Calibri" w:hAnsi="David"/>
          <w:rtl/>
        </w:rPr>
        <w:t xml:space="preserve"> רישא וסיפא, כאשר הנשק המדובר היה אקדח. אישום שני, בעבירה של ניסיון לבצע עסקה בנשק לפי </w:t>
      </w:r>
      <w:hyperlink r:id="rId31" w:history="1">
        <w:r w:rsidR="00F52168" w:rsidRPr="00F52168">
          <w:rPr>
            <w:rStyle w:val="Hyperlink"/>
            <w:rFonts w:ascii="David" w:eastAsia="Calibri" w:hAnsi="David"/>
            <w:color w:val="0000FF"/>
            <w:rtl/>
          </w:rPr>
          <w:t>סעיפים 144(ב2)</w:t>
        </w:r>
      </w:hyperlink>
      <w:r w:rsidRPr="004F0C0B">
        <w:rPr>
          <w:rFonts w:ascii="David" w:eastAsia="Calibri" w:hAnsi="David"/>
          <w:rtl/>
        </w:rPr>
        <w:t xml:space="preserve"> ו-</w:t>
      </w:r>
      <w:hyperlink r:id="rId32" w:history="1">
        <w:r w:rsidR="00F52168" w:rsidRPr="00F52168">
          <w:rPr>
            <w:rStyle w:val="Hyperlink"/>
            <w:rFonts w:ascii="David" w:eastAsia="Calibri" w:hAnsi="David"/>
            <w:color w:val="0000FF"/>
            <w:rtl/>
          </w:rPr>
          <w:t>25</w:t>
        </w:r>
      </w:hyperlink>
      <w:r w:rsidRPr="004F0C0B">
        <w:rPr>
          <w:rFonts w:ascii="David" w:eastAsia="Calibri" w:hAnsi="David"/>
          <w:rtl/>
        </w:rPr>
        <w:t xml:space="preserve"> לחוק, ובעבירה של קשירת קשר לפשע לפי </w:t>
      </w:r>
      <w:hyperlink r:id="rId33" w:history="1">
        <w:r w:rsidR="00F52168" w:rsidRPr="00F52168">
          <w:rPr>
            <w:rStyle w:val="Hyperlink"/>
            <w:rFonts w:ascii="David" w:eastAsia="Calibri" w:hAnsi="David"/>
            <w:color w:val="0000FF"/>
            <w:rtl/>
          </w:rPr>
          <w:t>סעיף 499(א)(1)</w:t>
        </w:r>
      </w:hyperlink>
      <w:r w:rsidRPr="004F0C0B">
        <w:rPr>
          <w:rFonts w:ascii="David" w:eastAsia="Calibri" w:hAnsi="David"/>
          <w:rtl/>
        </w:rPr>
        <w:t xml:space="preserve"> לחוק, כאשר הנשק המדובר היה רובה מסוג "קלצ'ניקוב". עולה ממנו, כי קבע בית-המשפט מתחמי עונש נפרדים לכל אחד מן האישומים – לאישום הראשון קבע מתחם הנע בין 24 – 48 חודשי מאסר בפועל, ולאישום השני קבע מתחם הנע בין 36 – 60 חודשי מאסר בפועל. בית-המשפט ציין בהכרעתו, כי ראוי בגין האישום הראשון להטיל על הנאשם 36 חודשי מאסר בפועל, ובגין האישום השני ראוי להטיל עליו 48 חודשי מאסר בפועל. לבסוף, קבע כי עונשו של הנאשם יינשא בחפיפה ובמאוחד כעונש כולל, לפי </w:t>
      </w:r>
      <w:hyperlink r:id="rId34" w:history="1">
        <w:r w:rsidR="00F52168" w:rsidRPr="00F52168">
          <w:rPr>
            <w:rStyle w:val="Hyperlink"/>
            <w:rFonts w:ascii="David" w:eastAsia="Calibri" w:hAnsi="David"/>
            <w:color w:val="0000FF"/>
            <w:rtl/>
          </w:rPr>
          <w:t>סעיף 40יג(ב)</w:t>
        </w:r>
      </w:hyperlink>
      <w:r w:rsidRPr="004F0C0B">
        <w:rPr>
          <w:rFonts w:ascii="David" w:eastAsia="Calibri" w:hAnsi="David"/>
          <w:rtl/>
        </w:rPr>
        <w:t xml:space="preserve"> לחוק – </w:t>
      </w:r>
      <w:r w:rsidRPr="004F0C0B">
        <w:rPr>
          <w:rFonts w:ascii="David" w:eastAsia="Calibri" w:hAnsi="David"/>
          <w:b/>
          <w:bCs/>
          <w:rtl/>
        </w:rPr>
        <w:t>וגזר על הנאשם 60 חודשי מאסר בפועל, לצד מאסרים מותנים</w:t>
      </w:r>
      <w:r w:rsidRPr="004F0C0B">
        <w:rPr>
          <w:rFonts w:ascii="David" w:eastAsia="Calibri" w:hAnsi="David"/>
          <w:rtl/>
        </w:rPr>
        <w:t>.</w:t>
      </w:r>
    </w:p>
    <w:p w14:paraId="29A97A5F" w14:textId="77777777" w:rsidR="00AF1FC8" w:rsidRPr="004F0C0B" w:rsidRDefault="00AF1FC8" w:rsidP="00AF1FC8">
      <w:pPr>
        <w:spacing w:after="120"/>
        <w:jc w:val="both"/>
        <w:rPr>
          <w:rFonts w:ascii="David" w:eastAsia="Calibri" w:hAnsi="David"/>
          <w:u w:val="single"/>
          <w:rtl/>
        </w:rPr>
      </w:pPr>
      <w:r w:rsidRPr="004F0C0B">
        <w:rPr>
          <w:rFonts w:ascii="David" w:eastAsia="Calibri" w:hAnsi="David"/>
          <w:u w:val="single"/>
          <w:rtl/>
        </w:rPr>
        <w:t>ההגנה</w:t>
      </w:r>
    </w:p>
    <w:p w14:paraId="65C84D00" w14:textId="77777777" w:rsidR="00AF1FC8" w:rsidRPr="004F0C0B" w:rsidRDefault="00AF1FC8" w:rsidP="00AF1FC8">
      <w:pPr>
        <w:spacing w:after="240"/>
        <w:jc w:val="both"/>
        <w:rPr>
          <w:rFonts w:ascii="David" w:eastAsia="Calibri" w:hAnsi="David"/>
          <w:rtl/>
        </w:rPr>
      </w:pPr>
      <w:r w:rsidRPr="004F0C0B">
        <w:rPr>
          <w:rFonts w:ascii="David" w:eastAsia="Calibri" w:hAnsi="David"/>
          <w:rtl/>
        </w:rPr>
        <w:t>ההגנה לא הגישה מטעמה ראיות לעניין העונש.</w:t>
      </w:r>
    </w:p>
    <w:p w14:paraId="503EE592" w14:textId="77777777" w:rsidR="00AF1FC8" w:rsidRPr="004F0C0B" w:rsidRDefault="00AF1FC8" w:rsidP="00AF1FC8">
      <w:pPr>
        <w:spacing w:after="240"/>
        <w:jc w:val="both"/>
        <w:rPr>
          <w:rFonts w:ascii="David" w:eastAsia="Calibri" w:hAnsi="David"/>
          <w:b/>
          <w:bCs/>
          <w:u w:val="single"/>
          <w:rtl/>
        </w:rPr>
      </w:pPr>
      <w:r w:rsidRPr="004F0C0B">
        <w:rPr>
          <w:rFonts w:ascii="David" w:eastAsia="Calibri" w:hAnsi="David"/>
          <w:b/>
          <w:bCs/>
          <w:u w:val="single"/>
          <w:rtl/>
        </w:rPr>
        <w:t>טיעונים לעניין העונש</w:t>
      </w:r>
    </w:p>
    <w:p w14:paraId="17F9F373" w14:textId="77777777" w:rsidR="00AF1FC8" w:rsidRPr="004F0C0B" w:rsidRDefault="00AF1FC8" w:rsidP="00AF1FC8">
      <w:pPr>
        <w:spacing w:after="120"/>
        <w:jc w:val="both"/>
        <w:rPr>
          <w:rFonts w:ascii="David" w:eastAsia="Calibri" w:hAnsi="David"/>
          <w:u w:val="single"/>
          <w:rtl/>
        </w:rPr>
      </w:pPr>
      <w:r w:rsidRPr="004F0C0B">
        <w:rPr>
          <w:rFonts w:ascii="David" w:eastAsia="Calibri" w:hAnsi="David"/>
          <w:u w:val="single"/>
          <w:rtl/>
        </w:rPr>
        <w:t>המאשימה</w:t>
      </w:r>
    </w:p>
    <w:p w14:paraId="6AFD3B59" w14:textId="77777777" w:rsidR="00AF1FC8" w:rsidRPr="004F0C0B" w:rsidRDefault="00AF1FC8" w:rsidP="00AF1FC8">
      <w:pPr>
        <w:spacing w:after="120" w:line="360" w:lineRule="auto"/>
        <w:jc w:val="both"/>
        <w:rPr>
          <w:rFonts w:ascii="David" w:eastAsia="Calibri" w:hAnsi="David"/>
          <w:rtl/>
        </w:rPr>
      </w:pPr>
      <w:r w:rsidRPr="004F0C0B">
        <w:rPr>
          <w:rFonts w:ascii="David" w:eastAsia="Calibri" w:hAnsi="David"/>
          <w:color w:val="000000"/>
          <w:shd w:val="clear" w:color="auto" w:fill="FFFFFF"/>
          <w:rtl/>
        </w:rPr>
        <w:t>מטעמה של המאשימה</w:t>
      </w:r>
      <w:r w:rsidRPr="004F0C0B">
        <w:rPr>
          <w:rFonts w:ascii="David" w:eastAsia="Calibri" w:hAnsi="David"/>
          <w:rtl/>
        </w:rPr>
        <w:t xml:space="preserve">, </w:t>
      </w:r>
      <w:r w:rsidRPr="004F0C0B">
        <w:rPr>
          <w:rFonts w:ascii="David" w:eastAsia="Calibri" w:hAnsi="David"/>
          <w:color w:val="000000"/>
          <w:shd w:val="clear" w:color="auto" w:fill="FFFFFF"/>
          <w:rtl/>
        </w:rPr>
        <w:t>הגיש</w:t>
      </w:r>
      <w:r w:rsidRPr="004F0C0B">
        <w:rPr>
          <w:rFonts w:ascii="David" w:eastAsia="Calibri" w:hAnsi="David"/>
          <w:rtl/>
        </w:rPr>
        <w:t xml:space="preserve"> הפרקליט</w:t>
      </w:r>
      <w:r w:rsidRPr="004F0C0B">
        <w:rPr>
          <w:rFonts w:ascii="David" w:eastAsia="Calibri" w:hAnsi="David"/>
          <w:color w:val="000000"/>
          <w:shd w:val="clear" w:color="auto" w:fill="FFFFFF"/>
          <w:rtl/>
        </w:rPr>
        <w:t xml:space="preserve"> את טיעוניה לעניין העונש בכתב (סומנו </w:t>
      </w:r>
      <w:r w:rsidRPr="004F0C0B">
        <w:rPr>
          <w:rFonts w:ascii="David" w:eastAsia="Calibri" w:hAnsi="David"/>
          <w:b/>
          <w:bCs/>
          <w:color w:val="000000"/>
          <w:shd w:val="clear" w:color="auto" w:fill="FFFFFF"/>
          <w:rtl/>
        </w:rPr>
        <w:t>טעת/2</w:t>
      </w:r>
      <w:r w:rsidRPr="004F0C0B">
        <w:rPr>
          <w:rFonts w:ascii="David" w:eastAsia="Calibri" w:hAnsi="David"/>
          <w:color w:val="000000"/>
          <w:shd w:val="clear" w:color="auto" w:fill="FFFFFF"/>
          <w:rtl/>
        </w:rPr>
        <w:t>)</w:t>
      </w:r>
      <w:r w:rsidRPr="004F0C0B">
        <w:rPr>
          <w:rFonts w:ascii="David" w:eastAsia="Calibri" w:hAnsi="David"/>
          <w:color w:val="000000"/>
          <w:shd w:val="clear" w:color="auto" w:fill="FFFFFF"/>
        </w:rPr>
        <w:t>,</w:t>
      </w:r>
      <w:r w:rsidRPr="004F0C0B">
        <w:rPr>
          <w:rFonts w:ascii="David" w:eastAsia="Calibri" w:hAnsi="David"/>
          <w:rtl/>
        </w:rPr>
        <w:t xml:space="preserve"> </w:t>
      </w:r>
      <w:r w:rsidRPr="004F0C0B">
        <w:rPr>
          <w:rFonts w:ascii="David" w:eastAsia="Calibri" w:hAnsi="David" w:hint="cs"/>
          <w:rtl/>
        </w:rPr>
        <w:t xml:space="preserve">והוסיף עליהם בעל-פה, במסגרת הדיון. בטיעוניה, עמדה המאשימה על </w:t>
      </w:r>
      <w:r w:rsidRPr="004F0C0B">
        <w:rPr>
          <w:rFonts w:ascii="David" w:eastAsia="Calibri" w:hAnsi="David" w:hint="cs"/>
          <w:b/>
          <w:bCs/>
          <w:rtl/>
        </w:rPr>
        <w:t>הערכים המוגנים</w:t>
      </w:r>
      <w:r w:rsidRPr="004F0C0B">
        <w:rPr>
          <w:rFonts w:ascii="David" w:eastAsia="Calibri" w:hAnsi="David" w:hint="cs"/>
          <w:rtl/>
        </w:rPr>
        <w:t xml:space="preserve"> שנפגעו כתוצאה מביצוען של העבירות: הגנה על שלום הציבור וביטחונו, הגנה על חיי אדם ורכוש. עוד הדגישה את הצורך להילחם בתופעת האלימות הגואה בחברה בשל שימוש בנשק, והגדירה זאת כ"מכת מדינה".</w:t>
      </w:r>
    </w:p>
    <w:p w14:paraId="0FDAA47F" w14:textId="77777777" w:rsidR="00AF1FC8" w:rsidRPr="004F0C0B" w:rsidRDefault="00AF1FC8" w:rsidP="00AF1FC8">
      <w:pPr>
        <w:spacing w:after="120" w:line="360" w:lineRule="auto"/>
        <w:jc w:val="both"/>
        <w:rPr>
          <w:rFonts w:ascii="David" w:eastAsia="Calibri" w:hAnsi="David"/>
          <w:rtl/>
        </w:rPr>
      </w:pPr>
      <w:r w:rsidRPr="004F0C0B">
        <w:rPr>
          <w:rFonts w:ascii="David" w:eastAsia="Calibri" w:hAnsi="David"/>
          <w:rtl/>
        </w:rPr>
        <w:t>כמו כן, עמדה המאשימה על הנסיבות המחמירות הקשורות בביצוע העבירה: חומרת המעשים לאור היותן של עבירות הנשק במדרג חומרה גבוה ביותר. הדגישה את הצורך בהחמרת הענישה המוטלת בגין עבירות אלה, גם לנוכח מגמת הענישה שנקבעה בפסיקה ולאור חקיקת תיקון מס' 140 (הוראת-שעה), אשר הוארך תוקפו</w:t>
      </w:r>
      <w:r w:rsidRPr="004F0C0B">
        <w:rPr>
          <w:rFonts w:ascii="David" w:eastAsia="Calibri" w:hAnsi="David"/>
        </w:rPr>
        <w:t>;</w:t>
      </w:r>
      <w:r w:rsidRPr="004F0C0B">
        <w:rPr>
          <w:rFonts w:ascii="David" w:eastAsia="Calibri" w:hAnsi="David"/>
          <w:rtl/>
        </w:rPr>
        <w:t xml:space="preserve"> </w:t>
      </w:r>
      <w:r w:rsidRPr="004F0C0B">
        <w:rPr>
          <w:rFonts w:ascii="David" w:eastAsia="Calibri" w:hAnsi="David" w:hint="cs"/>
          <w:rtl/>
        </w:rPr>
        <w:t>התכנון שקדם לביצוע העבירות וההיערכות הפלילית הנרחבת, לרבות הכנה לפעולה משמעותית ובזמינות מיידית</w:t>
      </w:r>
      <w:r w:rsidRPr="004F0C0B">
        <w:rPr>
          <w:rFonts w:ascii="David" w:eastAsia="Calibri" w:hAnsi="David"/>
        </w:rPr>
        <w:t>;</w:t>
      </w:r>
      <w:r w:rsidRPr="004F0C0B">
        <w:rPr>
          <w:rFonts w:ascii="David" w:eastAsia="Calibri" w:hAnsi="David"/>
          <w:rtl/>
        </w:rPr>
        <w:t xml:space="preserve"> </w:t>
      </w:r>
      <w:r w:rsidRPr="004F0C0B">
        <w:rPr>
          <w:rFonts w:ascii="David" w:eastAsia="Calibri" w:hAnsi="David" w:hint="cs"/>
          <w:rtl/>
        </w:rPr>
        <w:t xml:space="preserve">סוג הנשק ששימש לביצוע העבירות הוא רובה 'סער' מסוג </w:t>
      </w:r>
      <w:r w:rsidRPr="004F0C0B">
        <w:rPr>
          <w:rFonts w:ascii="David" w:eastAsia="Calibri" w:hAnsi="David"/>
        </w:rPr>
        <w:t>M-16</w:t>
      </w:r>
      <w:r w:rsidRPr="004F0C0B">
        <w:rPr>
          <w:rFonts w:ascii="David" w:eastAsia="Calibri" w:hAnsi="David"/>
          <w:rtl/>
        </w:rPr>
        <w:t>, קרי תת-מקלע אוטומטי, שמידת הסכנה הצפויה ממנו היא גבוהה ביותר</w:t>
      </w:r>
      <w:r w:rsidRPr="004F0C0B">
        <w:rPr>
          <w:rFonts w:ascii="David" w:eastAsia="Calibri" w:hAnsi="David"/>
        </w:rPr>
        <w:t>;</w:t>
      </w:r>
      <w:r w:rsidRPr="004F0C0B">
        <w:rPr>
          <w:rFonts w:ascii="David" w:eastAsia="Calibri" w:hAnsi="David"/>
          <w:rtl/>
        </w:rPr>
        <w:t xml:space="preserve"> </w:t>
      </w:r>
      <w:r w:rsidRPr="004F0C0B">
        <w:rPr>
          <w:rFonts w:ascii="David" w:eastAsia="Calibri" w:hAnsi="David" w:hint="cs"/>
          <w:rtl/>
        </w:rPr>
        <w:t xml:space="preserve">הנאשם הצטייד באמצעים רבים, הכוללים את הנשק עצמו, אביזרים לנשק, תחמושת וציוד נלווה. בעניין זה, הדגישה כי הנאשם הצטייד בכמות גדולה מאוד של תחמושת, ובאמצעים נוספים שמטרתם למקסם </w:t>
      </w:r>
      <w:r w:rsidRPr="004F0C0B">
        <w:rPr>
          <w:rFonts w:ascii="David" w:eastAsia="Calibri" w:hAnsi="David" w:hint="cs"/>
          <w:rtl/>
        </w:rPr>
        <w:lastRenderedPageBreak/>
        <w:t>את מידת קטלניות הנשק</w:t>
      </w:r>
      <w:r w:rsidRPr="004F0C0B">
        <w:rPr>
          <w:rFonts w:ascii="David" w:eastAsia="Calibri" w:hAnsi="David"/>
        </w:rPr>
        <w:t>;</w:t>
      </w:r>
      <w:r w:rsidRPr="004F0C0B">
        <w:rPr>
          <w:rFonts w:ascii="David" w:eastAsia="Calibri" w:hAnsi="David"/>
          <w:rtl/>
        </w:rPr>
        <w:t xml:space="preserve"> הנאשם פעל לאורך תקופה ותוך השקעת סכומי כסף משמעותיים, ובפועל עדיין ממשיך להחזיק בנשק, במקום המסתור</w:t>
      </w:r>
      <w:r w:rsidRPr="004F0C0B">
        <w:rPr>
          <w:rFonts w:ascii="David" w:eastAsia="Calibri" w:hAnsi="David"/>
        </w:rPr>
        <w:t>;</w:t>
      </w:r>
      <w:r w:rsidRPr="004F0C0B">
        <w:rPr>
          <w:rFonts w:ascii="David" w:eastAsia="Calibri" w:hAnsi="David"/>
          <w:rtl/>
        </w:rPr>
        <w:t xml:space="preserve"> </w:t>
      </w:r>
      <w:r w:rsidRPr="004F0C0B">
        <w:rPr>
          <w:rFonts w:ascii="David" w:eastAsia="Calibri" w:hAnsi="David" w:hint="cs"/>
          <w:rtl/>
        </w:rPr>
        <w:t>הנאשם נושא באחריות המלאה והבלעדית לביצוע העבירות</w:t>
      </w:r>
      <w:r w:rsidRPr="004F0C0B">
        <w:rPr>
          <w:rFonts w:ascii="David" w:eastAsia="Calibri" w:hAnsi="David"/>
        </w:rPr>
        <w:t>;</w:t>
      </w:r>
      <w:r w:rsidRPr="004F0C0B">
        <w:rPr>
          <w:rFonts w:ascii="David" w:eastAsia="Calibri" w:hAnsi="David"/>
          <w:rtl/>
        </w:rPr>
        <w:t xml:space="preserve"> </w:t>
      </w:r>
      <w:r w:rsidRPr="004F0C0B">
        <w:rPr>
          <w:rFonts w:ascii="David" w:eastAsia="Calibri" w:hAnsi="David" w:hint="cs"/>
          <w:rtl/>
        </w:rPr>
        <w:t>בבחינת הנזק שהיה צפוי להיגרם, טענה כי פוטנציאל הנזק הגלום במעשיו של הנאשם הוא גבוה ביותר, לאור זאת שמדובר בנשק התקפי, ולאור התחמושת הרבה והאביזרים המתאימים; ציינה כי הנאשם הינו בגיר, שבחר לבצע את העבירות ועשה זאת בצורה מודעת, מושכלת ומתוכננת</w:t>
      </w:r>
      <w:r w:rsidRPr="004F0C0B">
        <w:rPr>
          <w:rFonts w:ascii="David" w:eastAsia="Calibri" w:hAnsi="David"/>
        </w:rPr>
        <w:t>;</w:t>
      </w:r>
      <w:r w:rsidRPr="004F0C0B">
        <w:rPr>
          <w:rFonts w:ascii="David" w:eastAsia="Calibri" w:hAnsi="David"/>
          <w:rtl/>
        </w:rPr>
        <w:t xml:space="preserve"> </w:t>
      </w:r>
      <w:r w:rsidRPr="004F0C0B">
        <w:rPr>
          <w:rFonts w:ascii="David" w:eastAsia="Calibri" w:hAnsi="David" w:hint="cs"/>
          <w:rtl/>
        </w:rPr>
        <w:t>הנאשם שלט באופן מוחלט במעשיו ויכול היה לסור מהחלטתו בכל רגע נתון</w:t>
      </w:r>
      <w:r w:rsidRPr="004F0C0B">
        <w:rPr>
          <w:rFonts w:ascii="David" w:eastAsia="Calibri" w:hAnsi="David"/>
        </w:rPr>
        <w:t>;</w:t>
      </w:r>
      <w:r w:rsidRPr="004F0C0B">
        <w:rPr>
          <w:rFonts w:ascii="David" w:eastAsia="Calibri" w:hAnsi="David"/>
          <w:rtl/>
        </w:rPr>
        <w:t xml:space="preserve"> </w:t>
      </w:r>
      <w:r w:rsidRPr="004F0C0B">
        <w:rPr>
          <w:rFonts w:ascii="David" w:eastAsia="Calibri" w:hAnsi="David" w:hint="cs"/>
          <w:rtl/>
        </w:rPr>
        <w:t>טענה כי לא קיים סייג לאחריות פלילית או קרבה לסייג שכזה.</w:t>
      </w:r>
    </w:p>
    <w:p w14:paraId="51E543A0" w14:textId="77777777" w:rsidR="00AF1FC8" w:rsidRPr="004F0C0B" w:rsidRDefault="00AF1FC8" w:rsidP="00AF1FC8">
      <w:pPr>
        <w:spacing w:after="120" w:line="360" w:lineRule="auto"/>
        <w:jc w:val="both"/>
        <w:rPr>
          <w:rFonts w:ascii="David" w:eastAsia="Calibri" w:hAnsi="David"/>
        </w:rPr>
      </w:pPr>
      <w:r w:rsidRPr="004F0C0B">
        <w:rPr>
          <w:rFonts w:ascii="David" w:eastAsia="Calibri" w:hAnsi="David"/>
          <w:rtl/>
        </w:rPr>
        <w:t>במסגרת טיעוניה, עמדה המאשימה על פסיקה, המתאימה לשיטתה לנסיבות המקרה, ועתרה למתחם עונש שנע בין 48 – 78 חודשי מאסר בפועל, לצד עונשים נלווים.</w:t>
      </w:r>
    </w:p>
    <w:p w14:paraId="63602066" w14:textId="77777777" w:rsidR="00AF1FC8" w:rsidRPr="004F0C0B" w:rsidRDefault="00AF1FC8" w:rsidP="00AF1FC8">
      <w:pPr>
        <w:spacing w:after="120" w:line="360" w:lineRule="auto"/>
        <w:jc w:val="both"/>
        <w:rPr>
          <w:rFonts w:ascii="David" w:eastAsia="Calibri" w:hAnsi="David"/>
          <w:rtl/>
        </w:rPr>
      </w:pPr>
      <w:r w:rsidRPr="004F0C0B">
        <w:rPr>
          <w:rFonts w:ascii="David" w:eastAsia="Calibri" w:hAnsi="David"/>
          <w:rtl/>
        </w:rPr>
        <w:t>בבחינת הנסיבות שאינן קשורות לביצוע העבירה, צוין כי הנאשם הודה בעובדות כתב-האישום המתוקן בשלב מוקדם של ההליך וטרם שמיעת הראיות, ומשכך חסך בזמן שיפוטי יקר</w:t>
      </w:r>
      <w:r w:rsidRPr="004F0C0B">
        <w:rPr>
          <w:rFonts w:ascii="David" w:eastAsia="Calibri" w:hAnsi="David"/>
        </w:rPr>
        <w:t>;</w:t>
      </w:r>
      <w:r w:rsidRPr="004F0C0B">
        <w:rPr>
          <w:rFonts w:ascii="David" w:eastAsia="Calibri" w:hAnsi="David"/>
          <w:rtl/>
        </w:rPr>
        <w:t xml:space="preserve"> הנאשם אינו קטין, אינו סובל מלקות כלשהי ואינו קרוב לסייג לאחריות פלילית. כמו כן, הנאשם לא היה נתון במצוקה נפשית, ולא קדמה למעשיו התגרות כזאת או אחרת</w:t>
      </w:r>
      <w:r w:rsidRPr="004F0C0B">
        <w:rPr>
          <w:rFonts w:ascii="David" w:eastAsia="Calibri" w:hAnsi="David"/>
        </w:rPr>
        <w:t>;</w:t>
      </w:r>
      <w:r w:rsidRPr="004F0C0B">
        <w:rPr>
          <w:rFonts w:ascii="David" w:eastAsia="Calibri" w:hAnsi="David"/>
          <w:rtl/>
        </w:rPr>
        <w:t xml:space="preserve"> </w:t>
      </w:r>
      <w:r w:rsidRPr="004F0C0B">
        <w:rPr>
          <w:rFonts w:ascii="David" w:eastAsia="Calibri" w:hAnsi="David" w:hint="cs"/>
          <w:rtl/>
        </w:rPr>
        <w:t>צוין עברו הפלילי הכבד של הנאשם, הכולל, בין היתר, הרשעה בעבירות בנשק</w:t>
      </w:r>
      <w:r w:rsidRPr="004F0C0B">
        <w:rPr>
          <w:rFonts w:ascii="David" w:eastAsia="Calibri" w:hAnsi="David"/>
        </w:rPr>
        <w:t>;</w:t>
      </w:r>
      <w:r w:rsidRPr="004F0C0B">
        <w:rPr>
          <w:rFonts w:ascii="David" w:eastAsia="Calibri" w:hAnsi="David"/>
          <w:rtl/>
        </w:rPr>
        <w:t xml:space="preserve"> </w:t>
      </w:r>
      <w:r w:rsidRPr="004F0C0B">
        <w:rPr>
          <w:rFonts w:ascii="David" w:eastAsia="Calibri" w:hAnsi="David" w:hint="cs"/>
          <w:rtl/>
        </w:rPr>
        <w:t>הודגש כי הנשק נשוא תיק זה לא הוסגר עד היום לידי משטרת ישראל או לידי שירות הביטחון הכללי</w:t>
      </w:r>
      <w:r w:rsidRPr="004F0C0B">
        <w:rPr>
          <w:rFonts w:ascii="David" w:eastAsia="Calibri" w:hAnsi="David"/>
        </w:rPr>
        <w:t>;</w:t>
      </w:r>
      <w:r w:rsidRPr="004F0C0B">
        <w:rPr>
          <w:rFonts w:ascii="David" w:eastAsia="Calibri" w:hAnsi="David"/>
          <w:rtl/>
        </w:rPr>
        <w:t xml:space="preserve"> </w:t>
      </w:r>
      <w:r w:rsidRPr="004F0C0B">
        <w:rPr>
          <w:rFonts w:ascii="David" w:eastAsia="Calibri" w:hAnsi="David" w:hint="cs"/>
          <w:rtl/>
        </w:rPr>
        <w:t>עוד נטען, כי נסיבות המקרה דנן מצריכות הטלת ענישה אשר תכלול בגדרה הרתעה אישית לנאשם וגם את הרתעת הרבים.</w:t>
      </w:r>
    </w:p>
    <w:p w14:paraId="79C7C9A2" w14:textId="77777777" w:rsidR="00AF1FC8" w:rsidRPr="004F0C0B" w:rsidRDefault="00AF1FC8" w:rsidP="00AF1FC8">
      <w:pPr>
        <w:spacing w:after="120" w:line="360" w:lineRule="auto"/>
        <w:jc w:val="both"/>
        <w:rPr>
          <w:rFonts w:ascii="David" w:eastAsia="Calibri" w:hAnsi="David"/>
          <w:rtl/>
        </w:rPr>
      </w:pPr>
      <w:r w:rsidRPr="004F0C0B">
        <w:rPr>
          <w:rFonts w:ascii="David" w:eastAsia="Calibri" w:hAnsi="David"/>
          <w:rtl/>
        </w:rPr>
        <w:t>לאור המתואר לעיל, ביקשה המאשימה לגזור את עונשו של הנאשם ברף הבינוני-עליון של המתחם המוצע על-ידה. כמו כן, ביקשה להשית על הנאשם עונש מאסר על-תנאי לתקופה ארוכה ומשמעותית, וכן לחייבו בתשלום קנס כספי.</w:t>
      </w:r>
    </w:p>
    <w:p w14:paraId="008F513A" w14:textId="77777777" w:rsidR="00AF1FC8" w:rsidRPr="004F0C0B" w:rsidRDefault="00AF1FC8" w:rsidP="00AF1FC8">
      <w:pPr>
        <w:spacing w:after="120" w:line="360" w:lineRule="auto"/>
        <w:jc w:val="both"/>
        <w:rPr>
          <w:rFonts w:ascii="David" w:eastAsia="Calibri" w:hAnsi="David"/>
          <w:rtl/>
        </w:rPr>
      </w:pPr>
      <w:r w:rsidRPr="004F0C0B">
        <w:rPr>
          <w:rFonts w:ascii="David" w:eastAsia="Calibri" w:hAnsi="David"/>
          <w:rtl/>
        </w:rPr>
        <w:t>צוין כי הנאשם נעצר במסגרת תיק זה, ועד לתום ההליכים המשפטיים בעניינו.</w:t>
      </w:r>
    </w:p>
    <w:p w14:paraId="152BDDD6" w14:textId="77777777" w:rsidR="00AF1FC8" w:rsidRPr="004F0C0B" w:rsidRDefault="00AF1FC8" w:rsidP="00AF1FC8">
      <w:pPr>
        <w:spacing w:after="120"/>
        <w:jc w:val="both"/>
        <w:rPr>
          <w:rFonts w:ascii="David" w:eastAsia="Calibri" w:hAnsi="David"/>
          <w:u w:val="single"/>
          <w:rtl/>
        </w:rPr>
      </w:pPr>
      <w:r w:rsidRPr="004F0C0B">
        <w:rPr>
          <w:rFonts w:ascii="David" w:eastAsia="Calibri" w:hAnsi="David"/>
          <w:u w:val="single"/>
          <w:rtl/>
        </w:rPr>
        <w:t>ההגנה</w:t>
      </w:r>
    </w:p>
    <w:p w14:paraId="4EEA2453" w14:textId="77777777" w:rsidR="00AF1FC8" w:rsidRPr="004F0C0B" w:rsidRDefault="00AF1FC8" w:rsidP="00AF1FC8">
      <w:pPr>
        <w:spacing w:after="120" w:line="360" w:lineRule="auto"/>
        <w:jc w:val="both"/>
        <w:rPr>
          <w:rFonts w:ascii="David" w:eastAsia="Calibri" w:hAnsi="David"/>
          <w:rtl/>
        </w:rPr>
      </w:pPr>
      <w:r w:rsidRPr="004F0C0B">
        <w:rPr>
          <w:rFonts w:ascii="David" w:eastAsia="Calibri" w:hAnsi="David"/>
          <w:rtl/>
        </w:rPr>
        <w:t>מטעמה של ההגנה, השמיע בא-כוחו המלומד של הנאשם, עו"ד מאהר תלחמי, את טיעוני ההגנה לעונש בעל-פה, במסגרת הדיון. בבחינת הנסיבות הקשורות בביצוע העבירות, נטען כי כלל לא נעשה שימוש בנשק, לא למטרות פליליות ולא למטרות ביטחוניות</w:t>
      </w:r>
      <w:r w:rsidRPr="004F0C0B">
        <w:rPr>
          <w:rFonts w:ascii="David" w:eastAsia="Calibri" w:hAnsi="David"/>
        </w:rPr>
        <w:t>;</w:t>
      </w:r>
      <w:r w:rsidRPr="004F0C0B">
        <w:rPr>
          <w:rFonts w:ascii="David" w:eastAsia="Calibri" w:hAnsi="David"/>
          <w:rtl/>
        </w:rPr>
        <w:t xml:space="preserve"> עוד נטען, כי "ההובלה" היחידה שבוצעה הייתה למטרת החבאתו, ולאחר מכן גם לצורך צילום הנשק, הא ותו לא. צוין כי הנאשם לא הסתובב עם הנשק.</w:t>
      </w:r>
    </w:p>
    <w:p w14:paraId="0780515F" w14:textId="77777777" w:rsidR="00AF1FC8" w:rsidRPr="004F0C0B" w:rsidRDefault="00AF1FC8" w:rsidP="00AF1FC8">
      <w:pPr>
        <w:spacing w:after="120" w:line="360" w:lineRule="auto"/>
        <w:jc w:val="both"/>
        <w:rPr>
          <w:rFonts w:ascii="David" w:eastAsia="Calibri" w:hAnsi="David"/>
        </w:rPr>
      </w:pPr>
      <w:r w:rsidRPr="004F0C0B">
        <w:rPr>
          <w:rFonts w:ascii="David" w:eastAsia="Calibri" w:hAnsi="David"/>
          <w:rtl/>
        </w:rPr>
        <w:t>במסגרת טיעוניה, עמדה ההגנה על פסיקה המתאימה לשיטתה לנסיבות המקרה, וכן הגישה את פסקי-הדין אליהם הפנתה. בנוסף, הפנתה ההגנה לפסקי-דין שציינה המאשימה בטיעוניה - באחד מהם נקבע מתחם עונש הולם שנע בין 26 – 38 חודשי מאסר בפועל</w:t>
      </w:r>
      <w:r w:rsidRPr="004F0C0B">
        <w:rPr>
          <w:rFonts w:ascii="David" w:eastAsia="Calibri" w:hAnsi="David"/>
        </w:rPr>
        <w:t>;</w:t>
      </w:r>
      <w:r w:rsidRPr="004F0C0B">
        <w:rPr>
          <w:rFonts w:ascii="David" w:eastAsia="Calibri" w:hAnsi="David"/>
          <w:rtl/>
        </w:rPr>
        <w:t xml:space="preserve"> </w:t>
      </w:r>
      <w:r w:rsidRPr="004F0C0B">
        <w:rPr>
          <w:rFonts w:ascii="David" w:eastAsia="Calibri" w:hAnsi="David" w:hint="cs"/>
          <w:rtl/>
        </w:rPr>
        <w:t>באחר נקבע מתחם עונש הולם שנע בין 24 – 50 חודשי מאסר בפועל.</w:t>
      </w:r>
    </w:p>
    <w:p w14:paraId="60BE50C6" w14:textId="77777777" w:rsidR="00AF1FC8" w:rsidRPr="004F0C0B" w:rsidRDefault="00AF1FC8" w:rsidP="00AF1FC8">
      <w:pPr>
        <w:spacing w:after="120" w:line="360" w:lineRule="auto"/>
        <w:jc w:val="both"/>
        <w:rPr>
          <w:rFonts w:ascii="David" w:eastAsia="Calibri" w:hAnsi="David"/>
          <w:rtl/>
        </w:rPr>
      </w:pPr>
      <w:r w:rsidRPr="004F0C0B">
        <w:rPr>
          <w:rFonts w:ascii="David" w:eastAsia="Calibri" w:hAnsi="David"/>
          <w:rtl/>
        </w:rPr>
        <w:t>בבחינת הנסיבות שאינן קשורות בביצוע העבירה, נטען: הנאשם הודה במעשיו בהזדמנות הראשונה ונטל אחריות עליהם</w:t>
      </w:r>
      <w:r w:rsidRPr="004F0C0B">
        <w:rPr>
          <w:rFonts w:ascii="David" w:eastAsia="Calibri" w:hAnsi="David"/>
        </w:rPr>
        <w:t>;</w:t>
      </w:r>
      <w:r w:rsidRPr="004F0C0B">
        <w:rPr>
          <w:rFonts w:ascii="David" w:eastAsia="Calibri" w:hAnsi="David"/>
          <w:rtl/>
        </w:rPr>
        <w:t xml:space="preserve"> הנאשם הודה במעשים גם בפני בית-המשפט ובכך חסך זמן שיפוטי יקר ובהעדתם של עדי התביעה</w:t>
      </w:r>
      <w:r w:rsidRPr="004F0C0B">
        <w:rPr>
          <w:rFonts w:ascii="David" w:eastAsia="Calibri" w:hAnsi="David"/>
        </w:rPr>
        <w:t>;</w:t>
      </w:r>
      <w:r w:rsidRPr="004F0C0B">
        <w:rPr>
          <w:rFonts w:ascii="David" w:eastAsia="Calibri" w:hAnsi="David"/>
          <w:rtl/>
        </w:rPr>
        <w:t xml:space="preserve"> </w:t>
      </w:r>
      <w:r w:rsidRPr="004F0C0B">
        <w:rPr>
          <w:rFonts w:ascii="David" w:eastAsia="Calibri" w:hAnsi="David" w:hint="cs"/>
          <w:rtl/>
        </w:rPr>
        <w:t>נטען, כי לאור סיווג התיק תחילה כתיק "בטחוני", הוחזק הנאשם בתנאי מעצר קשים, ללא ביקורים וכן ללא ניכוי ימי המאסר מנהלי - התבקשתי להתחשב בכך בגזירת העונש.</w:t>
      </w:r>
    </w:p>
    <w:p w14:paraId="002D9CAB" w14:textId="77777777" w:rsidR="00AF1FC8" w:rsidRPr="004F0C0B" w:rsidRDefault="00AF1FC8" w:rsidP="00AF1FC8">
      <w:pPr>
        <w:spacing w:after="240" w:line="360" w:lineRule="auto"/>
        <w:jc w:val="both"/>
        <w:rPr>
          <w:rFonts w:ascii="David" w:eastAsia="Calibri" w:hAnsi="David"/>
        </w:rPr>
      </w:pPr>
      <w:r w:rsidRPr="004F0C0B">
        <w:rPr>
          <w:rFonts w:ascii="David" w:eastAsia="Calibri" w:hAnsi="David"/>
          <w:rtl/>
        </w:rPr>
        <w:t>לאור המפורט לעיל, ביקשה ההגנה לגזור על הנאשם 30 חודשי מאסר בפועל.</w:t>
      </w:r>
    </w:p>
    <w:p w14:paraId="70DFEC56" w14:textId="77777777" w:rsidR="00AF1FC8" w:rsidRPr="004F0C0B" w:rsidRDefault="00AF1FC8" w:rsidP="00AF1FC8">
      <w:pPr>
        <w:spacing w:after="120"/>
        <w:jc w:val="both"/>
        <w:rPr>
          <w:rFonts w:ascii="David" w:eastAsia="Calibri" w:hAnsi="David"/>
        </w:rPr>
      </w:pPr>
      <w:r w:rsidRPr="004F0C0B">
        <w:rPr>
          <w:rFonts w:ascii="David" w:eastAsia="Calibri" w:hAnsi="David"/>
          <w:u w:val="single"/>
          <w:rtl/>
        </w:rPr>
        <w:t>דבריו של הנאשם</w:t>
      </w:r>
    </w:p>
    <w:p w14:paraId="597AA37E" w14:textId="77777777" w:rsidR="00AF1FC8" w:rsidRPr="004F0C0B" w:rsidRDefault="00AF1FC8" w:rsidP="00AF1FC8">
      <w:pPr>
        <w:spacing w:after="240" w:line="360" w:lineRule="auto"/>
        <w:jc w:val="both"/>
        <w:rPr>
          <w:rFonts w:ascii="David" w:eastAsia="Calibri" w:hAnsi="David"/>
          <w:rtl/>
        </w:rPr>
      </w:pPr>
      <w:r w:rsidRPr="004F0C0B">
        <w:rPr>
          <w:rFonts w:ascii="David" w:eastAsia="Calibri" w:hAnsi="David"/>
          <w:rtl/>
        </w:rPr>
        <w:t>הנאשם פנה לבית-המשפט ומסר כי המצב במגזר הערבי בכי רע, לתחושתו אין מי שישמור עליו מהפשיעה, וכי ביצע את המעשים כדי לשמור על עצמו. עוד תיאר את המצב בסביבתו כ"לא טוב", וציין שהוא נוהג לשמוע בכל לילה על אירועים. בהמשך לכך, השיב לשאלת בית-המשפט כי הוא אינו מוכן למסור את הנשק, וציין שכבן המגזר הערבי הוא אינו חש מוגן.</w:t>
      </w:r>
    </w:p>
    <w:p w14:paraId="50DEF190" w14:textId="77777777" w:rsidR="00AF1FC8" w:rsidRPr="004F0C0B" w:rsidRDefault="00AF1FC8" w:rsidP="00AF1FC8">
      <w:pPr>
        <w:spacing w:after="240"/>
        <w:jc w:val="both"/>
        <w:rPr>
          <w:rFonts w:ascii="David" w:eastAsia="Calibri" w:hAnsi="David"/>
          <w:b/>
          <w:bCs/>
          <w:u w:val="single"/>
          <w:rtl/>
        </w:rPr>
      </w:pPr>
      <w:r w:rsidRPr="004F0C0B">
        <w:rPr>
          <w:rFonts w:ascii="David" w:eastAsia="Calibri" w:hAnsi="David"/>
          <w:b/>
          <w:bCs/>
          <w:u w:val="single"/>
          <w:rtl/>
        </w:rPr>
        <w:t>דיון והכרעה</w:t>
      </w:r>
    </w:p>
    <w:p w14:paraId="13E60485" w14:textId="77777777" w:rsidR="00AF1FC8" w:rsidRPr="004F0C0B" w:rsidRDefault="00AF1FC8" w:rsidP="00AF1FC8">
      <w:pPr>
        <w:spacing w:after="120" w:line="360" w:lineRule="auto"/>
        <w:jc w:val="both"/>
        <w:rPr>
          <w:rFonts w:ascii="David" w:eastAsia="Calibri" w:hAnsi="David"/>
          <w:rtl/>
        </w:rPr>
      </w:pPr>
      <w:r w:rsidRPr="004F0C0B">
        <w:rPr>
          <w:rFonts w:ascii="David" w:eastAsia="Calibri" w:hAnsi="David"/>
          <w:rtl/>
        </w:rPr>
        <w:t>מעשיו של הנאשם דכאן מבטאים פגיעה חמורה בשלום הציבור, בשגרת חייו ובביטחונו. רכישת נשק, תחמושת וציוד, נשיאתם והובלתם במרחב הציבורי, והחזקתם לאורך זמן – מחייבים תגובה עונשית הולמת, נוכח האינטרס הציבורי למנוע או לכל הפחות לצמצם, ככל הניתן, ביצוע מעשים מסוכנים שכאלה, שיש בהם כדי להוות איום על הציבור.</w:t>
      </w:r>
    </w:p>
    <w:p w14:paraId="7A4828AC" w14:textId="77777777" w:rsidR="00AF1FC8" w:rsidRPr="004F0C0B" w:rsidRDefault="00AF1FC8" w:rsidP="00AF1FC8">
      <w:pPr>
        <w:overflowPunct w:val="0"/>
        <w:autoSpaceDE w:val="0"/>
        <w:autoSpaceDN w:val="0"/>
        <w:spacing w:after="120" w:line="360" w:lineRule="auto"/>
        <w:jc w:val="both"/>
        <w:rPr>
          <w:rtl/>
        </w:rPr>
      </w:pPr>
      <w:r w:rsidRPr="004F0C0B">
        <w:rPr>
          <w:rtl/>
        </w:rPr>
        <w:t xml:space="preserve">בכל הנוגע לעבירות שעניינן רכישת כלי נשק, החזקתם ונשיאתם או הובלתם, עמד בית-המשפט העליון, על אודות הצורך במגמת החמרה בענישה, שמא תיגרם פגיעה בשלום הציבור ובביטחונו. </w:t>
      </w:r>
      <w:r w:rsidRPr="004F0C0B">
        <w:rPr>
          <w:rFonts w:ascii="David" w:hAnsi="David"/>
          <w:rtl/>
        </w:rPr>
        <w:t>בעניין זה יפים הדברים של כבוד השופטת ע' ארבל ב</w:t>
      </w:r>
      <w:hyperlink r:id="rId35" w:history="1">
        <w:r w:rsidR="00F524A6" w:rsidRPr="00F524A6">
          <w:rPr>
            <w:rFonts w:ascii="David" w:hAnsi="David"/>
            <w:color w:val="0000FF"/>
            <w:u w:val="single"/>
            <w:rtl/>
          </w:rPr>
          <w:t>ע"פ 4945/13</w:t>
        </w:r>
      </w:hyperlink>
      <w:r w:rsidRPr="004F0C0B">
        <w:rPr>
          <w:rFonts w:ascii="David" w:hAnsi="David"/>
          <w:rtl/>
        </w:rPr>
        <w:t xml:space="preserve"> </w:t>
      </w:r>
      <w:r w:rsidRPr="004F0C0B">
        <w:rPr>
          <w:rFonts w:ascii="David" w:hAnsi="David"/>
          <w:b/>
          <w:bCs/>
          <w:rtl/>
        </w:rPr>
        <w:t>מדינת ישראל נ' סלימאן</w:t>
      </w:r>
      <w:r w:rsidRPr="004F0C0B">
        <w:rPr>
          <w:rFonts w:ascii="David" w:hAnsi="David"/>
          <w:rtl/>
        </w:rPr>
        <w:t>, בפסקה 11 (ניתן ביום 19.1.14):</w:t>
      </w:r>
    </w:p>
    <w:p w14:paraId="3D4D3DD4" w14:textId="77777777" w:rsidR="00AF1FC8" w:rsidRPr="004F0C0B" w:rsidRDefault="00AF1FC8" w:rsidP="00AF1FC8">
      <w:pPr>
        <w:spacing w:after="360"/>
        <w:ind w:left="851" w:right="851"/>
        <w:jc w:val="both"/>
        <w:rPr>
          <w:rFonts w:ascii="Calibri Light" w:eastAsia="Calibri" w:hAnsi="Calibri Light" w:cs="Calibri Light"/>
          <w:rtl/>
        </w:rPr>
      </w:pPr>
      <w:r w:rsidRPr="004F0C0B">
        <w:rPr>
          <w:rFonts w:ascii="Calibri Light" w:eastAsia="Calibri" w:hAnsi="Calibri Light" w:cs="Calibri Light"/>
          <w:rtl/>
        </w:rPr>
        <w:t>"...</w:t>
      </w:r>
      <w:r w:rsidRPr="004F0C0B">
        <w:rPr>
          <w:rFonts w:ascii="Calibri Light" w:eastAsia="Calibri" w:hAnsi="Calibri Light" w:cs="Times New Roman"/>
          <w:b/>
          <w:bCs/>
          <w:rtl/>
        </w:rPr>
        <w:t xml:space="preserve">עבירות המבוצעות בנשק </w:t>
      </w:r>
      <w:r w:rsidRPr="004F0C0B">
        <w:rPr>
          <w:rFonts w:ascii="Calibri Light" w:eastAsia="Calibri" w:hAnsi="Calibri Light" w:cs="Calibri Light"/>
          <w:b/>
          <w:bCs/>
          <w:rtl/>
        </w:rPr>
        <w:t xml:space="preserve">– </w:t>
      </w:r>
      <w:r w:rsidRPr="004F0C0B">
        <w:rPr>
          <w:rFonts w:ascii="Calibri Light" w:eastAsia="Calibri" w:hAnsi="Calibri Light" w:cs="Times New Roman"/>
          <w:b/>
          <w:bCs/>
          <w:rtl/>
        </w:rPr>
        <w:t>לרבות רכישה</w:t>
      </w:r>
      <w:r w:rsidRPr="004F0C0B">
        <w:rPr>
          <w:rFonts w:ascii="Calibri Light" w:eastAsia="Calibri" w:hAnsi="Calibri Light" w:cs="Calibri Light"/>
          <w:b/>
          <w:bCs/>
          <w:rtl/>
        </w:rPr>
        <w:t xml:space="preserve">, </w:t>
      </w:r>
      <w:r w:rsidRPr="004F0C0B">
        <w:rPr>
          <w:rFonts w:ascii="Calibri Light" w:eastAsia="Calibri" w:hAnsi="Calibri Light" w:cs="Times New Roman"/>
          <w:b/>
          <w:bCs/>
          <w:rtl/>
        </w:rPr>
        <w:t xml:space="preserve">החזקה ונשיאת נשק </w:t>
      </w:r>
      <w:r w:rsidRPr="004F0C0B">
        <w:rPr>
          <w:rFonts w:ascii="Calibri Light" w:eastAsia="Calibri" w:hAnsi="Calibri Light" w:cs="Calibri Light"/>
          <w:b/>
          <w:bCs/>
          <w:rtl/>
        </w:rPr>
        <w:t xml:space="preserve">– </w:t>
      </w:r>
      <w:r w:rsidRPr="004F0C0B">
        <w:rPr>
          <w:rFonts w:ascii="Calibri Light" w:eastAsia="Calibri" w:hAnsi="Calibri Light" w:cs="Times New Roman"/>
          <w:b/>
          <w:bCs/>
          <w:rtl/>
        </w:rPr>
        <w:t>טומנות בחובן פוטנציאל סיכון הרסני לפגיעה בשלום הציבור וביטחונו</w:t>
      </w:r>
      <w:r w:rsidRPr="004F0C0B">
        <w:rPr>
          <w:rFonts w:ascii="Calibri Light" w:eastAsia="Calibri" w:hAnsi="Calibri Light" w:cs="Calibri Light"/>
          <w:b/>
          <w:bCs/>
          <w:rtl/>
        </w:rPr>
        <w:t xml:space="preserve">. </w:t>
      </w:r>
      <w:r w:rsidRPr="004F0C0B">
        <w:rPr>
          <w:rFonts w:ascii="Calibri Light" w:eastAsia="Calibri" w:hAnsi="Calibri Light" w:cs="Times New Roman"/>
          <w:b/>
          <w:bCs/>
          <w:rtl/>
        </w:rPr>
        <w:t>החשש הוא כי נשק המוחזק שלא כדין ישמש לפעילות עבריינית העלולה להביא לפגיעה ואף לקיפוח חייהם של אזרחים תמימים</w:t>
      </w:r>
      <w:r w:rsidRPr="004F0C0B">
        <w:rPr>
          <w:rFonts w:ascii="Calibri Light" w:eastAsia="Calibri" w:hAnsi="Calibri Light" w:cs="Calibri Light"/>
          <w:rtl/>
        </w:rPr>
        <w:t xml:space="preserve">. </w:t>
      </w:r>
      <w:r w:rsidRPr="004F0C0B">
        <w:rPr>
          <w:rFonts w:ascii="Calibri Light" w:eastAsia="Calibri" w:hAnsi="Calibri Light" w:cs="Times New Roman"/>
          <w:b/>
          <w:bCs/>
          <w:rtl/>
        </w:rPr>
        <w:t>אכן</w:t>
      </w:r>
      <w:r w:rsidRPr="004F0C0B">
        <w:rPr>
          <w:rFonts w:ascii="Calibri Light" w:eastAsia="Calibri" w:hAnsi="Calibri Light" w:cs="Calibri Light"/>
          <w:b/>
          <w:bCs/>
          <w:rtl/>
        </w:rPr>
        <w:t>, "</w:t>
      </w:r>
      <w:r w:rsidRPr="004F0C0B">
        <w:rPr>
          <w:rFonts w:ascii="Calibri Light" w:eastAsia="Calibri" w:hAnsi="Calibri Light" w:cs="Times New Roman"/>
          <w:b/>
          <w:bCs/>
          <w:rtl/>
        </w:rPr>
        <w:t>התגלגלותם</w:t>
      </w:r>
      <w:r w:rsidRPr="004F0C0B">
        <w:rPr>
          <w:rFonts w:ascii="Calibri Light" w:eastAsia="Calibri" w:hAnsi="Calibri Light" w:cs="Calibri Light"/>
          <w:b/>
          <w:bCs/>
          <w:rtl/>
        </w:rPr>
        <w:t xml:space="preserve">" </w:t>
      </w:r>
      <w:r w:rsidRPr="004F0C0B">
        <w:rPr>
          <w:rFonts w:ascii="Calibri Light" w:eastAsia="Calibri" w:hAnsi="Calibri Light" w:cs="Times New Roman"/>
          <w:b/>
          <w:bCs/>
          <w:rtl/>
        </w:rPr>
        <w:t>של כלי נשק מיד ליד ללא פיקוח עלול להוביל להגעתם בדרך לא דרך לגורמים פליליים ועוינים</w:t>
      </w:r>
      <w:r w:rsidRPr="004F0C0B">
        <w:rPr>
          <w:rFonts w:ascii="Calibri Light" w:eastAsia="Calibri" w:hAnsi="Calibri Light" w:cs="Calibri Light"/>
          <w:b/>
          <w:bCs/>
          <w:rtl/>
        </w:rPr>
        <w:t xml:space="preserve">. </w:t>
      </w:r>
      <w:r w:rsidRPr="004F0C0B">
        <w:rPr>
          <w:rFonts w:ascii="Calibri Light" w:eastAsia="Calibri" w:hAnsi="Calibri Light" w:cs="Times New Roman"/>
          <w:b/>
          <w:bCs/>
          <w:rtl/>
        </w:rPr>
        <w:t>אין לדעת מה יעלה בגורלם של כלי נשק אלה ולאילו תוצאות הרסניות יובילו</w:t>
      </w:r>
      <w:r w:rsidRPr="004F0C0B">
        <w:rPr>
          <w:rFonts w:ascii="Calibri Light" w:eastAsia="Calibri" w:hAnsi="Calibri Light" w:cs="Calibri Light"/>
          <w:rtl/>
        </w:rPr>
        <w:t>.</w:t>
      </w:r>
      <w:r w:rsidRPr="004F0C0B">
        <w:rPr>
          <w:rFonts w:ascii="Calibri Light" w:eastAsia="Calibri" w:hAnsi="Calibri Light" w:cs="Calibri Light"/>
          <w:sz w:val="22"/>
          <w:szCs w:val="22"/>
          <w:rtl/>
        </w:rPr>
        <w:t xml:space="preserve"> </w:t>
      </w:r>
      <w:r w:rsidRPr="004F0C0B">
        <w:rPr>
          <w:rFonts w:ascii="Calibri Light" w:eastAsia="Calibri" w:hAnsi="Calibri Light" w:cs="Times New Roman"/>
          <w:rtl/>
        </w:rPr>
        <w:t>ודוק</w:t>
      </w:r>
      <w:r w:rsidRPr="004F0C0B">
        <w:rPr>
          <w:rFonts w:ascii="Calibri Light" w:eastAsia="Calibri" w:hAnsi="Calibri Light" w:cs="Calibri Light"/>
          <w:rtl/>
        </w:rPr>
        <w:t xml:space="preserve">: </w:t>
      </w:r>
      <w:r w:rsidRPr="004F0C0B">
        <w:rPr>
          <w:rFonts w:ascii="Calibri Light" w:eastAsia="Calibri" w:hAnsi="Calibri Light" w:cs="Times New Roman"/>
          <w:rtl/>
        </w:rPr>
        <w:t>הסיכון שנשקף לשלום הציבור צריך להילקח בחשבון על</w:t>
      </w:r>
      <w:r w:rsidRPr="004F0C0B">
        <w:rPr>
          <w:rFonts w:ascii="Calibri Light" w:eastAsia="Calibri" w:hAnsi="Calibri Light" w:cs="Calibri Light"/>
          <w:rtl/>
        </w:rPr>
        <w:t>-</w:t>
      </w:r>
      <w:r w:rsidRPr="004F0C0B">
        <w:rPr>
          <w:rFonts w:ascii="Calibri Light" w:eastAsia="Calibri" w:hAnsi="Calibri Light" w:cs="Times New Roman"/>
          <w:rtl/>
        </w:rPr>
        <w:t xml:space="preserve">ידי כל מי שמחזיק בידו נשק שלא כדין </w:t>
      </w:r>
      <w:r w:rsidRPr="004F0C0B">
        <w:rPr>
          <w:rFonts w:ascii="Calibri Light" w:eastAsia="Calibri" w:hAnsi="Calibri Light" w:cs="Calibri Light"/>
          <w:rtl/>
        </w:rPr>
        <w:t xml:space="preserve">– </w:t>
      </w:r>
      <w:r w:rsidRPr="004F0C0B">
        <w:rPr>
          <w:rFonts w:ascii="Calibri Light" w:eastAsia="Calibri" w:hAnsi="Calibri Light" w:cs="Times New Roman"/>
          <w:rtl/>
        </w:rPr>
        <w:t>גם אם אינו מחזיק בו למטרת ביצוען של עבירות אחרות</w:t>
      </w:r>
      <w:r w:rsidRPr="004F0C0B">
        <w:rPr>
          <w:rFonts w:ascii="Calibri Light" w:eastAsia="Calibri" w:hAnsi="Calibri Light" w:cs="Calibri Light"/>
          <w:rtl/>
        </w:rPr>
        <w:t xml:space="preserve">. </w:t>
      </w:r>
      <w:r w:rsidRPr="004F0C0B">
        <w:rPr>
          <w:rFonts w:ascii="Calibri Light" w:eastAsia="Calibri" w:hAnsi="Calibri Light" w:cs="Times New Roman"/>
          <w:rtl/>
        </w:rPr>
        <w:t>עצם החזקת נשק בעל פוטנציאל קטילה מבלי שיש עליו ועל בעליו פיקוח מוסדר של הרשויות טומן בחובו סיכון</w:t>
      </w:r>
      <w:r w:rsidRPr="004F0C0B">
        <w:rPr>
          <w:rFonts w:ascii="Calibri Light" w:eastAsia="Calibri" w:hAnsi="Calibri Light" w:cs="Calibri Light"/>
          <w:rtl/>
        </w:rPr>
        <w:t xml:space="preserve">, </w:t>
      </w:r>
      <w:r w:rsidRPr="004F0C0B">
        <w:rPr>
          <w:rFonts w:ascii="Calibri Light" w:eastAsia="Calibri" w:hAnsi="Calibri Light" w:cs="Times New Roman"/>
          <w:rtl/>
        </w:rPr>
        <w:t>באשר המחזיק בו נתון תמיד לחשש שיתפתה לעשות בו שימוש</w:t>
      </w:r>
      <w:r w:rsidRPr="004F0C0B">
        <w:rPr>
          <w:rFonts w:ascii="Calibri Light" w:eastAsia="Calibri" w:hAnsi="Calibri Light" w:cs="Calibri Light"/>
          <w:rtl/>
        </w:rPr>
        <w:t xml:space="preserve">, </w:t>
      </w:r>
      <w:r w:rsidRPr="004F0C0B">
        <w:rPr>
          <w:rFonts w:ascii="Calibri Light" w:eastAsia="Calibri" w:hAnsi="Calibri Light" w:cs="Times New Roman"/>
          <w:rtl/>
        </w:rPr>
        <w:t xml:space="preserve">ולו ברגעי לחץ ופחד </w:t>
      </w:r>
      <w:r w:rsidRPr="004F0C0B">
        <w:rPr>
          <w:rFonts w:ascii="Calibri Light" w:eastAsia="Calibri" w:hAnsi="Calibri Light" w:cs="Calibri Light"/>
          <w:rtl/>
        </w:rPr>
        <w:t>(</w:t>
      </w:r>
      <w:r w:rsidRPr="004F0C0B">
        <w:rPr>
          <w:rFonts w:ascii="Calibri Light" w:eastAsia="Calibri" w:hAnsi="Calibri Light" w:cs="Times New Roman"/>
          <w:rtl/>
        </w:rPr>
        <w:t>ראו</w:t>
      </w:r>
      <w:r w:rsidRPr="004F0C0B">
        <w:rPr>
          <w:rFonts w:ascii="Calibri Light" w:eastAsia="Calibri" w:hAnsi="Calibri Light" w:cs="Calibri Light"/>
          <w:rtl/>
        </w:rPr>
        <w:t xml:space="preserve">: </w:t>
      </w:r>
      <w:hyperlink r:id="rId36" w:history="1">
        <w:r w:rsidR="00F524A6" w:rsidRPr="00F524A6">
          <w:rPr>
            <w:rFonts w:ascii="Calibri Light" w:eastAsia="Calibri" w:hAnsi="Calibri Light" w:cs="Times New Roman"/>
            <w:color w:val="0000FF"/>
            <w:u w:val="single"/>
            <w:rtl/>
          </w:rPr>
          <w:t>ע"פ 3300/06</w:t>
        </w:r>
      </w:hyperlink>
      <w:r w:rsidRPr="004F0C0B">
        <w:rPr>
          <w:rFonts w:ascii="Calibri Light" w:eastAsia="Calibri" w:hAnsi="Calibri Light" w:cs="Calibri Light"/>
          <w:rtl/>
        </w:rPr>
        <w:t xml:space="preserve"> </w:t>
      </w:r>
      <w:r w:rsidRPr="004F0C0B">
        <w:rPr>
          <w:rFonts w:ascii="Calibri Light" w:eastAsia="Calibri" w:hAnsi="Calibri Light" w:cs="Times New Roman"/>
          <w:rtl/>
        </w:rPr>
        <w:t>אבו סנינה נ</w:t>
      </w:r>
      <w:r w:rsidRPr="004F0C0B">
        <w:rPr>
          <w:rFonts w:ascii="Calibri Light" w:eastAsia="Calibri" w:hAnsi="Calibri Light" w:cs="Calibri Light"/>
          <w:rtl/>
        </w:rPr>
        <w:t xml:space="preserve">' </w:t>
      </w:r>
      <w:r w:rsidRPr="004F0C0B">
        <w:rPr>
          <w:rFonts w:ascii="Calibri Light" w:eastAsia="Calibri" w:hAnsi="Calibri Light" w:cs="Times New Roman"/>
          <w:rtl/>
        </w:rPr>
        <w:t>מדינת ישראל</w:t>
      </w:r>
      <w:r w:rsidRPr="004F0C0B">
        <w:rPr>
          <w:rFonts w:ascii="Calibri Light" w:eastAsia="Calibri" w:hAnsi="Calibri Light" w:cs="Calibri Light"/>
          <w:rtl/>
        </w:rPr>
        <w:t>, [</w:t>
      </w:r>
      <w:r w:rsidRPr="004F0C0B">
        <w:rPr>
          <w:rFonts w:ascii="Calibri Light" w:eastAsia="Calibri" w:hAnsi="Calibri Light" w:cs="Times New Roman"/>
          <w:rtl/>
        </w:rPr>
        <w:t>פורסם בנבו</w:t>
      </w:r>
      <w:r w:rsidRPr="004F0C0B">
        <w:rPr>
          <w:rFonts w:ascii="Calibri Light" w:eastAsia="Calibri" w:hAnsi="Calibri Light" w:cs="Calibri Light"/>
          <w:rtl/>
        </w:rPr>
        <w:t xml:space="preserve">] </w:t>
      </w:r>
      <w:r w:rsidRPr="004F0C0B">
        <w:rPr>
          <w:rFonts w:ascii="Calibri Light" w:eastAsia="Calibri" w:hAnsi="Calibri Light" w:cs="Times New Roman"/>
          <w:rtl/>
        </w:rPr>
        <w:t xml:space="preserve">פסקה </w:t>
      </w:r>
      <w:r w:rsidRPr="004F0C0B">
        <w:rPr>
          <w:rFonts w:ascii="Calibri Light" w:eastAsia="Calibri" w:hAnsi="Calibri Light" w:cs="Calibri Light"/>
          <w:rtl/>
        </w:rPr>
        <w:t>6 (10.8.2006)"</w:t>
      </w:r>
    </w:p>
    <w:p w14:paraId="5749C4DB" w14:textId="77777777" w:rsidR="00AF1FC8" w:rsidRPr="004F0C0B" w:rsidRDefault="00AF1FC8" w:rsidP="00AF1FC8">
      <w:pPr>
        <w:spacing w:after="240" w:line="360" w:lineRule="auto"/>
        <w:jc w:val="both"/>
        <w:rPr>
          <w:rFonts w:ascii="David" w:eastAsia="Calibri" w:hAnsi="David"/>
          <w:rtl/>
        </w:rPr>
      </w:pPr>
      <w:r w:rsidRPr="004F0C0B">
        <w:rPr>
          <w:rFonts w:ascii="David" w:eastAsia="Calibri" w:hAnsi="David"/>
          <w:rtl/>
        </w:rPr>
        <w:t xml:space="preserve">ככלל, בעת ביצוע מלאכת הענישה, העיקרון המנחה שנקבע במסגרת תורת הבניית שיקול-הדעת השיפוטי, הוא עקרון ההלימה: משמע, </w:t>
      </w:r>
      <w:r w:rsidRPr="004F0C0B">
        <w:rPr>
          <w:rFonts w:ascii="David" w:eastAsia="Calibri" w:hAnsi="David"/>
          <w:u w:val="single"/>
          <w:rtl/>
        </w:rPr>
        <w:t>שימור יחס הולם בין חומרת מעשה העבירה בנסיבותיו ומידת אשמו של הנאשם - ובין סוג העונש המוטל עליו ומידתו</w:t>
      </w:r>
      <w:r w:rsidRPr="004F0C0B">
        <w:rPr>
          <w:rFonts w:ascii="David" w:eastAsia="Calibri" w:hAnsi="David"/>
          <w:rtl/>
        </w:rPr>
        <w:t>. על מנת לשמר יחס זה, עובר לקביעת העונש יש לשרטט מתחם עונש הולם, תוך התחשבות בערך החברתי שנפגע, במידת הפגיעה בו, במדיניות הענישה הנוהגת, ובנסיבות הקשורות בביצוע העבירות. מכאן, לאחר קביעת המתחם, וככל שלא מצא לנכון בית-המשפט לסטות הימנו מטעמים של שיקולי שיקום או של הגנה על הציבור, ייקבע העונש המתאים לנאשם, בשים לב לנסיבותיו האישיות ולנתונים נוספים, שאינם קשורים בביצוע העבירות.</w:t>
      </w:r>
    </w:p>
    <w:p w14:paraId="4411F367" w14:textId="77777777" w:rsidR="00AF1FC8" w:rsidRPr="004F0C0B" w:rsidRDefault="00AF1FC8" w:rsidP="00AF1FC8">
      <w:pPr>
        <w:spacing w:after="240" w:line="360" w:lineRule="auto"/>
        <w:jc w:val="both"/>
        <w:rPr>
          <w:rFonts w:ascii="David" w:eastAsia="Calibri" w:hAnsi="David"/>
          <w:rtl/>
        </w:rPr>
      </w:pPr>
      <w:r w:rsidRPr="004F0C0B">
        <w:rPr>
          <w:rFonts w:ascii="David" w:eastAsia="Calibri" w:hAnsi="David"/>
          <w:rtl/>
        </w:rPr>
        <w:t>אין חולק כי העבירות החמורות אותן ביצע הנאשם מהוות יחדיו "</w:t>
      </w:r>
      <w:r w:rsidRPr="004F0C0B">
        <w:rPr>
          <w:rFonts w:ascii="David" w:eastAsia="Calibri" w:hAnsi="David"/>
          <w:b/>
          <w:bCs/>
          <w:rtl/>
        </w:rPr>
        <w:t>אירוע אחד</w:t>
      </w:r>
      <w:r w:rsidRPr="004F0C0B">
        <w:rPr>
          <w:rFonts w:ascii="David" w:eastAsia="Calibri" w:hAnsi="David"/>
          <w:rtl/>
        </w:rPr>
        <w:t xml:space="preserve">", הטומן בחובו מספר עבירות, שקיים ביניהן 'קשר הדוק' – העבירות התרחשו בסמיכות ובחפיפה, כחלק בלתי-נפרד מתוכנית עבריינית אחת, אשר תכליתה לרכוש, לשאת, להוביל ולהחזיק בנשק, בתחמושת ובציוד נלווה, כמפורט לעיל בכתב-האישום המתוקן [ראו לעניין זה: </w:t>
      </w:r>
      <w:hyperlink r:id="rId37" w:history="1">
        <w:r w:rsidR="00F524A6" w:rsidRPr="00F524A6">
          <w:rPr>
            <w:rFonts w:ascii="David" w:eastAsia="Calibri" w:hAnsi="David"/>
            <w:color w:val="0000FF"/>
            <w:u w:val="single"/>
            <w:rtl/>
          </w:rPr>
          <w:t>ע"פ 4910/13</w:t>
        </w:r>
      </w:hyperlink>
      <w:r w:rsidRPr="004F0C0B">
        <w:rPr>
          <w:rFonts w:ascii="David" w:eastAsia="Calibri" w:hAnsi="David"/>
          <w:rtl/>
        </w:rPr>
        <w:t xml:space="preserve"> </w:t>
      </w:r>
      <w:r w:rsidRPr="004F0C0B">
        <w:rPr>
          <w:rFonts w:ascii="David" w:eastAsia="Calibri" w:hAnsi="David"/>
          <w:b/>
          <w:bCs/>
          <w:rtl/>
        </w:rPr>
        <w:t>ג'אבר נ' מדינת ישראל</w:t>
      </w:r>
      <w:r w:rsidRPr="004F0C0B">
        <w:rPr>
          <w:rFonts w:ascii="David" w:eastAsia="Calibri" w:hAnsi="David"/>
          <w:rtl/>
        </w:rPr>
        <w:t xml:space="preserve">, מפי כב' השופטת ברק-ארז, ניתן ביום 29.10.14; </w:t>
      </w:r>
      <w:hyperlink r:id="rId38" w:history="1">
        <w:r w:rsidR="00F524A6" w:rsidRPr="00F524A6">
          <w:rPr>
            <w:rFonts w:ascii="David" w:eastAsia="Calibri" w:hAnsi="David"/>
            <w:color w:val="0000FF"/>
            <w:u w:val="single"/>
            <w:rtl/>
          </w:rPr>
          <w:t>ע"פ 9308/12</w:t>
        </w:r>
      </w:hyperlink>
      <w:r w:rsidRPr="004F0C0B">
        <w:rPr>
          <w:rFonts w:ascii="David" w:eastAsia="Calibri" w:hAnsi="David"/>
          <w:rtl/>
        </w:rPr>
        <w:t xml:space="preserve"> </w:t>
      </w:r>
      <w:r w:rsidRPr="004F0C0B">
        <w:rPr>
          <w:rFonts w:ascii="David" w:eastAsia="Calibri" w:hAnsi="David"/>
          <w:b/>
          <w:bCs/>
          <w:rtl/>
        </w:rPr>
        <w:t>עיסא נ' מדינת ישראל</w:t>
      </w:r>
      <w:r w:rsidRPr="004F0C0B">
        <w:rPr>
          <w:rFonts w:ascii="David" w:eastAsia="Calibri" w:hAnsi="David"/>
          <w:rtl/>
        </w:rPr>
        <w:t xml:space="preserve">, ניתן ביום 30.7.15]. משכך, ייקבע מתחם עונש אחד הולם לכלל המעשים, זאת לפי </w:t>
      </w:r>
      <w:hyperlink r:id="rId39" w:history="1">
        <w:r w:rsidR="00F52168" w:rsidRPr="00F52168">
          <w:rPr>
            <w:rStyle w:val="Hyperlink"/>
            <w:rFonts w:ascii="David" w:eastAsia="Calibri" w:hAnsi="David"/>
            <w:color w:val="0000FF"/>
            <w:rtl/>
          </w:rPr>
          <w:t>סעיף 40יג(א)</w:t>
        </w:r>
      </w:hyperlink>
      <w:r w:rsidRPr="004F0C0B">
        <w:rPr>
          <w:rFonts w:ascii="David" w:eastAsia="Calibri" w:hAnsi="David"/>
          <w:rtl/>
        </w:rPr>
        <w:t xml:space="preserve"> ל</w:t>
      </w:r>
      <w:hyperlink r:id="rId40" w:history="1">
        <w:r w:rsidR="00F524A6" w:rsidRPr="00F524A6">
          <w:rPr>
            <w:rFonts w:ascii="David" w:eastAsia="Calibri" w:hAnsi="David"/>
            <w:color w:val="0000FF"/>
            <w:u w:val="single"/>
            <w:rtl/>
          </w:rPr>
          <w:t>חוק העונשין</w:t>
        </w:r>
      </w:hyperlink>
      <w:r w:rsidRPr="004F0C0B">
        <w:rPr>
          <w:rFonts w:ascii="David" w:eastAsia="Calibri" w:hAnsi="David"/>
          <w:rtl/>
        </w:rPr>
        <w:t xml:space="preserve">. יודגש, כי בגזירת העונש יישמר היחס ההולם בין חומרת מכלול המעשים ומידת אשמו של הנאשם, לבין תקופת המאסר שיהא עליו לרצות וזאת לפי </w:t>
      </w:r>
      <w:hyperlink r:id="rId41" w:history="1">
        <w:r w:rsidR="00F52168" w:rsidRPr="00F52168">
          <w:rPr>
            <w:rStyle w:val="Hyperlink"/>
            <w:rFonts w:ascii="David" w:eastAsia="Calibri" w:hAnsi="David"/>
            <w:color w:val="0000FF"/>
            <w:rtl/>
          </w:rPr>
          <w:t>סעיף 40יג(ג)</w:t>
        </w:r>
      </w:hyperlink>
      <w:r w:rsidRPr="004F0C0B">
        <w:rPr>
          <w:rFonts w:ascii="David" w:eastAsia="Calibri" w:hAnsi="David"/>
          <w:rtl/>
        </w:rPr>
        <w:t xml:space="preserve"> לחוק.</w:t>
      </w:r>
    </w:p>
    <w:p w14:paraId="7FB39B31" w14:textId="77777777" w:rsidR="00AF1FC8" w:rsidRPr="004F0C0B" w:rsidRDefault="00AF1FC8" w:rsidP="00AF1FC8">
      <w:pPr>
        <w:spacing w:after="120" w:line="360" w:lineRule="auto"/>
        <w:jc w:val="both"/>
        <w:rPr>
          <w:rFonts w:ascii="David" w:eastAsia="Calibri" w:hAnsi="David"/>
          <w:rtl/>
        </w:rPr>
      </w:pPr>
      <w:r w:rsidRPr="004F0C0B">
        <w:rPr>
          <w:rFonts w:ascii="David" w:eastAsia="Calibri" w:hAnsi="David"/>
          <w:rtl/>
        </w:rPr>
        <w:t xml:space="preserve">בכל הנוגע </w:t>
      </w:r>
      <w:r w:rsidRPr="004F0C0B">
        <w:rPr>
          <w:rFonts w:ascii="David" w:eastAsia="Calibri" w:hAnsi="David"/>
          <w:b/>
          <w:bCs/>
          <w:rtl/>
        </w:rPr>
        <w:t>לערכים החברתיים המוגנים</w:t>
      </w:r>
      <w:r w:rsidRPr="004F0C0B">
        <w:rPr>
          <w:rFonts w:ascii="David" w:eastAsia="Calibri" w:hAnsi="David"/>
          <w:rtl/>
        </w:rPr>
        <w:t xml:space="preserve"> שנפגעו כפועל יוצא ממעשיו של נאשם זה, הרי שהדברים מובנים מאליהם: הרוכש, המחזיק, הנושא והמוביל נשק בלא-רשות על-פי דין - פוגע בראש ובראשונה </w:t>
      </w:r>
      <w:r w:rsidRPr="004F0C0B">
        <w:rPr>
          <w:rFonts w:ascii="David" w:eastAsia="Calibri" w:hAnsi="David"/>
          <w:b/>
          <w:bCs/>
          <w:rtl/>
        </w:rPr>
        <w:t>בביטחון המדינה, במנגנוני שלטונה</w:t>
      </w:r>
      <w:r w:rsidRPr="004F0C0B">
        <w:rPr>
          <w:rFonts w:ascii="David" w:eastAsia="Calibri" w:hAnsi="David"/>
          <w:rtl/>
        </w:rPr>
        <w:t xml:space="preserve"> </w:t>
      </w:r>
      <w:r w:rsidRPr="004F0C0B">
        <w:rPr>
          <w:rFonts w:ascii="David" w:eastAsia="Calibri" w:hAnsi="David"/>
          <w:b/>
          <w:bCs/>
          <w:rtl/>
        </w:rPr>
        <w:t>ובביטחון הציבור</w:t>
      </w:r>
      <w:r w:rsidRPr="004F0C0B">
        <w:rPr>
          <w:rFonts w:ascii="David" w:eastAsia="Calibri" w:hAnsi="David"/>
          <w:rtl/>
        </w:rPr>
        <w:t>,</w:t>
      </w:r>
      <w:r w:rsidRPr="004F0C0B">
        <w:rPr>
          <w:rFonts w:ascii="David" w:eastAsia="Calibri" w:hAnsi="David"/>
          <w:b/>
          <w:bCs/>
          <w:rtl/>
        </w:rPr>
        <w:t xml:space="preserve"> </w:t>
      </w:r>
      <w:r w:rsidRPr="004F0C0B">
        <w:rPr>
          <w:rFonts w:ascii="David" w:eastAsia="Calibri" w:hAnsi="David"/>
          <w:rtl/>
        </w:rPr>
        <w:t xml:space="preserve">הנחשף לסכנה ממשית לשלמות גופו, נפשו ורכושו. בבחינת מעשי הנאשם, סבור אני כי </w:t>
      </w:r>
      <w:r w:rsidRPr="004F0C0B">
        <w:rPr>
          <w:rFonts w:ascii="David" w:eastAsia="Calibri" w:hAnsi="David"/>
          <w:b/>
          <w:bCs/>
          <w:rtl/>
        </w:rPr>
        <w:t>הפגיעה בערכים אלו היא גבוהה</w:t>
      </w:r>
      <w:r w:rsidRPr="004F0C0B">
        <w:rPr>
          <w:rFonts w:ascii="David" w:eastAsia="Calibri" w:hAnsi="David"/>
          <w:rtl/>
        </w:rPr>
        <w:t>.</w:t>
      </w:r>
    </w:p>
    <w:p w14:paraId="2855B2C5" w14:textId="77777777" w:rsidR="00AF1FC8" w:rsidRPr="004F0C0B" w:rsidRDefault="00AF1FC8" w:rsidP="00AF1FC8">
      <w:pPr>
        <w:overflowPunct w:val="0"/>
        <w:autoSpaceDE w:val="0"/>
        <w:autoSpaceDN w:val="0"/>
        <w:spacing w:after="120" w:line="360" w:lineRule="auto"/>
        <w:jc w:val="both"/>
      </w:pPr>
      <w:r w:rsidRPr="004F0C0B">
        <w:rPr>
          <w:rtl/>
        </w:rPr>
        <w:t>בעניין זה, יפים הם הדברים שנכתבו ב-</w:t>
      </w:r>
      <w:hyperlink r:id="rId42" w:history="1">
        <w:r w:rsidR="00F524A6" w:rsidRPr="00F524A6">
          <w:rPr>
            <w:color w:val="0000FF"/>
            <w:u w:val="single"/>
            <w:rtl/>
          </w:rPr>
          <w:t>ע"פ 5522/20</w:t>
        </w:r>
      </w:hyperlink>
      <w:r w:rsidRPr="004F0C0B">
        <w:rPr>
          <w:rtl/>
        </w:rPr>
        <w:t xml:space="preserve"> </w:t>
      </w:r>
      <w:r w:rsidRPr="004F0C0B">
        <w:rPr>
          <w:b/>
          <w:bCs/>
          <w:rtl/>
        </w:rPr>
        <w:t>חלייחל נ' מדינת ישראל</w:t>
      </w:r>
      <w:r w:rsidRPr="004F0C0B">
        <w:rPr>
          <w:rtl/>
        </w:rPr>
        <w:t>, (ניתן ביום 24.2.21):</w:t>
      </w:r>
    </w:p>
    <w:p w14:paraId="7AB7EEBA" w14:textId="77777777" w:rsidR="00AF1FC8" w:rsidRPr="004F0C0B" w:rsidRDefault="00AF1FC8" w:rsidP="00AF1FC8">
      <w:pPr>
        <w:tabs>
          <w:tab w:val="left" w:pos="800"/>
        </w:tabs>
        <w:overflowPunct w:val="0"/>
        <w:autoSpaceDE w:val="0"/>
        <w:autoSpaceDN w:val="0"/>
        <w:adjustRightInd w:val="0"/>
        <w:spacing w:after="240"/>
        <w:ind w:left="851" w:right="851"/>
        <w:jc w:val="both"/>
        <w:rPr>
          <w:rFonts w:ascii="Calibri Light" w:hAnsi="Calibri Light" w:cs="Calibri Light"/>
          <w:spacing w:val="10"/>
          <w:rtl/>
        </w:rPr>
      </w:pPr>
      <w:r w:rsidRPr="004F0C0B">
        <w:rPr>
          <w:rFonts w:ascii="Calibri Light" w:hAnsi="Calibri Light" w:cs="Calibri Light"/>
          <w:spacing w:val="10"/>
          <w:rtl/>
        </w:rPr>
        <w:t>"</w:t>
      </w:r>
      <w:r w:rsidRPr="004F0C0B">
        <w:rPr>
          <w:rFonts w:ascii="Calibri Light" w:hAnsi="Calibri Light" w:cs="Times New Roman"/>
          <w:spacing w:val="10"/>
          <w:rtl/>
        </w:rPr>
        <w:t xml:space="preserve">סעיף </w:t>
      </w:r>
      <w:r w:rsidRPr="004F0C0B">
        <w:rPr>
          <w:rFonts w:ascii="Calibri Light" w:hAnsi="Calibri Light" w:cs="Calibri Light"/>
          <w:spacing w:val="10"/>
          <w:rtl/>
        </w:rPr>
        <w:t>144(</w:t>
      </w:r>
      <w:r w:rsidRPr="004F0C0B">
        <w:rPr>
          <w:rFonts w:ascii="Calibri Light" w:hAnsi="Calibri Light" w:cs="Times New Roman"/>
          <w:spacing w:val="10"/>
          <w:rtl/>
        </w:rPr>
        <w:t>ב</w:t>
      </w:r>
      <w:r w:rsidRPr="004F0C0B">
        <w:rPr>
          <w:rFonts w:ascii="Calibri Light" w:hAnsi="Calibri Light" w:cs="Calibri Light"/>
          <w:spacing w:val="10"/>
          <w:rtl/>
        </w:rPr>
        <w:t xml:space="preserve">) </w:t>
      </w:r>
      <w:r w:rsidRPr="004F0C0B">
        <w:rPr>
          <w:rFonts w:ascii="Calibri Light" w:hAnsi="Calibri Light" w:cs="Times New Roman"/>
          <w:spacing w:val="10"/>
          <w:rtl/>
        </w:rPr>
        <w:t>ל</w:t>
      </w:r>
      <w:hyperlink r:id="rId43" w:history="1">
        <w:r w:rsidR="00F524A6" w:rsidRPr="00F524A6">
          <w:rPr>
            <w:rFonts w:ascii="Calibri Light" w:hAnsi="Calibri Light" w:cs="Times New Roman" w:hint="eastAsia"/>
            <w:color w:val="0000FF"/>
            <w:spacing w:val="10"/>
            <w:u w:val="single"/>
            <w:rtl/>
          </w:rPr>
          <w:t>חוק</w:t>
        </w:r>
        <w:r w:rsidR="00F524A6" w:rsidRPr="00F524A6">
          <w:rPr>
            <w:rFonts w:ascii="Calibri Light" w:hAnsi="Calibri Light" w:cs="Times New Roman"/>
            <w:color w:val="0000FF"/>
            <w:spacing w:val="10"/>
            <w:u w:val="single"/>
            <w:rtl/>
          </w:rPr>
          <w:t xml:space="preserve"> </w:t>
        </w:r>
        <w:r w:rsidR="00F524A6" w:rsidRPr="00F524A6">
          <w:rPr>
            <w:rFonts w:ascii="Calibri Light" w:hAnsi="Calibri Light" w:cs="Times New Roman" w:hint="eastAsia"/>
            <w:color w:val="0000FF"/>
            <w:spacing w:val="10"/>
            <w:u w:val="single"/>
            <w:rtl/>
          </w:rPr>
          <w:t>העונשין</w:t>
        </w:r>
      </w:hyperlink>
      <w:r w:rsidRPr="004F0C0B">
        <w:rPr>
          <w:rFonts w:ascii="Calibri Light" w:hAnsi="Calibri Light" w:cs="Times New Roman"/>
          <w:spacing w:val="10"/>
          <w:rtl/>
        </w:rPr>
        <w:t xml:space="preserve"> אוסר על נשיאה או הובלה של כלי</w:t>
      </w:r>
      <w:r w:rsidRPr="004F0C0B">
        <w:rPr>
          <w:rFonts w:ascii="Calibri Light" w:hAnsi="Calibri Light" w:cs="Calibri Light"/>
          <w:spacing w:val="10"/>
          <w:rtl/>
        </w:rPr>
        <w:t>-</w:t>
      </w:r>
      <w:r w:rsidRPr="004F0C0B">
        <w:rPr>
          <w:rFonts w:ascii="Calibri Light" w:hAnsi="Calibri Light" w:cs="Times New Roman"/>
          <w:spacing w:val="10"/>
          <w:rtl/>
        </w:rPr>
        <w:t>נשק</w:t>
      </w:r>
      <w:r w:rsidRPr="004F0C0B">
        <w:rPr>
          <w:rFonts w:ascii="Calibri Light" w:hAnsi="Calibri Light" w:cs="Calibri Light"/>
          <w:spacing w:val="10"/>
          <w:rtl/>
        </w:rPr>
        <w:t xml:space="preserve">, </w:t>
      </w:r>
      <w:r w:rsidRPr="004F0C0B">
        <w:rPr>
          <w:rFonts w:ascii="Calibri Light" w:hAnsi="Calibri Light" w:cs="Calibri Light"/>
          <w:b/>
          <w:rtl/>
        </w:rPr>
        <w:t>"</w:t>
      </w:r>
      <w:r w:rsidRPr="004F0C0B">
        <w:rPr>
          <w:rFonts w:ascii="Calibri Light" w:hAnsi="Calibri Light" w:cs="Times New Roman"/>
          <w:b/>
          <w:rtl/>
        </w:rPr>
        <w:t>בלא רשות על פי דין</w:t>
      </w:r>
      <w:r w:rsidRPr="004F0C0B">
        <w:rPr>
          <w:rFonts w:ascii="Calibri Light" w:hAnsi="Calibri Light" w:cs="Calibri Light"/>
          <w:b/>
          <w:rtl/>
        </w:rPr>
        <w:t>"</w:t>
      </w:r>
      <w:r w:rsidRPr="004F0C0B">
        <w:rPr>
          <w:rFonts w:ascii="Calibri Light" w:hAnsi="Calibri Light" w:cs="Calibri Light"/>
          <w:spacing w:val="10"/>
          <w:rtl/>
        </w:rPr>
        <w:t xml:space="preserve">. </w:t>
      </w:r>
      <w:r w:rsidRPr="004F0C0B">
        <w:rPr>
          <w:rFonts w:ascii="Calibri Light" w:hAnsi="Calibri Light" w:cs="Times New Roman"/>
          <w:b/>
          <w:bCs/>
          <w:spacing w:val="10"/>
          <w:rtl/>
        </w:rPr>
        <w:t>האיסור נועד להגן על ערך חיי האדם</w:t>
      </w:r>
      <w:r w:rsidRPr="004F0C0B">
        <w:rPr>
          <w:rFonts w:ascii="Calibri Light" w:hAnsi="Calibri Light" w:cs="Calibri Light"/>
          <w:b/>
          <w:bCs/>
          <w:spacing w:val="10"/>
          <w:rtl/>
        </w:rPr>
        <w:t xml:space="preserve">, </w:t>
      </w:r>
      <w:r w:rsidRPr="004F0C0B">
        <w:rPr>
          <w:rFonts w:ascii="Calibri Light" w:hAnsi="Calibri Light" w:cs="Times New Roman"/>
          <w:b/>
          <w:bCs/>
          <w:spacing w:val="10"/>
          <w:rtl/>
        </w:rPr>
        <w:t>שלמות גופו ונפשו</w:t>
      </w:r>
      <w:r w:rsidRPr="004F0C0B">
        <w:rPr>
          <w:rFonts w:ascii="Calibri Light" w:hAnsi="Calibri Light" w:cs="Calibri Light"/>
          <w:b/>
          <w:bCs/>
          <w:spacing w:val="10"/>
          <w:rtl/>
        </w:rPr>
        <w:t xml:space="preserve">, </w:t>
      </w:r>
      <w:r w:rsidRPr="004F0C0B">
        <w:rPr>
          <w:rFonts w:ascii="Calibri Light" w:hAnsi="Calibri Light" w:cs="Times New Roman"/>
          <w:b/>
          <w:bCs/>
          <w:spacing w:val="10"/>
          <w:rtl/>
        </w:rPr>
        <w:t>כמו גם לקדם את השמירה על הסדר הציבורי ואורח חיים תקין</w:t>
      </w:r>
      <w:r w:rsidRPr="004F0C0B">
        <w:rPr>
          <w:rFonts w:ascii="Calibri Light" w:hAnsi="Calibri Light" w:cs="Calibri Light"/>
          <w:b/>
          <w:bCs/>
          <w:spacing w:val="10"/>
          <w:rtl/>
        </w:rPr>
        <w:t xml:space="preserve">, </w:t>
      </w:r>
      <w:r w:rsidRPr="004F0C0B">
        <w:rPr>
          <w:rFonts w:ascii="Calibri Light" w:hAnsi="Calibri Light" w:cs="Times New Roman"/>
          <w:b/>
          <w:bCs/>
          <w:spacing w:val="10"/>
          <w:rtl/>
        </w:rPr>
        <w:t>שלו ובטוח</w:t>
      </w:r>
      <w:r w:rsidRPr="004F0C0B">
        <w:rPr>
          <w:rFonts w:ascii="Calibri Light" w:hAnsi="Calibri Light" w:cs="Calibri Light"/>
          <w:b/>
          <w:bCs/>
          <w:spacing w:val="10"/>
          <w:rtl/>
        </w:rPr>
        <w:t xml:space="preserve">... </w:t>
      </w:r>
      <w:r w:rsidRPr="004F0C0B">
        <w:rPr>
          <w:rFonts w:ascii="Calibri Light" w:hAnsi="Calibri Light" w:cs="Times New Roman"/>
          <w:b/>
          <w:bCs/>
          <w:spacing w:val="10"/>
          <w:rtl/>
        </w:rPr>
        <w:t>עבירה זו</w:t>
      </w:r>
      <w:r w:rsidRPr="004F0C0B">
        <w:rPr>
          <w:rFonts w:ascii="Calibri Light" w:hAnsi="Calibri Light" w:cs="Calibri Light"/>
          <w:b/>
          <w:bCs/>
          <w:spacing w:val="10"/>
          <w:rtl/>
        </w:rPr>
        <w:t xml:space="preserve">, </w:t>
      </w:r>
      <w:r w:rsidRPr="004F0C0B">
        <w:rPr>
          <w:rFonts w:ascii="Calibri Light" w:hAnsi="Calibri Light" w:cs="Times New Roman"/>
          <w:b/>
          <w:bCs/>
          <w:spacing w:val="10"/>
          <w:rtl/>
        </w:rPr>
        <w:t>כמו יתר עבירות הנשק</w:t>
      </w:r>
      <w:r w:rsidRPr="004F0C0B">
        <w:rPr>
          <w:rFonts w:ascii="Calibri Light" w:hAnsi="Calibri Light" w:cs="Calibri Light"/>
          <w:b/>
          <w:bCs/>
          <w:spacing w:val="10"/>
          <w:rtl/>
        </w:rPr>
        <w:t xml:space="preserve">, </w:t>
      </w:r>
      <w:r w:rsidRPr="004F0C0B">
        <w:rPr>
          <w:rFonts w:ascii="Calibri Light" w:hAnsi="Calibri Light" w:cs="Times New Roman"/>
          <w:b/>
          <w:bCs/>
          <w:spacing w:val="10"/>
          <w:rtl/>
        </w:rPr>
        <w:t>נועדה למנוע התנהגות מסוכנת</w:t>
      </w:r>
      <w:r w:rsidRPr="004F0C0B">
        <w:rPr>
          <w:rFonts w:ascii="Calibri Light" w:hAnsi="Calibri Light" w:cs="Calibri Light"/>
          <w:b/>
          <w:bCs/>
          <w:spacing w:val="10"/>
          <w:rtl/>
        </w:rPr>
        <w:t xml:space="preserve">, </w:t>
      </w:r>
      <w:r w:rsidRPr="004F0C0B">
        <w:rPr>
          <w:rFonts w:ascii="Calibri Light" w:hAnsi="Calibri Light" w:cs="Times New Roman"/>
          <w:b/>
          <w:bCs/>
          <w:spacing w:val="10"/>
          <w:rtl/>
        </w:rPr>
        <w:t>ולמזער את הפוטנציאל לגרימת נזקים חמורים</w:t>
      </w:r>
      <w:r w:rsidRPr="004F0C0B">
        <w:rPr>
          <w:rFonts w:ascii="Calibri Light" w:hAnsi="Calibri Light" w:cs="Calibri Light"/>
          <w:spacing w:val="10"/>
          <w:rtl/>
        </w:rPr>
        <w:t xml:space="preserve">. </w:t>
      </w:r>
      <w:r w:rsidRPr="004F0C0B">
        <w:rPr>
          <w:rFonts w:ascii="Calibri Light" w:hAnsi="Calibri Light" w:cs="Times New Roman"/>
          <w:spacing w:val="10"/>
          <w:rtl/>
        </w:rPr>
        <w:t>אכן</w:t>
      </w:r>
      <w:r w:rsidRPr="004F0C0B">
        <w:rPr>
          <w:rFonts w:ascii="Calibri Light" w:hAnsi="Calibri Light" w:cs="Calibri Light"/>
          <w:spacing w:val="10"/>
          <w:rtl/>
        </w:rPr>
        <w:t xml:space="preserve">, </w:t>
      </w:r>
      <w:r w:rsidRPr="004F0C0B">
        <w:rPr>
          <w:rFonts w:ascii="Calibri Light" w:hAnsi="Calibri Light" w:cs="Times New Roman"/>
          <w:spacing w:val="10"/>
          <w:rtl/>
        </w:rPr>
        <w:t>נשיאה והובלה של כלי</w:t>
      </w:r>
      <w:r w:rsidRPr="004F0C0B">
        <w:rPr>
          <w:rFonts w:ascii="Calibri Light" w:hAnsi="Calibri Light" w:cs="Calibri Light"/>
          <w:spacing w:val="10"/>
          <w:rtl/>
        </w:rPr>
        <w:t>-</w:t>
      </w:r>
      <w:r w:rsidRPr="004F0C0B">
        <w:rPr>
          <w:rFonts w:ascii="Calibri Light" w:hAnsi="Calibri Light" w:cs="Times New Roman"/>
          <w:spacing w:val="10"/>
          <w:rtl/>
        </w:rPr>
        <w:t>נשק</w:t>
      </w:r>
      <w:r w:rsidRPr="004F0C0B">
        <w:rPr>
          <w:rFonts w:ascii="Calibri Light" w:hAnsi="Calibri Light" w:cs="Calibri Light"/>
          <w:spacing w:val="10"/>
          <w:rtl/>
        </w:rPr>
        <w:t xml:space="preserve">, </w:t>
      </w:r>
      <w:r w:rsidRPr="004F0C0B">
        <w:rPr>
          <w:rFonts w:ascii="Calibri Light" w:hAnsi="Calibri Light" w:cs="Times New Roman"/>
          <w:spacing w:val="10"/>
          <w:rtl/>
        </w:rPr>
        <w:t>הריהי לעיתים רק הסנונית הראשונה</w:t>
      </w:r>
      <w:r w:rsidRPr="004F0C0B">
        <w:rPr>
          <w:rFonts w:ascii="Calibri Light" w:hAnsi="Calibri Light" w:cs="Calibri Light"/>
          <w:spacing w:val="10"/>
          <w:rtl/>
        </w:rPr>
        <w:t xml:space="preserve">, </w:t>
      </w:r>
      <w:r w:rsidRPr="004F0C0B">
        <w:rPr>
          <w:rFonts w:ascii="Calibri Light" w:hAnsi="Calibri Light" w:cs="Times New Roman"/>
          <w:spacing w:val="10"/>
          <w:rtl/>
        </w:rPr>
        <w:t xml:space="preserve">בואכה מעשים חמורים יותר </w:t>
      </w:r>
      <w:r w:rsidRPr="004F0C0B">
        <w:rPr>
          <w:rFonts w:ascii="Calibri Light" w:hAnsi="Calibri Light" w:cs="Calibri Light"/>
          <w:spacing w:val="10"/>
          <w:rtl/>
        </w:rPr>
        <w:t xml:space="preserve">- </w:t>
      </w:r>
      <w:r w:rsidRPr="004F0C0B">
        <w:rPr>
          <w:rFonts w:ascii="Calibri Light" w:hAnsi="Calibri Light" w:cs="Times New Roman"/>
          <w:spacing w:val="10"/>
          <w:rtl/>
        </w:rPr>
        <w:t>חבלה חמורה</w:t>
      </w:r>
      <w:r w:rsidRPr="004F0C0B">
        <w:rPr>
          <w:rFonts w:ascii="Calibri Light" w:hAnsi="Calibri Light" w:cs="Calibri Light"/>
          <w:spacing w:val="10"/>
          <w:rtl/>
        </w:rPr>
        <w:t xml:space="preserve">, </w:t>
      </w:r>
      <w:r w:rsidRPr="004F0C0B">
        <w:rPr>
          <w:rFonts w:ascii="Calibri Light" w:hAnsi="Calibri Light" w:cs="Times New Roman"/>
          <w:spacing w:val="10"/>
          <w:rtl/>
        </w:rPr>
        <w:t>שוד מזוין</w:t>
      </w:r>
      <w:r w:rsidRPr="004F0C0B">
        <w:rPr>
          <w:rFonts w:ascii="Calibri Light" w:hAnsi="Calibri Light" w:cs="Calibri Light"/>
          <w:spacing w:val="10"/>
          <w:rtl/>
        </w:rPr>
        <w:t xml:space="preserve">, </w:t>
      </w:r>
      <w:r w:rsidRPr="004F0C0B">
        <w:rPr>
          <w:rFonts w:ascii="Calibri Light" w:hAnsi="Calibri Light" w:cs="Times New Roman"/>
          <w:spacing w:val="10"/>
          <w:rtl/>
        </w:rPr>
        <w:t>רצח</w:t>
      </w:r>
      <w:r w:rsidRPr="004F0C0B">
        <w:rPr>
          <w:rFonts w:ascii="Calibri Light" w:hAnsi="Calibri Light" w:cs="Calibri Light"/>
          <w:spacing w:val="10"/>
          <w:rtl/>
        </w:rPr>
        <w:t xml:space="preserve">, </w:t>
      </w:r>
      <w:r w:rsidRPr="004F0C0B">
        <w:rPr>
          <w:rFonts w:ascii="Calibri Light" w:hAnsi="Calibri Light" w:cs="Times New Roman"/>
          <w:spacing w:val="10"/>
          <w:rtl/>
        </w:rPr>
        <w:t>וכיוצא באלה</w:t>
      </w:r>
      <w:r w:rsidRPr="004F0C0B">
        <w:rPr>
          <w:rFonts w:ascii="Calibri Light" w:hAnsi="Calibri Light" w:cs="Calibri Light"/>
          <w:spacing w:val="10"/>
          <w:rtl/>
        </w:rPr>
        <w:t xml:space="preserve">... </w:t>
      </w:r>
      <w:r w:rsidRPr="004F0C0B">
        <w:rPr>
          <w:rFonts w:ascii="Calibri Light" w:hAnsi="Calibri Light" w:cs="Times New Roman"/>
          <w:spacing w:val="10"/>
          <w:rtl/>
        </w:rPr>
        <w:t>למרבה הצער</w:t>
      </w:r>
      <w:r w:rsidRPr="004F0C0B">
        <w:rPr>
          <w:rFonts w:ascii="Calibri Light" w:hAnsi="Calibri Light" w:cs="Calibri Light"/>
          <w:spacing w:val="10"/>
          <w:rtl/>
        </w:rPr>
        <w:t xml:space="preserve">, </w:t>
      </w:r>
      <w:r w:rsidRPr="004F0C0B">
        <w:rPr>
          <w:rFonts w:ascii="Calibri Light" w:hAnsi="Calibri Light" w:cs="Times New Roman"/>
          <w:spacing w:val="10"/>
          <w:rtl/>
        </w:rPr>
        <w:t>חרף האיסור שבדין</w:t>
      </w:r>
      <w:r w:rsidRPr="004F0C0B">
        <w:rPr>
          <w:rFonts w:ascii="Calibri Light" w:hAnsi="Calibri Light" w:cs="Calibri Light"/>
          <w:spacing w:val="10"/>
          <w:rtl/>
        </w:rPr>
        <w:t xml:space="preserve">, </w:t>
      </w:r>
      <w:r w:rsidRPr="004F0C0B">
        <w:rPr>
          <w:rFonts w:ascii="Calibri Light" w:hAnsi="Calibri Light" w:cs="Times New Roman"/>
          <w:b/>
          <w:bCs/>
          <w:spacing w:val="10"/>
          <w:rtl/>
        </w:rPr>
        <w:t>הפכה תופעת השימוש בנשק חם למכת מדינה</w:t>
      </w:r>
      <w:r w:rsidRPr="004F0C0B">
        <w:rPr>
          <w:rFonts w:ascii="Calibri Light" w:hAnsi="Calibri Light" w:cs="Calibri Light"/>
          <w:b/>
          <w:bCs/>
          <w:spacing w:val="10"/>
          <w:rtl/>
        </w:rPr>
        <w:t xml:space="preserve">. </w:t>
      </w:r>
      <w:r w:rsidRPr="004F0C0B">
        <w:rPr>
          <w:rFonts w:ascii="Calibri Light" w:hAnsi="Calibri Light" w:cs="Times New Roman"/>
          <w:b/>
          <w:bCs/>
          <w:spacing w:val="10"/>
          <w:rtl/>
        </w:rPr>
        <w:t>בעקבות זאת</w:t>
      </w:r>
      <w:r w:rsidRPr="004F0C0B">
        <w:rPr>
          <w:rFonts w:ascii="Calibri Light" w:hAnsi="Calibri Light" w:cs="Calibri Light"/>
          <w:b/>
          <w:bCs/>
          <w:spacing w:val="10"/>
          <w:rtl/>
        </w:rPr>
        <w:t xml:space="preserve">, </w:t>
      </w:r>
      <w:r w:rsidRPr="004F0C0B">
        <w:rPr>
          <w:rFonts w:ascii="Calibri Light" w:hAnsi="Calibri Light" w:cs="Times New Roman"/>
          <w:b/>
          <w:bCs/>
          <w:spacing w:val="10"/>
          <w:rtl/>
        </w:rPr>
        <w:t>לשם הרתעה</w:t>
      </w:r>
      <w:r w:rsidRPr="004F0C0B">
        <w:rPr>
          <w:rFonts w:ascii="Calibri Light" w:hAnsi="Calibri Light" w:cs="Calibri Light"/>
          <w:b/>
          <w:bCs/>
          <w:spacing w:val="10"/>
          <w:rtl/>
        </w:rPr>
        <w:t xml:space="preserve">, </w:t>
      </w:r>
      <w:r w:rsidRPr="004F0C0B">
        <w:rPr>
          <w:rFonts w:ascii="Calibri Light" w:hAnsi="Calibri Light" w:cs="Times New Roman"/>
          <w:b/>
          <w:bCs/>
          <w:spacing w:val="10"/>
          <w:rtl/>
        </w:rPr>
        <w:t xml:space="preserve">ניכרת בפסיקה מגמה של החמרה הדרגתית בענישה על עבירות הנשק </w:t>
      </w:r>
      <w:r w:rsidRPr="004F0C0B">
        <w:rPr>
          <w:rFonts w:ascii="Calibri Light" w:hAnsi="Calibri Light" w:cs="Calibri Light"/>
          <w:spacing w:val="10"/>
          <w:rtl/>
        </w:rPr>
        <w:t>(</w:t>
      </w:r>
      <w:hyperlink r:id="rId44" w:history="1">
        <w:r w:rsidR="00F524A6" w:rsidRPr="00F524A6">
          <w:rPr>
            <w:rFonts w:ascii="Calibri Light" w:hAnsi="Calibri Light" w:cs="Times New Roman"/>
            <w:color w:val="0000FF"/>
            <w:spacing w:val="10"/>
            <w:u w:val="single"/>
            <w:rtl/>
          </w:rPr>
          <w:t>ע"פ 5807/20</w:t>
        </w:r>
      </w:hyperlink>
      <w:r w:rsidRPr="004F0C0B">
        <w:rPr>
          <w:rFonts w:ascii="Calibri Light" w:hAnsi="Calibri Light" w:cs="Calibri Light"/>
          <w:spacing w:val="10"/>
          <w:rtl/>
        </w:rPr>
        <w:t xml:space="preserve"> </w:t>
      </w:r>
      <w:r w:rsidRPr="004F0C0B">
        <w:rPr>
          <w:rFonts w:ascii="Calibri Light" w:hAnsi="Calibri Light" w:cs="Times New Roman"/>
          <w:b/>
          <w:rtl/>
        </w:rPr>
        <w:t>שיבלי נ</w:t>
      </w:r>
      <w:r w:rsidRPr="004F0C0B">
        <w:rPr>
          <w:rFonts w:ascii="Calibri Light" w:hAnsi="Calibri Light" w:cs="Calibri Light"/>
          <w:b/>
          <w:rtl/>
        </w:rPr>
        <w:t xml:space="preserve">' </w:t>
      </w:r>
      <w:r w:rsidRPr="004F0C0B">
        <w:rPr>
          <w:rFonts w:ascii="Calibri Light" w:hAnsi="Calibri Light" w:cs="Times New Roman"/>
          <w:b/>
          <w:rtl/>
        </w:rPr>
        <w:t>מדינת ישראל</w:t>
      </w:r>
      <w:r w:rsidRPr="004F0C0B">
        <w:rPr>
          <w:rFonts w:ascii="Calibri Light" w:hAnsi="Calibri Light" w:cs="Calibri Light"/>
          <w:spacing w:val="10"/>
          <w:rtl/>
        </w:rPr>
        <w:t xml:space="preserve">, </w:t>
      </w:r>
      <w:r w:rsidRPr="004F0C0B">
        <w:rPr>
          <w:rFonts w:ascii="Calibri Light" w:hAnsi="Calibri Light" w:cs="Times New Roman"/>
          <w:spacing w:val="10"/>
          <w:rtl/>
        </w:rPr>
        <w:t xml:space="preserve">פסקה </w:t>
      </w:r>
      <w:r w:rsidRPr="004F0C0B">
        <w:rPr>
          <w:rFonts w:ascii="Calibri Light" w:hAnsi="Calibri Light" w:cs="Calibri Light"/>
          <w:spacing w:val="10"/>
          <w:rtl/>
        </w:rPr>
        <w:t>8 (30.12.2020)..." [</w:t>
      </w:r>
      <w:r w:rsidRPr="004F0C0B">
        <w:rPr>
          <w:rFonts w:ascii="Calibri Light" w:hAnsi="Calibri Light" w:cs="Times New Roman"/>
          <w:spacing w:val="10"/>
          <w:rtl/>
        </w:rPr>
        <w:t>ההדגשה אינה במקור</w:t>
      </w:r>
      <w:r w:rsidRPr="004F0C0B">
        <w:rPr>
          <w:rFonts w:ascii="Calibri Light" w:hAnsi="Calibri Light" w:cs="Calibri Light"/>
          <w:spacing w:val="10"/>
          <w:rtl/>
        </w:rPr>
        <w:t>]</w:t>
      </w:r>
    </w:p>
    <w:p w14:paraId="7D4E5A7D" w14:textId="77777777" w:rsidR="00AF1FC8" w:rsidRPr="004F0C0B" w:rsidRDefault="00AF1FC8" w:rsidP="00AF1FC8">
      <w:pPr>
        <w:spacing w:line="360" w:lineRule="auto"/>
        <w:jc w:val="both"/>
        <w:rPr>
          <w:rFonts w:ascii="David" w:eastAsia="Calibri" w:hAnsi="David"/>
          <w:rtl/>
        </w:rPr>
      </w:pPr>
      <w:r w:rsidRPr="004F0C0B">
        <w:rPr>
          <w:rFonts w:ascii="David" w:eastAsia="Calibri" w:hAnsi="David"/>
          <w:rtl/>
        </w:rPr>
        <w:t xml:space="preserve">בהקשרן של עבירות הנשק המיוחסות לנאשם, אזכיר, כי במסגרתו של </w:t>
      </w:r>
      <w:r w:rsidRPr="004F0C0B">
        <w:rPr>
          <w:rFonts w:ascii="David" w:eastAsia="Calibri" w:hAnsi="David"/>
          <w:b/>
          <w:bCs/>
          <w:rtl/>
        </w:rPr>
        <w:t>תיקון מס' 140 ל</w:t>
      </w:r>
      <w:r w:rsidR="00F524A6" w:rsidRPr="00F52168">
        <w:rPr>
          <w:rFonts w:ascii="David" w:eastAsia="Calibri" w:hAnsi="David"/>
          <w:b/>
          <w:bCs/>
          <w:rtl/>
        </w:rPr>
        <w:t>חוק העונשין</w:t>
      </w:r>
      <w:r w:rsidRPr="004F0C0B">
        <w:rPr>
          <w:rFonts w:ascii="David" w:eastAsia="Calibri" w:hAnsi="David"/>
          <w:rtl/>
        </w:rPr>
        <w:t xml:space="preserve"> [(תיקון מס' 140 - הוראת שעה), התשפ"ב-2021, ס"ח 2938] הבא לידי ביטוי בסעיף </w:t>
      </w:r>
      <w:hyperlink r:id="rId45" w:history="1">
        <w:r w:rsidR="00F52168" w:rsidRPr="00F52168">
          <w:rPr>
            <w:rStyle w:val="Hyperlink"/>
            <w:rFonts w:ascii="David" w:eastAsia="Calibri" w:hAnsi="David"/>
            <w:color w:val="0000FF"/>
            <w:rtl/>
          </w:rPr>
          <w:t>144(ז)</w:t>
        </w:r>
      </w:hyperlink>
      <w:r w:rsidRPr="004F0C0B">
        <w:rPr>
          <w:rFonts w:ascii="David" w:eastAsia="Calibri" w:hAnsi="David"/>
          <w:rtl/>
        </w:rPr>
        <w:t xml:space="preserve"> לחוק, עוגנו </w:t>
      </w:r>
      <w:r w:rsidRPr="004F0C0B">
        <w:rPr>
          <w:rFonts w:ascii="David" w:eastAsia="Calibri" w:hAnsi="David"/>
          <w:b/>
          <w:bCs/>
          <w:rtl/>
        </w:rPr>
        <w:t xml:space="preserve">עונשים מזעריים </w:t>
      </w:r>
      <w:r w:rsidRPr="004F0C0B">
        <w:rPr>
          <w:rFonts w:ascii="David" w:eastAsia="Calibri" w:hAnsi="David"/>
          <w:rtl/>
        </w:rPr>
        <w:t>בכל הנוגע לעבירות שעניינן החזקה, הובלה או סחר בנשק שלא-כדין. בתיקון זה, למעשה נתן המחוקק דעתו ביחס לאותן עבירות בנשק והחמיר את הענישה בצדן, כאשר קבע כי העונש שיוטל על העבריין במקרים אלו "</w:t>
      </w:r>
      <w:r w:rsidRPr="004F0C0B">
        <w:rPr>
          <w:rFonts w:ascii="David" w:eastAsia="Calibri" w:hAnsi="David"/>
          <w:u w:val="single"/>
          <w:rtl/>
        </w:rPr>
        <w:t>לא יפחת עונשו מרבע העונש המרבי שנקבע לאותה עבירה, אלא אם כן החליט בית-המשפט, מטעמים מיוחדים שיירשמו, להקל בעונשו...</w:t>
      </w:r>
      <w:r w:rsidRPr="004F0C0B">
        <w:rPr>
          <w:rFonts w:ascii="David" w:eastAsia="Calibri" w:hAnsi="David"/>
          <w:rtl/>
        </w:rPr>
        <w:t>".</w:t>
      </w:r>
    </w:p>
    <w:p w14:paraId="41F2769B" w14:textId="77777777" w:rsidR="00AF1FC8" w:rsidRPr="004F0C0B" w:rsidRDefault="00AF1FC8" w:rsidP="00AF1FC8">
      <w:pPr>
        <w:spacing w:after="120" w:line="360" w:lineRule="auto"/>
        <w:jc w:val="both"/>
        <w:rPr>
          <w:rFonts w:ascii="David" w:eastAsia="Calibri" w:hAnsi="David"/>
          <w:rtl/>
        </w:rPr>
      </w:pPr>
      <w:r w:rsidRPr="004F0C0B">
        <w:rPr>
          <w:rFonts w:ascii="David" w:eastAsia="Calibri" w:hAnsi="David"/>
          <w:rtl/>
        </w:rPr>
        <w:t xml:space="preserve">התיקון הנ"ל מבקש לשקף את החומרה אותה יש לייחס לתופעה בה עסקינן, ואת הצורך המובהק להילחם בה מלחמת חורמה בלתי מתפשרת. הוראה זו נכנסה לתוקפה ביום 8.12.21, ותחולתה עוגנה בחוק למשך שלוש שנים, קרי הוראה זו נכנסה לתוקפה טרם ביצוען של העבירות מושא כתב-האישום דכאן, וביצוען של העבירות על-ידי הנאשם נעשה בתקופה בה הוראה זו חלה. עוד יצוין, כי </w:t>
      </w:r>
      <w:r w:rsidRPr="004F0C0B">
        <w:rPr>
          <w:rFonts w:ascii="David" w:eastAsia="Calibri" w:hAnsi="David"/>
          <w:u w:val="single"/>
          <w:rtl/>
        </w:rPr>
        <w:t>ביום 9.1.25 הוארך תוקפה של הוראה זו עד ליום 31.12.26</w:t>
      </w:r>
      <w:r w:rsidRPr="004F0C0B">
        <w:rPr>
          <w:rFonts w:ascii="David" w:eastAsia="Calibri" w:hAnsi="David"/>
          <w:rtl/>
        </w:rPr>
        <w:t xml:space="preserve">, ולפיכך - </w:t>
      </w:r>
      <w:r w:rsidRPr="004F0C0B">
        <w:rPr>
          <w:rFonts w:ascii="David" w:eastAsia="Calibri" w:hAnsi="David"/>
          <w:b/>
          <w:bCs/>
          <w:rtl/>
        </w:rPr>
        <w:t>הוראה זו חלה על עניינו של הנאשם דכאן</w:t>
      </w:r>
      <w:r w:rsidRPr="004F0C0B">
        <w:rPr>
          <w:rFonts w:ascii="David" w:eastAsia="Calibri" w:hAnsi="David"/>
          <w:rtl/>
        </w:rPr>
        <w:t>.</w:t>
      </w:r>
    </w:p>
    <w:p w14:paraId="0DBCE244" w14:textId="77777777" w:rsidR="00AF1FC8" w:rsidRPr="004F0C0B" w:rsidRDefault="00AF1FC8" w:rsidP="00AF1FC8">
      <w:pPr>
        <w:spacing w:after="120" w:line="360" w:lineRule="auto"/>
        <w:jc w:val="both"/>
        <w:rPr>
          <w:rFonts w:ascii="David" w:eastAsia="Calibri" w:hAnsi="David"/>
          <w:color w:val="FF0000"/>
          <w:rtl/>
        </w:rPr>
      </w:pPr>
      <w:r w:rsidRPr="004F0C0B">
        <w:rPr>
          <w:rFonts w:ascii="Calibri" w:eastAsia="Calibri" w:hAnsi="Calibri"/>
          <w:rtl/>
        </w:rPr>
        <w:t xml:space="preserve">יחד עם זאת, משקל ניכר בקביעת העונש יש לייחס </w:t>
      </w:r>
      <w:r w:rsidRPr="004F0C0B">
        <w:rPr>
          <w:rFonts w:ascii="Calibri" w:eastAsia="Calibri" w:hAnsi="Calibri"/>
          <w:b/>
          <w:bCs/>
          <w:u w:val="single"/>
          <w:rtl/>
        </w:rPr>
        <w:t>לאופי הנשק</w:t>
      </w:r>
      <w:r w:rsidRPr="004F0C0B">
        <w:rPr>
          <w:rFonts w:ascii="Calibri" w:eastAsia="Calibri" w:hAnsi="Calibri"/>
          <w:u w:val="single"/>
          <w:rtl/>
        </w:rPr>
        <w:t xml:space="preserve">, </w:t>
      </w:r>
      <w:r w:rsidRPr="004F0C0B">
        <w:rPr>
          <w:rFonts w:ascii="Calibri" w:eastAsia="Calibri" w:hAnsi="Calibri"/>
          <w:b/>
          <w:bCs/>
          <w:u w:val="single"/>
          <w:rtl/>
        </w:rPr>
        <w:t>למידת קטלניותו</w:t>
      </w:r>
      <w:r w:rsidRPr="004F0C0B">
        <w:rPr>
          <w:rFonts w:ascii="Calibri" w:eastAsia="Calibri" w:hAnsi="Calibri"/>
          <w:u w:val="single"/>
          <w:rtl/>
        </w:rPr>
        <w:t xml:space="preserve"> </w:t>
      </w:r>
      <w:r w:rsidRPr="004F0C0B">
        <w:rPr>
          <w:rFonts w:ascii="Calibri" w:eastAsia="Calibri" w:hAnsi="Calibri"/>
          <w:b/>
          <w:bCs/>
          <w:u w:val="single"/>
          <w:rtl/>
        </w:rPr>
        <w:t>ולכמותו</w:t>
      </w:r>
      <w:r w:rsidRPr="004F0C0B">
        <w:rPr>
          <w:rFonts w:ascii="Calibri" w:eastAsia="Calibri" w:hAnsi="Calibri"/>
          <w:rtl/>
        </w:rPr>
        <w:t>. כמו כן, מיוחס משקל ממשי לתכלית ההחזקה או הנשיאה של הנשק: "</w:t>
      </w:r>
      <w:r w:rsidRPr="004F0C0B">
        <w:rPr>
          <w:rFonts w:ascii="Calibri" w:eastAsia="Calibri" w:hAnsi="Calibri" w:cs="Miriam"/>
          <w:rtl/>
        </w:rPr>
        <w:t>כבכל עבירה, גם בעבירות נשק קיים מדרג של חומרה, ושומה על בית המשפט להביאו בחשבון בבואו לקבוע את מתחם העונש ההולם"</w:t>
      </w:r>
      <w:r w:rsidRPr="004F0C0B">
        <w:rPr>
          <w:rFonts w:ascii="David" w:eastAsia="Calibri" w:hAnsi="David"/>
          <w:rtl/>
        </w:rPr>
        <w:t xml:space="preserve"> [ראו בעניין זה: </w:t>
      </w:r>
      <w:hyperlink r:id="rId46" w:history="1">
        <w:r w:rsidR="00F524A6" w:rsidRPr="00F524A6">
          <w:rPr>
            <w:rFonts w:ascii="Calibri" w:eastAsia="Calibri" w:hAnsi="Calibri" w:hint="cs"/>
            <w:color w:val="0000FF"/>
            <w:u w:val="single"/>
            <w:rtl/>
          </w:rPr>
          <w:t>ע</w:t>
        </w:r>
        <w:r w:rsidR="00F524A6" w:rsidRPr="00F524A6">
          <w:rPr>
            <w:rFonts w:ascii="Calibri" w:eastAsia="Calibri" w:hAnsi="Calibri"/>
            <w:color w:val="0000FF"/>
            <w:u w:val="single"/>
            <w:rtl/>
          </w:rPr>
          <w:t>"</w:t>
        </w:r>
        <w:r w:rsidR="00F524A6" w:rsidRPr="00F524A6">
          <w:rPr>
            <w:rFonts w:ascii="Calibri" w:eastAsia="Calibri" w:hAnsi="Calibri" w:hint="cs"/>
            <w:color w:val="0000FF"/>
            <w:u w:val="single"/>
            <w:rtl/>
          </w:rPr>
          <w:t>פ</w:t>
        </w:r>
        <w:r w:rsidR="00F524A6" w:rsidRPr="00F524A6">
          <w:rPr>
            <w:rFonts w:ascii="Calibri" w:eastAsia="Calibri" w:hAnsi="Calibri"/>
            <w:color w:val="0000FF"/>
            <w:u w:val="single"/>
            <w:rtl/>
          </w:rPr>
          <w:t xml:space="preserve"> 9702/16</w:t>
        </w:r>
      </w:hyperlink>
      <w:r w:rsidRPr="004F0C0B">
        <w:rPr>
          <w:rFonts w:ascii="Calibri" w:eastAsia="Calibri" w:hAnsi="Calibri"/>
          <w:rtl/>
        </w:rPr>
        <w:t xml:space="preserve"> </w:t>
      </w:r>
      <w:r w:rsidRPr="004F0C0B">
        <w:rPr>
          <w:rFonts w:ascii="Calibri" w:eastAsia="Calibri" w:hAnsi="Calibri"/>
          <w:b/>
          <w:bCs/>
          <w:rtl/>
        </w:rPr>
        <w:t>אלוליאיה נ' מדינת ישראל</w:t>
      </w:r>
      <w:r w:rsidRPr="004F0C0B">
        <w:rPr>
          <w:rFonts w:ascii="Calibri" w:eastAsia="Calibri" w:hAnsi="Calibri"/>
          <w:rtl/>
        </w:rPr>
        <w:t>, פסקה 8 (ניתן ביום 13.9.17)</w:t>
      </w:r>
      <w:r w:rsidRPr="004F0C0B">
        <w:rPr>
          <w:rFonts w:ascii="David" w:eastAsia="Calibri" w:hAnsi="David"/>
          <w:rtl/>
        </w:rPr>
        <w:t>].</w:t>
      </w:r>
    </w:p>
    <w:p w14:paraId="224108E5" w14:textId="77777777" w:rsidR="00AF1FC8" w:rsidRPr="004F0C0B" w:rsidRDefault="00AF1FC8" w:rsidP="00AF1FC8">
      <w:pPr>
        <w:spacing w:after="120" w:line="360" w:lineRule="auto"/>
        <w:jc w:val="both"/>
        <w:rPr>
          <w:rFonts w:ascii="David" w:eastAsia="Calibri" w:hAnsi="David"/>
          <w:rtl/>
        </w:rPr>
      </w:pPr>
      <w:r w:rsidRPr="004F0C0B">
        <w:rPr>
          <w:rFonts w:ascii="Calibri" w:eastAsia="Calibri" w:hAnsi="Calibri"/>
          <w:rtl/>
        </w:rPr>
        <w:t xml:space="preserve">על מנת לשרטט כדבעי את מתחם העונש ההולם לאירוע זה, עיינתי בפסיקה רחבה העוסקת בעבירות שעניינן רכישה, נשיאה, הובלה והחזקת נשק. </w:t>
      </w:r>
      <w:r w:rsidRPr="004F0C0B">
        <w:rPr>
          <w:rFonts w:ascii="David" w:eastAsia="Calibri" w:hAnsi="David"/>
          <w:rtl/>
        </w:rPr>
        <w:t>נמצאתי למד, כי בשנים האחרונות חלה אט-אט מגמת החמרה בענישה, הבאה לידי ביטוי בפסיקת הערכאות השונות הנוגעת לעבירות אלו.</w:t>
      </w:r>
    </w:p>
    <w:p w14:paraId="33FF09E4" w14:textId="77777777" w:rsidR="00AF1FC8" w:rsidRPr="004F0C0B" w:rsidRDefault="00AF1FC8" w:rsidP="00AF1FC8">
      <w:pPr>
        <w:spacing w:after="120" w:line="360" w:lineRule="auto"/>
        <w:jc w:val="both"/>
        <w:rPr>
          <w:rFonts w:ascii="David" w:eastAsia="Calibri" w:hAnsi="David"/>
          <w:rtl/>
        </w:rPr>
      </w:pPr>
      <w:r w:rsidRPr="004F0C0B">
        <w:rPr>
          <w:rFonts w:ascii="David" w:eastAsia="Calibri" w:hAnsi="David"/>
          <w:rtl/>
        </w:rPr>
        <w:t xml:space="preserve">ככלל, ראו למשל - </w:t>
      </w:r>
      <w:hyperlink r:id="rId47" w:history="1">
        <w:r w:rsidR="00F524A6" w:rsidRPr="00F524A6">
          <w:rPr>
            <w:rFonts w:ascii="David" w:eastAsia="Calibri" w:hAnsi="David"/>
            <w:color w:val="0000FF"/>
            <w:u w:val="single"/>
            <w:rtl/>
          </w:rPr>
          <w:t>ע"פ 5602/22</w:t>
        </w:r>
      </w:hyperlink>
      <w:r w:rsidRPr="004F0C0B">
        <w:rPr>
          <w:rFonts w:ascii="David" w:eastAsia="Calibri" w:hAnsi="David"/>
          <w:rtl/>
        </w:rPr>
        <w:t xml:space="preserve"> </w:t>
      </w:r>
      <w:r w:rsidRPr="004F0C0B">
        <w:rPr>
          <w:rFonts w:ascii="David" w:eastAsia="Calibri" w:hAnsi="David"/>
          <w:b/>
          <w:bCs/>
          <w:rtl/>
        </w:rPr>
        <w:t>מדינת ישראל נ' פלוני</w:t>
      </w:r>
      <w:r w:rsidRPr="004F0C0B">
        <w:rPr>
          <w:rFonts w:ascii="David" w:eastAsia="Calibri" w:hAnsi="David"/>
          <w:rtl/>
        </w:rPr>
        <w:t xml:space="preserve">, ניתן ביום  </w:t>
      </w:r>
      <w:r w:rsidRPr="004F0C0B">
        <w:rPr>
          <w:rFonts w:ascii="Calibri" w:eastAsia="Calibri" w:hAnsi="Calibri"/>
          <w:rtl/>
        </w:rPr>
        <w:t xml:space="preserve">14.9.22, </w:t>
      </w:r>
      <w:r w:rsidRPr="004F0C0B">
        <w:rPr>
          <w:rFonts w:ascii="Calibri" w:eastAsia="Calibri" w:hAnsi="Calibri"/>
          <w:u w:val="single"/>
          <w:rtl/>
        </w:rPr>
        <w:t xml:space="preserve">שם נקבעה התוויה כללית, ולפיה </w:t>
      </w:r>
      <w:r w:rsidRPr="004F0C0B">
        <w:rPr>
          <w:rFonts w:ascii="David" w:eastAsia="Calibri" w:hAnsi="David"/>
          <w:u w:val="single"/>
          <w:rtl/>
        </w:rPr>
        <w:t>מתחם הענישה הרגיל שראוי לקבוע לנאשם בגיר בגין נשיאה בלתי חוקית של נשק חם במרחב הציבורי</w:t>
      </w:r>
      <w:r w:rsidRPr="004F0C0B">
        <w:rPr>
          <w:rFonts w:ascii="David" w:eastAsia="Calibri" w:hAnsi="David"/>
          <w:rtl/>
        </w:rPr>
        <w:t xml:space="preserve"> </w:t>
      </w:r>
      <w:r w:rsidRPr="004F0C0B">
        <w:rPr>
          <w:rFonts w:ascii="David" w:eastAsia="Calibri" w:hAnsi="David"/>
          <w:b/>
          <w:bCs/>
          <w:rtl/>
        </w:rPr>
        <w:t>נע בין 30 ל-42 חודשי מאסר בין סורג ובריח</w:t>
      </w:r>
      <w:r w:rsidRPr="004F0C0B">
        <w:rPr>
          <w:rFonts w:ascii="David" w:eastAsia="Calibri" w:hAnsi="David"/>
          <w:rtl/>
        </w:rPr>
        <w:t xml:space="preserve"> </w:t>
      </w:r>
      <w:r w:rsidRPr="004F0C0B">
        <w:rPr>
          <w:rFonts w:ascii="Calibri" w:eastAsia="Calibri" w:hAnsi="Calibri"/>
          <w:rtl/>
        </w:rPr>
        <w:t xml:space="preserve">[עוד ראו בעניין זה: </w:t>
      </w:r>
      <w:hyperlink r:id="rId48" w:history="1">
        <w:r w:rsidR="00F524A6" w:rsidRPr="00F524A6">
          <w:rPr>
            <w:rFonts w:ascii="Calibri" w:eastAsia="Calibri" w:hAnsi="Calibri" w:hint="cs"/>
            <w:color w:val="0000FF"/>
            <w:u w:val="single"/>
            <w:rtl/>
          </w:rPr>
          <w:t>ע</w:t>
        </w:r>
        <w:r w:rsidR="00F524A6" w:rsidRPr="00F524A6">
          <w:rPr>
            <w:rFonts w:ascii="Calibri" w:eastAsia="Calibri" w:hAnsi="Calibri"/>
            <w:color w:val="0000FF"/>
            <w:u w:val="single"/>
            <w:rtl/>
          </w:rPr>
          <w:t>"</w:t>
        </w:r>
        <w:r w:rsidR="00F524A6" w:rsidRPr="00F524A6">
          <w:rPr>
            <w:rFonts w:ascii="Calibri" w:eastAsia="Calibri" w:hAnsi="Calibri" w:hint="cs"/>
            <w:color w:val="0000FF"/>
            <w:u w:val="single"/>
            <w:rtl/>
          </w:rPr>
          <w:t>פ</w:t>
        </w:r>
        <w:r w:rsidR="00F524A6" w:rsidRPr="00F524A6">
          <w:rPr>
            <w:rFonts w:ascii="Calibri" w:eastAsia="Calibri" w:hAnsi="Calibri"/>
            <w:color w:val="0000FF"/>
            <w:u w:val="single"/>
            <w:rtl/>
          </w:rPr>
          <w:t xml:space="preserve"> 4077/22</w:t>
        </w:r>
      </w:hyperlink>
      <w:r w:rsidRPr="004F0C0B">
        <w:rPr>
          <w:rFonts w:ascii="Calibri" w:eastAsia="Calibri" w:hAnsi="Calibri"/>
          <w:rtl/>
        </w:rPr>
        <w:t xml:space="preserve"> </w:t>
      </w:r>
      <w:r w:rsidRPr="004F0C0B">
        <w:rPr>
          <w:rFonts w:ascii="Calibri" w:eastAsia="Calibri" w:hAnsi="Calibri"/>
          <w:b/>
          <w:bCs/>
          <w:rtl/>
        </w:rPr>
        <w:t>מדינת ישראל נ' פלוני</w:t>
      </w:r>
      <w:r w:rsidRPr="004F0C0B">
        <w:rPr>
          <w:rFonts w:ascii="Calibri" w:eastAsia="Calibri" w:hAnsi="Calibri"/>
          <w:rtl/>
        </w:rPr>
        <w:t xml:space="preserve"> (ניתן ביום 28.7.22); </w:t>
      </w:r>
      <w:hyperlink r:id="rId49" w:history="1">
        <w:r w:rsidR="00F524A6" w:rsidRPr="00F524A6">
          <w:rPr>
            <w:rFonts w:ascii="Calibri" w:eastAsia="Calibri" w:hAnsi="Calibri" w:hint="cs"/>
            <w:color w:val="0000FF"/>
            <w:u w:val="single"/>
            <w:rtl/>
          </w:rPr>
          <w:t>ע</w:t>
        </w:r>
        <w:r w:rsidR="00F524A6" w:rsidRPr="00F524A6">
          <w:rPr>
            <w:rFonts w:ascii="Calibri" w:eastAsia="Calibri" w:hAnsi="Calibri"/>
            <w:color w:val="0000FF"/>
            <w:u w:val="single"/>
            <w:rtl/>
          </w:rPr>
          <w:t>"</w:t>
        </w:r>
        <w:r w:rsidR="00F524A6" w:rsidRPr="00F524A6">
          <w:rPr>
            <w:rFonts w:ascii="Calibri" w:eastAsia="Calibri" w:hAnsi="Calibri" w:hint="cs"/>
            <w:color w:val="0000FF"/>
            <w:u w:val="single"/>
            <w:rtl/>
          </w:rPr>
          <w:t>פ</w:t>
        </w:r>
        <w:r w:rsidR="00F524A6" w:rsidRPr="00F524A6">
          <w:rPr>
            <w:rFonts w:ascii="Calibri" w:eastAsia="Calibri" w:hAnsi="Calibri"/>
            <w:color w:val="0000FF"/>
            <w:u w:val="single"/>
            <w:rtl/>
          </w:rPr>
          <w:t xml:space="preserve"> 7971/23</w:t>
        </w:r>
      </w:hyperlink>
      <w:r w:rsidRPr="004F0C0B">
        <w:rPr>
          <w:rFonts w:ascii="Calibri" w:eastAsia="Calibri" w:hAnsi="Calibri"/>
          <w:rtl/>
        </w:rPr>
        <w:t xml:space="preserve"> ו-9228/23 </w:t>
      </w:r>
      <w:r w:rsidRPr="004F0C0B">
        <w:rPr>
          <w:rFonts w:ascii="Calibri" w:eastAsia="Calibri" w:hAnsi="Calibri"/>
          <w:b/>
          <w:bCs/>
          <w:rtl/>
        </w:rPr>
        <w:t>אגבאריה נ' מדינת ישראל</w:t>
      </w:r>
      <w:r w:rsidRPr="004F0C0B">
        <w:rPr>
          <w:rFonts w:ascii="Calibri" w:eastAsia="Calibri" w:hAnsi="Calibri"/>
          <w:rtl/>
        </w:rPr>
        <w:t xml:space="preserve"> (ניתן ביום 26.5.24)].</w:t>
      </w:r>
    </w:p>
    <w:p w14:paraId="5A2B3B5B" w14:textId="77777777" w:rsidR="00AF1FC8" w:rsidRPr="004F0C0B" w:rsidRDefault="00AF1FC8" w:rsidP="00AF1FC8">
      <w:pPr>
        <w:spacing w:after="160" w:line="360" w:lineRule="auto"/>
        <w:jc w:val="both"/>
        <w:rPr>
          <w:rFonts w:ascii="David" w:eastAsia="Calibri" w:hAnsi="David"/>
          <w:rtl/>
        </w:rPr>
      </w:pPr>
      <w:r w:rsidRPr="004F0C0B">
        <w:rPr>
          <w:rFonts w:ascii="David" w:eastAsia="Calibri" w:hAnsi="David"/>
          <w:rtl/>
        </w:rPr>
        <w:t>בל נשכח, כי במסגרתו של תיק זה אין עבירת נשיאת הנשק ניצבת לבדה, אלא מצטרפת לעבירות נוספות אותן ביצע הנאשם – רכישת הנשק והחזקתו ובנוסף לכך רכישה, החזקה והובלה של אביזרים מתאימים וציוד נלווה. המדובר בשורה של עבירות שתכליתן היא ברורה.</w:t>
      </w:r>
    </w:p>
    <w:p w14:paraId="4790EF7E" w14:textId="77777777" w:rsidR="00AF1FC8" w:rsidRPr="004F0C0B" w:rsidRDefault="00AF1FC8" w:rsidP="00AF1FC8">
      <w:pPr>
        <w:spacing w:after="240" w:line="360" w:lineRule="auto"/>
        <w:jc w:val="both"/>
        <w:rPr>
          <w:rFonts w:ascii="David" w:eastAsia="Calibri" w:hAnsi="David"/>
          <w:rtl/>
        </w:rPr>
      </w:pPr>
      <w:r w:rsidRPr="004F0C0B">
        <w:rPr>
          <w:rFonts w:ascii="David" w:eastAsia="Calibri" w:hAnsi="David"/>
          <w:rtl/>
        </w:rPr>
        <w:t>ב-</w:t>
      </w:r>
      <w:hyperlink r:id="rId50" w:history="1">
        <w:r w:rsidR="00F524A6" w:rsidRPr="00F524A6">
          <w:rPr>
            <w:rFonts w:ascii="David" w:eastAsia="Calibri" w:hAnsi="David"/>
            <w:color w:val="0000FF"/>
            <w:u w:val="single"/>
            <w:rtl/>
          </w:rPr>
          <w:t>ת"פ (מחוזי חיפה) 37900-06-22</w:t>
        </w:r>
      </w:hyperlink>
      <w:r w:rsidRPr="004F0C0B">
        <w:rPr>
          <w:rFonts w:ascii="David" w:eastAsia="Calibri" w:hAnsi="David"/>
          <w:rtl/>
        </w:rPr>
        <w:t xml:space="preserve"> </w:t>
      </w:r>
      <w:r w:rsidRPr="004F0C0B">
        <w:rPr>
          <w:rFonts w:ascii="David" w:eastAsia="Calibri" w:hAnsi="David"/>
          <w:b/>
          <w:bCs/>
          <w:rtl/>
        </w:rPr>
        <w:t>מדינת ישראל נ' אלבוייראת</w:t>
      </w:r>
      <w:r w:rsidRPr="004F0C0B">
        <w:rPr>
          <w:rFonts w:ascii="David" w:eastAsia="Calibri" w:hAnsi="David"/>
          <w:rtl/>
        </w:rPr>
        <w:t xml:space="preserve"> (ניתן ביום 19.3.24) הורשעו שלושה נאשמים בעבירות בנשק, על סמך הודאתם במסגרת הסדר טיעון בעובדות כתב-אישום מתוקן שהוגש בעניינם. במקרה זה, נאשם (שמספרו בתיק 1) הורשע בגדרו של האישום הראשון, בעבירות של רכישה והחזקת נשק לפי </w:t>
      </w:r>
      <w:hyperlink r:id="rId51" w:history="1">
        <w:r w:rsidR="00F52168" w:rsidRPr="00F52168">
          <w:rPr>
            <w:rStyle w:val="Hyperlink"/>
            <w:rFonts w:ascii="David" w:eastAsia="Calibri" w:hAnsi="David"/>
            <w:color w:val="0000FF"/>
            <w:rtl/>
          </w:rPr>
          <w:t>סעיף 144(א)</w:t>
        </w:r>
      </w:hyperlink>
      <w:r w:rsidRPr="004F0C0B">
        <w:rPr>
          <w:rFonts w:ascii="David" w:eastAsia="Calibri" w:hAnsi="David"/>
          <w:rtl/>
        </w:rPr>
        <w:t xml:space="preserve"> רישא לחוק, ובנשיאת נשק לפי </w:t>
      </w:r>
      <w:hyperlink r:id="rId52" w:history="1">
        <w:r w:rsidR="00F52168" w:rsidRPr="00F52168">
          <w:rPr>
            <w:rStyle w:val="Hyperlink"/>
            <w:rFonts w:ascii="David" w:eastAsia="Calibri" w:hAnsi="David"/>
            <w:color w:val="0000FF"/>
            <w:rtl/>
          </w:rPr>
          <w:t>סעיף 144(ב)</w:t>
        </w:r>
      </w:hyperlink>
      <w:r w:rsidRPr="004F0C0B">
        <w:rPr>
          <w:rFonts w:ascii="David" w:eastAsia="Calibri" w:hAnsi="David"/>
          <w:rtl/>
        </w:rPr>
        <w:t xml:space="preserve"> רישא לחוק, על כך שקיבל מנאשם אחר תת מקלע מסוג "קרלו". בגדרו של האישום השני, הורשע בעבירות רכישה והחזקת נשק לפי </w:t>
      </w:r>
      <w:hyperlink r:id="rId53" w:history="1">
        <w:r w:rsidR="00F52168" w:rsidRPr="00F52168">
          <w:rPr>
            <w:rStyle w:val="Hyperlink"/>
            <w:rFonts w:ascii="David" w:eastAsia="Calibri" w:hAnsi="David"/>
            <w:color w:val="0000FF"/>
            <w:rtl/>
          </w:rPr>
          <w:t>סעיף 144(א)</w:t>
        </w:r>
      </w:hyperlink>
      <w:r w:rsidRPr="004F0C0B">
        <w:rPr>
          <w:rFonts w:ascii="David" w:eastAsia="Calibri" w:hAnsi="David"/>
          <w:rtl/>
        </w:rPr>
        <w:t xml:space="preserve"> רישא, בצירוף </w:t>
      </w:r>
      <w:hyperlink r:id="rId54" w:history="1">
        <w:r w:rsidR="00F52168" w:rsidRPr="00F52168">
          <w:rPr>
            <w:rStyle w:val="Hyperlink"/>
            <w:rFonts w:ascii="David" w:eastAsia="Calibri" w:hAnsi="David"/>
            <w:color w:val="0000FF"/>
            <w:rtl/>
          </w:rPr>
          <w:t>סעיף 29</w:t>
        </w:r>
      </w:hyperlink>
      <w:r w:rsidRPr="004F0C0B">
        <w:rPr>
          <w:rFonts w:ascii="David" w:eastAsia="Calibri" w:hAnsi="David"/>
          <w:rtl/>
        </w:rPr>
        <w:t xml:space="preserve"> לחוק, על כך שרכש רובה 'סער' </w:t>
      </w:r>
      <w:r w:rsidRPr="004F0C0B">
        <w:rPr>
          <w:rFonts w:ascii="David" w:eastAsia="Calibri" w:hAnsi="David"/>
        </w:rPr>
        <w:t>M-16</w:t>
      </w:r>
      <w:r w:rsidRPr="004F0C0B">
        <w:rPr>
          <w:rFonts w:ascii="David" w:eastAsia="Calibri" w:hAnsi="David"/>
          <w:rtl/>
        </w:rPr>
        <w:t xml:space="preserve"> </w:t>
      </w:r>
      <w:r w:rsidRPr="004F0C0B">
        <w:rPr>
          <w:rFonts w:ascii="David" w:eastAsia="Calibri" w:hAnsi="David" w:hint="cs"/>
          <w:rtl/>
        </w:rPr>
        <w:t xml:space="preserve">בשותפות עם נאשם אחר, והם החזיקו בו בצוותא במקום מסתור. </w:t>
      </w:r>
      <w:r w:rsidRPr="004F0C0B">
        <w:rPr>
          <w:rFonts w:ascii="David" w:eastAsia="Calibri" w:hAnsi="David" w:hint="cs"/>
          <w:b/>
          <w:bCs/>
          <w:rtl/>
        </w:rPr>
        <w:t>בעניינו של נאשם זה נקבע מתחם עונש הולם הנע בין 40 – 70 חודשי מאסר בפועל, ונגזרו עליו 40 חודשי מאסר בפועל, לצד מאסרים מותנים</w:t>
      </w:r>
      <w:r w:rsidRPr="004F0C0B">
        <w:rPr>
          <w:rFonts w:ascii="David" w:eastAsia="Calibri" w:hAnsi="David" w:hint="cs"/>
          <w:rtl/>
        </w:rPr>
        <w:t>.</w:t>
      </w:r>
    </w:p>
    <w:p w14:paraId="1E40A205" w14:textId="77777777" w:rsidR="00AF1FC8" w:rsidRPr="004F0C0B" w:rsidRDefault="00AF1FC8" w:rsidP="00AF1FC8">
      <w:pPr>
        <w:spacing w:after="240" w:line="360" w:lineRule="auto"/>
        <w:jc w:val="both"/>
        <w:rPr>
          <w:rFonts w:ascii="David" w:eastAsia="Calibri" w:hAnsi="David"/>
          <w:rtl/>
        </w:rPr>
      </w:pPr>
      <w:r w:rsidRPr="004F0C0B">
        <w:rPr>
          <w:rFonts w:ascii="David" w:eastAsia="Calibri" w:hAnsi="David"/>
          <w:rtl/>
        </w:rPr>
        <w:t>ב-</w:t>
      </w:r>
      <w:hyperlink r:id="rId55" w:history="1">
        <w:r w:rsidR="00F524A6" w:rsidRPr="00F524A6">
          <w:rPr>
            <w:rFonts w:ascii="David" w:eastAsia="Calibri" w:hAnsi="David"/>
            <w:color w:val="0000FF"/>
            <w:u w:val="single"/>
            <w:rtl/>
          </w:rPr>
          <w:t>ת"פ (מחוזי י-ם) 71476-07-23</w:t>
        </w:r>
      </w:hyperlink>
      <w:r w:rsidRPr="004F0C0B">
        <w:rPr>
          <w:rFonts w:ascii="David" w:eastAsia="Calibri" w:hAnsi="David"/>
          <w:rtl/>
        </w:rPr>
        <w:t xml:space="preserve"> </w:t>
      </w:r>
      <w:r w:rsidRPr="004F0C0B">
        <w:rPr>
          <w:rFonts w:ascii="David" w:eastAsia="Calibri" w:hAnsi="David"/>
          <w:b/>
          <w:bCs/>
          <w:rtl/>
        </w:rPr>
        <w:t>מדינת ישראל נ' פאחורי</w:t>
      </w:r>
      <w:r w:rsidRPr="004F0C0B">
        <w:rPr>
          <w:rFonts w:ascii="David" w:eastAsia="Calibri" w:hAnsi="David"/>
          <w:rtl/>
        </w:rPr>
        <w:t xml:space="preserve"> (ניתן ביום 2.1.25) הורשע הנאשם על סמך הודאתו במסגרת הסדר טיעון, בכתב-אישום מתוקן שכלל שלושה אישומים בעבירות נשק, בעבירות הבאות: סיוע לנשיאת נשק לפי </w:t>
      </w:r>
      <w:hyperlink r:id="rId56" w:history="1">
        <w:r w:rsidR="00F52168" w:rsidRPr="00F52168">
          <w:rPr>
            <w:rStyle w:val="Hyperlink"/>
            <w:rFonts w:ascii="David" w:eastAsia="Calibri" w:hAnsi="David"/>
            <w:color w:val="0000FF"/>
            <w:rtl/>
          </w:rPr>
          <w:t>סעיף 144(ב)</w:t>
        </w:r>
      </w:hyperlink>
      <w:r w:rsidRPr="004F0C0B">
        <w:rPr>
          <w:rFonts w:ascii="David" w:eastAsia="Calibri" w:hAnsi="David"/>
          <w:rtl/>
        </w:rPr>
        <w:t xml:space="preserve"> בצירוף </w:t>
      </w:r>
      <w:hyperlink r:id="rId57" w:history="1">
        <w:r w:rsidR="00F52168" w:rsidRPr="00F52168">
          <w:rPr>
            <w:rStyle w:val="Hyperlink"/>
            <w:rFonts w:ascii="David" w:eastAsia="Calibri" w:hAnsi="David"/>
            <w:color w:val="0000FF"/>
            <w:rtl/>
          </w:rPr>
          <w:t>סעיף 32</w:t>
        </w:r>
      </w:hyperlink>
      <w:r w:rsidRPr="004F0C0B">
        <w:rPr>
          <w:rFonts w:ascii="David" w:eastAsia="Calibri" w:hAnsi="David"/>
          <w:rtl/>
        </w:rPr>
        <w:t xml:space="preserve"> לחוק; החזקת נשק לפי </w:t>
      </w:r>
      <w:hyperlink r:id="rId58" w:history="1">
        <w:r w:rsidR="00F52168" w:rsidRPr="00F52168">
          <w:rPr>
            <w:rStyle w:val="Hyperlink"/>
            <w:rFonts w:ascii="David" w:eastAsia="Calibri" w:hAnsi="David"/>
            <w:color w:val="0000FF"/>
            <w:rtl/>
          </w:rPr>
          <w:t>סעיף 144(א)</w:t>
        </w:r>
      </w:hyperlink>
      <w:r w:rsidRPr="004F0C0B">
        <w:rPr>
          <w:rFonts w:ascii="David" w:eastAsia="Calibri" w:hAnsi="David"/>
          <w:rtl/>
        </w:rPr>
        <w:t xml:space="preserve"> לחוק (3 עבירות); נשיאת נשק וחלקו של נשק, לפי </w:t>
      </w:r>
      <w:hyperlink r:id="rId59" w:history="1">
        <w:r w:rsidR="00F52168" w:rsidRPr="00F52168">
          <w:rPr>
            <w:rStyle w:val="Hyperlink"/>
            <w:rFonts w:ascii="David" w:eastAsia="Calibri" w:hAnsi="David"/>
            <w:color w:val="0000FF"/>
            <w:rtl/>
          </w:rPr>
          <w:t>סעיף 144(ב)</w:t>
        </w:r>
      </w:hyperlink>
      <w:r w:rsidRPr="004F0C0B">
        <w:rPr>
          <w:rFonts w:ascii="David" w:eastAsia="Calibri" w:hAnsi="David"/>
          <w:rtl/>
        </w:rPr>
        <w:t xml:space="preserve"> ל</w:t>
      </w:r>
      <w:hyperlink r:id="rId60" w:history="1">
        <w:r w:rsidR="00F524A6" w:rsidRPr="00F524A6">
          <w:rPr>
            <w:rFonts w:ascii="David" w:eastAsia="Calibri" w:hAnsi="David"/>
            <w:color w:val="0000FF"/>
            <w:u w:val="single"/>
            <w:rtl/>
          </w:rPr>
          <w:t>חוק העונשין</w:t>
        </w:r>
      </w:hyperlink>
      <w:r w:rsidRPr="004F0C0B">
        <w:rPr>
          <w:rFonts w:ascii="David" w:eastAsia="Calibri" w:hAnsi="David"/>
          <w:rtl/>
        </w:rPr>
        <w:t xml:space="preserve">; החזקת נשק וחלקו של נשק, לפי </w:t>
      </w:r>
      <w:hyperlink r:id="rId61" w:history="1">
        <w:r w:rsidR="00F52168" w:rsidRPr="00F52168">
          <w:rPr>
            <w:rStyle w:val="Hyperlink"/>
            <w:rFonts w:ascii="David" w:eastAsia="Calibri" w:hAnsi="David"/>
            <w:color w:val="0000FF"/>
            <w:rtl/>
          </w:rPr>
          <w:t>סעיף 144(א)</w:t>
        </w:r>
      </w:hyperlink>
      <w:r w:rsidRPr="004F0C0B">
        <w:rPr>
          <w:rFonts w:ascii="David" w:eastAsia="Calibri" w:hAnsi="David"/>
          <w:rtl/>
        </w:rPr>
        <w:t xml:space="preserve"> לחוק. באישום הראשון, סייע הנאשם בהסתרת רובה מסוג "קרלו" במקום מסתור. באישום השני, הנאשם קיבל לידיו רובה מסוג </w:t>
      </w:r>
      <w:r w:rsidRPr="004F0C0B">
        <w:rPr>
          <w:rFonts w:ascii="David" w:eastAsia="Calibri" w:hAnsi="David"/>
        </w:rPr>
        <w:t>M-16</w:t>
      </w:r>
      <w:r w:rsidRPr="004F0C0B">
        <w:rPr>
          <w:rFonts w:ascii="David" w:eastAsia="Calibri" w:hAnsi="David"/>
          <w:rtl/>
        </w:rPr>
        <w:t xml:space="preserve"> וחלק ממנו וגם אביזרים נוספים, לרבות חליפות מדים ורובה 'חרוזים'. כשהגיע הנאשם לביתו עם הפריטים, צילם עצמו עם המדים והנשק. בהמשך גם הסתיר את הנשק והחלק במקום הידוע רק לו, וכעבור מספר חודשים החזיר אותם לאדם ממנו קיבל אותם. באישום השלישי, החזיק הנאשם ביחד עם אחיו, רובה מסוג </w:t>
      </w:r>
      <w:r w:rsidRPr="004F0C0B">
        <w:rPr>
          <w:rFonts w:ascii="David" w:eastAsia="Calibri" w:hAnsi="David"/>
        </w:rPr>
        <w:t>M-16</w:t>
      </w:r>
      <w:r w:rsidRPr="004F0C0B">
        <w:rPr>
          <w:rFonts w:ascii="David" w:eastAsia="Calibri" w:hAnsi="David"/>
          <w:rtl/>
        </w:rPr>
        <w:t xml:space="preserve"> למשך מספר חודשים. הנאשם החזיק ברובה בהזדמנויות שונות ובאחד המקרים הצטלם עמו, ביחד עם אחותו כאשר זו החזיקה חפץ דמוי כלי נשק. במקרה אחר, החזיק הנאשם ברובה, תוך שהוא עוטה על צווארו צעיף של תנועת החמאס. הנאשם נעדר עבר פלילי קודם, ונערך לו תסקיר שירות מבחן, אשר נמנע מהמלצה טיפולית, ואף המליץ להטיל על הנאשם עונש של מאסר בפועל לצד מאסר על תנאי. </w:t>
      </w:r>
      <w:r w:rsidRPr="004F0C0B">
        <w:rPr>
          <w:rFonts w:ascii="David" w:eastAsia="Calibri" w:hAnsi="David"/>
          <w:b/>
          <w:bCs/>
          <w:rtl/>
        </w:rPr>
        <w:t>בית-המשפט קבע מתחם עונש הולם כולל לשני האישומים, שנע בין 44 – 60 חודשי מאסר בפועל, וגזר על הנאשם 46 חודשי מאסר בפועל, מאסר על-תנאי וקנס כספי בסף 3,000 ₪</w:t>
      </w:r>
      <w:r w:rsidRPr="004F0C0B">
        <w:rPr>
          <w:rFonts w:ascii="David" w:eastAsia="Calibri" w:hAnsi="David"/>
          <w:rtl/>
        </w:rPr>
        <w:t>.</w:t>
      </w:r>
    </w:p>
    <w:p w14:paraId="30946D36" w14:textId="77777777" w:rsidR="00AF1FC8" w:rsidRPr="004F0C0B" w:rsidRDefault="00AF1FC8" w:rsidP="00AF1FC8">
      <w:pPr>
        <w:spacing w:after="240" w:line="360" w:lineRule="auto"/>
        <w:jc w:val="both"/>
        <w:rPr>
          <w:rFonts w:ascii="David" w:eastAsia="Calibri" w:hAnsi="David"/>
          <w:rtl/>
        </w:rPr>
      </w:pPr>
      <w:r w:rsidRPr="004F0C0B">
        <w:rPr>
          <w:rFonts w:ascii="David" w:eastAsia="Calibri" w:hAnsi="David"/>
          <w:rtl/>
        </w:rPr>
        <w:t>ב-</w:t>
      </w:r>
      <w:hyperlink r:id="rId62" w:history="1">
        <w:r w:rsidR="00F524A6" w:rsidRPr="00F524A6">
          <w:rPr>
            <w:rFonts w:ascii="David" w:eastAsia="Calibri" w:hAnsi="David"/>
            <w:color w:val="0000FF"/>
            <w:u w:val="single"/>
            <w:rtl/>
          </w:rPr>
          <w:t>ת"פ (שלום נצרת) 3468-11-23</w:t>
        </w:r>
      </w:hyperlink>
      <w:r w:rsidRPr="004F0C0B">
        <w:rPr>
          <w:rFonts w:ascii="David" w:eastAsia="Calibri" w:hAnsi="David"/>
          <w:rtl/>
        </w:rPr>
        <w:t xml:space="preserve"> </w:t>
      </w:r>
      <w:r w:rsidRPr="004F0C0B">
        <w:rPr>
          <w:rFonts w:ascii="David" w:eastAsia="Calibri" w:hAnsi="David"/>
          <w:b/>
          <w:bCs/>
          <w:rtl/>
        </w:rPr>
        <w:t>מדינת ישראל נ' ח'טיב</w:t>
      </w:r>
      <w:r w:rsidRPr="004F0C0B">
        <w:rPr>
          <w:rFonts w:ascii="David" w:eastAsia="Calibri" w:hAnsi="David"/>
          <w:rtl/>
        </w:rPr>
        <w:t xml:space="preserve"> (ניתן ביום 8.7.24) הורשע הנאשם לאחר ניהול הוכחות, בכתב-אישום המייחס לו שתי עבירות של החזקת נשק בניגוד </w:t>
      </w:r>
      <w:hyperlink r:id="rId63" w:history="1">
        <w:r w:rsidR="00F52168" w:rsidRPr="00F52168">
          <w:rPr>
            <w:rStyle w:val="Hyperlink"/>
            <w:rFonts w:ascii="David" w:eastAsia="Calibri" w:hAnsi="David"/>
            <w:color w:val="0000FF"/>
            <w:rtl/>
          </w:rPr>
          <w:t>לסעיף 144(א)</w:t>
        </w:r>
      </w:hyperlink>
      <w:r w:rsidRPr="004F0C0B">
        <w:rPr>
          <w:rFonts w:ascii="David" w:eastAsia="Calibri" w:hAnsi="David"/>
          <w:rtl/>
        </w:rPr>
        <w:t xml:space="preserve"> רישא לחוק, ושתי עבירות של החזקת אביזר לנשק בניגוד לסעיף </w:t>
      </w:r>
      <w:hyperlink r:id="rId64" w:history="1">
        <w:r w:rsidR="00F52168" w:rsidRPr="00F52168">
          <w:rPr>
            <w:rStyle w:val="Hyperlink"/>
            <w:rFonts w:ascii="David" w:eastAsia="Calibri" w:hAnsi="David"/>
            <w:color w:val="0000FF"/>
            <w:rtl/>
          </w:rPr>
          <w:t>144 (א)</w:t>
        </w:r>
      </w:hyperlink>
      <w:r w:rsidRPr="004F0C0B">
        <w:rPr>
          <w:rFonts w:ascii="David" w:eastAsia="Calibri" w:hAnsi="David"/>
          <w:rtl/>
        </w:rPr>
        <w:t xml:space="preserve"> סיפא לחוק. מקרה זה, החזיק הנאשם באקדח ובמחסנית תואמת, ואף הצטלם ברכב כשהוא אוחז בנשק, ושלח את התמונה לאחרים במספר הזדמנויות. בנוסף, החזיק הנאשם בשני רובי 'סער' </w:t>
      </w:r>
      <w:r w:rsidRPr="004F0C0B">
        <w:rPr>
          <w:rFonts w:ascii="David" w:eastAsia="Calibri" w:hAnsi="David"/>
        </w:rPr>
        <w:t>M-16</w:t>
      </w:r>
      <w:r w:rsidRPr="004F0C0B">
        <w:rPr>
          <w:rFonts w:ascii="David" w:eastAsia="Calibri" w:hAnsi="David"/>
          <w:rtl/>
        </w:rPr>
        <w:t xml:space="preserve"> </w:t>
      </w:r>
      <w:r w:rsidRPr="004F0C0B">
        <w:rPr>
          <w:rFonts w:ascii="David" w:eastAsia="Calibri" w:hAnsi="David" w:hint="cs"/>
          <w:rtl/>
        </w:rPr>
        <w:t xml:space="preserve">וב-6 מחסניות תואמות, כשחלקן מלאות בכדורים. באחד הימים, הצטלם הנאשם עם הנשקים כאשר הוא אוחז באחד הנשקים, ואילו הנשק השני והמחסניות פרוסים של מיטה בבית, כשהנשק מפורק לחלקיו. </w:t>
      </w:r>
      <w:r w:rsidRPr="004F0C0B">
        <w:rPr>
          <w:rFonts w:ascii="David" w:eastAsia="Calibri" w:hAnsi="David" w:hint="cs"/>
          <w:b/>
          <w:bCs/>
          <w:rtl/>
        </w:rPr>
        <w:t>בית-המשפט קבע מתחם עונש הולם שנע בין 30 – 50 חודשי מאסר בפועל [לעבירות ההחזקה בלבד], וגזר על הנאשם 36 חודשי מאסר בפועל, מאסר על-תנאי וקנס כספי בסך 10,000 ₪</w:t>
      </w:r>
      <w:r w:rsidRPr="004F0C0B">
        <w:rPr>
          <w:rFonts w:ascii="David" w:eastAsia="Calibri" w:hAnsi="David" w:hint="cs"/>
          <w:rtl/>
        </w:rPr>
        <w:t>.</w:t>
      </w:r>
    </w:p>
    <w:p w14:paraId="492E90D3" w14:textId="77777777" w:rsidR="00AF1FC8" w:rsidRPr="004F0C0B" w:rsidRDefault="00AF1FC8" w:rsidP="00AF1FC8">
      <w:pPr>
        <w:spacing w:after="120" w:line="360" w:lineRule="auto"/>
        <w:jc w:val="both"/>
        <w:rPr>
          <w:rFonts w:ascii="Calibri" w:eastAsia="Calibri" w:hAnsi="Calibri"/>
          <w:rtl/>
        </w:rPr>
      </w:pPr>
      <w:r w:rsidRPr="004F0C0B">
        <w:rPr>
          <w:rFonts w:ascii="Calibri" w:eastAsia="Calibri" w:hAnsi="Calibri"/>
          <w:rtl/>
        </w:rPr>
        <w:t>בבואי לגבש את מתחם העונש ההולם, אתן את הדעת ל</w:t>
      </w:r>
      <w:r w:rsidRPr="004F0C0B">
        <w:rPr>
          <w:rFonts w:ascii="Calibri" w:eastAsia="Calibri" w:hAnsi="Calibri"/>
          <w:b/>
          <w:bCs/>
          <w:rtl/>
        </w:rPr>
        <w:t>נסיבות הקשורות בביצוע העבירה</w:t>
      </w:r>
      <w:r w:rsidRPr="004F0C0B">
        <w:rPr>
          <w:rFonts w:ascii="Calibri" w:eastAsia="Calibri" w:hAnsi="Calibri"/>
          <w:rtl/>
        </w:rPr>
        <w:t xml:space="preserve">, מאלו המנויות </w:t>
      </w:r>
      <w:hyperlink r:id="rId65" w:history="1">
        <w:r w:rsidR="00F52168" w:rsidRPr="00F52168">
          <w:rPr>
            <w:rStyle w:val="Hyperlink"/>
            <w:rFonts w:ascii="Calibri" w:eastAsia="Calibri" w:hAnsi="Calibri"/>
            <w:b/>
            <w:bCs/>
            <w:color w:val="0000FF"/>
            <w:rtl/>
          </w:rPr>
          <w:t>בסעיף 40ט(א)</w:t>
        </w:r>
      </w:hyperlink>
      <w:r w:rsidRPr="004F0C0B">
        <w:rPr>
          <w:rFonts w:ascii="Calibri" w:eastAsia="Calibri" w:hAnsi="Calibri"/>
          <w:b/>
          <w:bCs/>
          <w:rtl/>
        </w:rPr>
        <w:t xml:space="preserve"> ל</w:t>
      </w:r>
      <w:hyperlink r:id="rId66" w:history="1">
        <w:r w:rsidR="00F524A6" w:rsidRPr="00F524A6">
          <w:rPr>
            <w:rFonts w:ascii="Calibri" w:eastAsia="Calibri" w:hAnsi="Calibri" w:hint="cs"/>
            <w:b/>
            <w:bCs/>
            <w:color w:val="0000FF"/>
            <w:u w:val="single"/>
            <w:rtl/>
          </w:rPr>
          <w:t>חוק</w:t>
        </w:r>
        <w:r w:rsidR="00F524A6" w:rsidRPr="00F524A6">
          <w:rPr>
            <w:rFonts w:ascii="Calibri" w:eastAsia="Calibri" w:hAnsi="Calibri"/>
            <w:b/>
            <w:bCs/>
            <w:color w:val="0000FF"/>
            <w:u w:val="single"/>
            <w:rtl/>
          </w:rPr>
          <w:t xml:space="preserve"> </w:t>
        </w:r>
        <w:r w:rsidR="00F524A6" w:rsidRPr="00F524A6">
          <w:rPr>
            <w:rFonts w:ascii="Calibri" w:eastAsia="Calibri" w:hAnsi="Calibri" w:hint="cs"/>
            <w:b/>
            <w:bCs/>
            <w:color w:val="0000FF"/>
            <w:u w:val="single"/>
            <w:rtl/>
          </w:rPr>
          <w:t>העונשין</w:t>
        </w:r>
      </w:hyperlink>
      <w:r w:rsidRPr="004F0C0B">
        <w:rPr>
          <w:rFonts w:ascii="Calibri" w:eastAsia="Calibri" w:hAnsi="Calibri"/>
          <w:rtl/>
        </w:rPr>
        <w:t xml:space="preserve">. </w:t>
      </w:r>
      <w:r w:rsidRPr="004F0C0B">
        <w:rPr>
          <w:rFonts w:ascii="David" w:eastAsia="Calibri" w:hAnsi="David"/>
          <w:rtl/>
        </w:rPr>
        <w:t>משכך, אפרט את אותן הנסיבות אשר יש להתחשב בקיומן:</w:t>
      </w:r>
    </w:p>
    <w:p w14:paraId="1A76D130" w14:textId="77777777" w:rsidR="00AF1FC8" w:rsidRPr="004F0C0B" w:rsidRDefault="00AF1FC8" w:rsidP="00AF1FC8">
      <w:pPr>
        <w:spacing w:after="240" w:line="360" w:lineRule="auto"/>
        <w:jc w:val="both"/>
        <w:rPr>
          <w:rFonts w:ascii="David" w:eastAsia="Calibri" w:hAnsi="David"/>
          <w:rtl/>
        </w:rPr>
      </w:pPr>
      <w:r w:rsidRPr="004F0C0B">
        <w:rPr>
          <w:rFonts w:ascii="David" w:eastAsia="Calibri" w:hAnsi="David"/>
          <w:rtl/>
        </w:rPr>
        <w:t xml:space="preserve">עסקינן ברכישה, החזקה, נשיאה והובלה של רובה 'סער' מסוג </w:t>
      </w:r>
      <w:r w:rsidRPr="004F0C0B">
        <w:rPr>
          <w:rFonts w:ascii="David" w:eastAsia="Calibri" w:hAnsi="David"/>
        </w:rPr>
        <w:t>M16</w:t>
      </w:r>
      <w:r w:rsidRPr="004F0C0B">
        <w:rPr>
          <w:rFonts w:ascii="David" w:eastAsia="Calibri" w:hAnsi="David"/>
          <w:rtl/>
        </w:rPr>
        <w:t xml:space="preserve"> שהינו כלי נשק התקפי, אוטומטי וקטלני. הנאשם טרח ועמל לשדרגו בעצם הוספת הכוונת שרכש</w:t>
      </w:r>
      <w:r w:rsidRPr="004F0C0B">
        <w:rPr>
          <w:rFonts w:ascii="David" w:eastAsia="Calibri" w:hAnsi="David"/>
        </w:rPr>
        <w:t>;</w:t>
      </w:r>
      <w:r w:rsidRPr="004F0C0B">
        <w:rPr>
          <w:rFonts w:ascii="David" w:eastAsia="Calibri" w:hAnsi="David"/>
          <w:rtl/>
        </w:rPr>
        <w:t xml:space="preserve"> בנוסף לרכישת הנשק והכוונת - המדובר גם ברכישה, החזקה, נשיאה והובלה של 14 מחסניות בסך-הכול, 200 כדורי תחמושת מתאימים ואפוד. רכישת פריטים אלה מעידה באופן ברור על כוונותיו</w:t>
      </w:r>
      <w:r w:rsidRPr="004F0C0B">
        <w:rPr>
          <w:rFonts w:ascii="David" w:eastAsia="Calibri" w:hAnsi="David"/>
        </w:rPr>
        <w:t>;</w:t>
      </w:r>
      <w:r w:rsidRPr="004F0C0B">
        <w:rPr>
          <w:rFonts w:ascii="David" w:eastAsia="Calibri" w:hAnsi="David"/>
          <w:rtl/>
        </w:rPr>
        <w:t xml:space="preserve"> </w:t>
      </w:r>
      <w:r w:rsidRPr="004F0C0B">
        <w:rPr>
          <w:rFonts w:ascii="David" w:eastAsia="Calibri" w:hAnsi="David" w:hint="cs"/>
          <w:rtl/>
        </w:rPr>
        <w:t>חלקו של הנאשם בביצוע העבירות הוא בלעדי ואחריותו הינה מוחלטת</w:t>
      </w:r>
      <w:r w:rsidRPr="004F0C0B">
        <w:rPr>
          <w:rFonts w:ascii="David" w:eastAsia="Calibri" w:hAnsi="David"/>
        </w:rPr>
        <w:t>;</w:t>
      </w:r>
      <w:r w:rsidRPr="004F0C0B">
        <w:rPr>
          <w:rFonts w:ascii="David" w:eastAsia="Calibri" w:hAnsi="David"/>
          <w:rtl/>
        </w:rPr>
        <w:t xml:space="preserve"> </w:t>
      </w:r>
      <w:r w:rsidRPr="004F0C0B">
        <w:rPr>
          <w:rFonts w:ascii="David" w:eastAsia="Calibri" w:hAnsi="David" w:hint="cs"/>
          <w:rtl/>
        </w:rPr>
        <w:t>הנאשם יכול והיה צריך להימנע מביצוען של העבירות</w:t>
      </w:r>
      <w:r w:rsidRPr="004F0C0B">
        <w:rPr>
          <w:rFonts w:ascii="David" w:eastAsia="Calibri" w:hAnsi="David"/>
        </w:rPr>
        <w:t>;</w:t>
      </w:r>
      <w:r w:rsidRPr="004F0C0B">
        <w:rPr>
          <w:rFonts w:ascii="David" w:eastAsia="Calibri" w:hAnsi="David"/>
          <w:rtl/>
        </w:rPr>
        <w:t xml:space="preserve"> </w:t>
      </w:r>
      <w:r w:rsidRPr="004F0C0B">
        <w:rPr>
          <w:rFonts w:ascii="David" w:eastAsia="Calibri" w:hAnsi="David" w:hint="cs"/>
          <w:rtl/>
        </w:rPr>
        <w:t>אין בנמצא כל סייג לאחריות פלילית בהקשר זה הנזקף להגנתו</w:t>
      </w:r>
      <w:r w:rsidRPr="004F0C0B">
        <w:rPr>
          <w:rFonts w:ascii="David" w:eastAsia="Calibri" w:hAnsi="David"/>
        </w:rPr>
        <w:t>;</w:t>
      </w:r>
      <w:r w:rsidRPr="004F0C0B">
        <w:rPr>
          <w:rFonts w:ascii="David" w:eastAsia="Calibri" w:hAnsi="David"/>
          <w:rtl/>
        </w:rPr>
        <w:t xml:space="preserve"> </w:t>
      </w:r>
      <w:r w:rsidRPr="004F0C0B">
        <w:rPr>
          <w:rFonts w:ascii="David" w:eastAsia="Calibri" w:hAnsi="David" w:hint="cs"/>
          <w:rtl/>
        </w:rPr>
        <w:t>למעשים אלו קדם תכנון מקדים הבא לידי ביטוי בהתארגנותו בהשגת הנשק, התחמושת והציוד הנלווה להם, לרבות יצירת קשר עם גורמים שונים</w:t>
      </w:r>
      <w:r w:rsidRPr="004F0C0B">
        <w:rPr>
          <w:rFonts w:ascii="David" w:eastAsia="Calibri" w:hAnsi="David"/>
        </w:rPr>
        <w:t>;</w:t>
      </w:r>
      <w:r w:rsidRPr="004F0C0B">
        <w:rPr>
          <w:rFonts w:ascii="David" w:eastAsia="Calibri" w:hAnsi="David"/>
          <w:rtl/>
        </w:rPr>
        <w:t xml:space="preserve"> הנאשם ביצע את הנשיאה וההובלה מספר פעמים</w:t>
      </w:r>
      <w:r w:rsidRPr="004F0C0B">
        <w:rPr>
          <w:rFonts w:ascii="David" w:eastAsia="Calibri" w:hAnsi="David"/>
        </w:rPr>
        <w:t>;</w:t>
      </w:r>
      <w:r w:rsidRPr="004F0C0B">
        <w:rPr>
          <w:rFonts w:ascii="David" w:eastAsia="Calibri" w:hAnsi="David"/>
          <w:rtl/>
        </w:rPr>
        <w:t xml:space="preserve"> הנאשם החזיק בנשק לאורך תקופה של מספר חודשים – והוא מחזיק בו גם כיום [לנסיבה זו אתייחס בהמשך].</w:t>
      </w:r>
    </w:p>
    <w:p w14:paraId="5B43CC71" w14:textId="77777777" w:rsidR="00AF1FC8" w:rsidRPr="004F0C0B" w:rsidRDefault="00AF1FC8" w:rsidP="00AF1FC8">
      <w:pPr>
        <w:spacing w:after="240" w:line="360" w:lineRule="auto"/>
        <w:jc w:val="both"/>
        <w:rPr>
          <w:rFonts w:ascii="Calibri" w:eastAsia="Calibri" w:hAnsi="Calibri"/>
        </w:rPr>
      </w:pPr>
      <w:r w:rsidRPr="004F0C0B">
        <w:rPr>
          <w:rFonts w:ascii="Calibri" w:eastAsia="Calibri" w:hAnsi="Calibri"/>
          <w:b/>
          <w:bCs/>
          <w:rtl/>
        </w:rPr>
        <w:t>לאור המקובץ, סבור אני כי יש לקבוע מתחם עונש הולם הנע בין 48 – 78 חודשי מאסר בפועל, זאת לצד עונשים נלווים</w:t>
      </w:r>
      <w:r w:rsidRPr="004F0C0B">
        <w:rPr>
          <w:rFonts w:ascii="Calibri" w:eastAsia="Calibri" w:hAnsi="Calibri"/>
          <w:rtl/>
        </w:rPr>
        <w:t>.</w:t>
      </w:r>
    </w:p>
    <w:p w14:paraId="5306F91F" w14:textId="77777777" w:rsidR="00AF1FC8" w:rsidRPr="004F0C0B" w:rsidRDefault="00AF1FC8" w:rsidP="00AF1FC8">
      <w:pPr>
        <w:spacing w:after="120" w:line="360" w:lineRule="auto"/>
        <w:jc w:val="both"/>
        <w:rPr>
          <w:rFonts w:ascii="Calibri" w:eastAsia="Calibri" w:hAnsi="Calibri"/>
          <w:rtl/>
        </w:rPr>
      </w:pPr>
      <w:r w:rsidRPr="004F0C0B">
        <w:rPr>
          <w:rFonts w:ascii="Calibri" w:eastAsia="Calibri" w:hAnsi="Calibri"/>
          <w:rtl/>
        </w:rPr>
        <w:t xml:space="preserve">משנקבע מתחם הענישה, בשלה השעה להגדיר את העונש המדויק שיוצב בתוככי מתחם הענישה, תוך התחשבות באותן </w:t>
      </w:r>
      <w:r w:rsidRPr="004F0C0B">
        <w:rPr>
          <w:rFonts w:ascii="Calibri" w:eastAsia="Calibri" w:hAnsi="Calibri"/>
          <w:b/>
          <w:bCs/>
          <w:rtl/>
        </w:rPr>
        <w:t>נסיבות שאינן קשורות בביצוע העבירה</w:t>
      </w:r>
      <w:r w:rsidRPr="004F0C0B">
        <w:rPr>
          <w:rFonts w:ascii="Calibri" w:eastAsia="Calibri" w:hAnsi="Calibri"/>
          <w:rtl/>
        </w:rPr>
        <w:t xml:space="preserve">, מהמנויות </w:t>
      </w:r>
      <w:r w:rsidRPr="004F0C0B">
        <w:rPr>
          <w:rFonts w:ascii="Calibri" w:eastAsia="Calibri" w:hAnsi="Calibri"/>
          <w:b/>
          <w:bCs/>
          <w:rtl/>
        </w:rPr>
        <w:t xml:space="preserve">בסעיף </w:t>
      </w:r>
      <w:hyperlink r:id="rId67" w:history="1">
        <w:r w:rsidR="00F52168" w:rsidRPr="00F52168">
          <w:rPr>
            <w:rStyle w:val="Hyperlink"/>
            <w:rFonts w:ascii="Calibri" w:eastAsia="Calibri" w:hAnsi="Calibri"/>
            <w:b/>
            <w:bCs/>
            <w:color w:val="0000FF"/>
            <w:rtl/>
          </w:rPr>
          <w:t>40 יא</w:t>
        </w:r>
      </w:hyperlink>
      <w:r w:rsidRPr="004F0C0B">
        <w:rPr>
          <w:rFonts w:ascii="Calibri" w:eastAsia="Calibri" w:hAnsi="Calibri"/>
          <w:b/>
          <w:bCs/>
          <w:rtl/>
        </w:rPr>
        <w:t xml:space="preserve"> ל</w:t>
      </w:r>
      <w:hyperlink r:id="rId68" w:history="1">
        <w:r w:rsidR="00F524A6" w:rsidRPr="00F524A6">
          <w:rPr>
            <w:rFonts w:ascii="Calibri" w:eastAsia="Calibri" w:hAnsi="Calibri" w:hint="cs"/>
            <w:b/>
            <w:bCs/>
            <w:color w:val="0000FF"/>
            <w:u w:val="single"/>
            <w:rtl/>
          </w:rPr>
          <w:t>חוק</w:t>
        </w:r>
        <w:r w:rsidR="00F524A6" w:rsidRPr="00F524A6">
          <w:rPr>
            <w:rFonts w:ascii="Calibri" w:eastAsia="Calibri" w:hAnsi="Calibri"/>
            <w:b/>
            <w:bCs/>
            <w:color w:val="0000FF"/>
            <w:u w:val="single"/>
            <w:rtl/>
          </w:rPr>
          <w:t xml:space="preserve"> </w:t>
        </w:r>
        <w:r w:rsidR="00F524A6" w:rsidRPr="00F524A6">
          <w:rPr>
            <w:rFonts w:ascii="Calibri" w:eastAsia="Calibri" w:hAnsi="Calibri" w:hint="cs"/>
            <w:b/>
            <w:bCs/>
            <w:color w:val="0000FF"/>
            <w:u w:val="single"/>
            <w:rtl/>
          </w:rPr>
          <w:t>העונשין</w:t>
        </w:r>
      </w:hyperlink>
      <w:r w:rsidRPr="004F0C0B">
        <w:rPr>
          <w:rFonts w:ascii="Calibri" w:eastAsia="Calibri" w:hAnsi="Calibri"/>
          <w:rtl/>
        </w:rPr>
        <w:t>:</w:t>
      </w:r>
    </w:p>
    <w:p w14:paraId="4D8FED95" w14:textId="77777777" w:rsidR="00AF1FC8" w:rsidRPr="004F0C0B" w:rsidRDefault="00AF1FC8" w:rsidP="00AF1FC8">
      <w:pPr>
        <w:spacing w:after="120" w:line="360" w:lineRule="auto"/>
        <w:jc w:val="both"/>
        <w:rPr>
          <w:rFonts w:ascii="Calibri" w:eastAsia="Calibri" w:hAnsi="Calibri"/>
          <w:rtl/>
        </w:rPr>
      </w:pPr>
      <w:r w:rsidRPr="004F0C0B">
        <w:rPr>
          <w:rFonts w:ascii="Calibri" w:eastAsia="Calibri" w:hAnsi="Calibri"/>
          <w:rtl/>
        </w:rPr>
        <w:t xml:space="preserve">כמפורט לעיל, </w:t>
      </w:r>
      <w:r w:rsidRPr="004F0C0B">
        <w:rPr>
          <w:rFonts w:ascii="David" w:eastAsia="Calibri" w:hAnsi="David"/>
          <w:rtl/>
        </w:rPr>
        <w:t xml:space="preserve">לנאשם </w:t>
      </w:r>
      <w:r w:rsidRPr="004F0C0B">
        <w:rPr>
          <w:rFonts w:ascii="David" w:eastAsia="Calibri" w:hAnsi="David"/>
          <w:u w:val="single"/>
          <w:rtl/>
        </w:rPr>
        <w:t>עבר פלילי מכביד</w:t>
      </w:r>
      <w:r w:rsidRPr="004F0C0B">
        <w:rPr>
          <w:rFonts w:ascii="David" w:eastAsia="Calibri" w:hAnsi="David"/>
        </w:rPr>
        <w:t>;</w:t>
      </w:r>
      <w:r w:rsidRPr="004F0C0B">
        <w:rPr>
          <w:rFonts w:ascii="David" w:eastAsia="Calibri" w:hAnsi="David"/>
          <w:rtl/>
        </w:rPr>
        <w:t xml:space="preserve"> </w:t>
      </w:r>
      <w:r w:rsidRPr="004F0C0B">
        <w:rPr>
          <w:rFonts w:ascii="David" w:eastAsia="Calibri" w:hAnsi="David" w:hint="cs"/>
          <w:rtl/>
        </w:rPr>
        <w:t>הנאשם הורשע בשתי הרשעות, הכוללות מספר רב של עבירות אותן ביצע, כאשר בגין הרשעות אלה, נגזרו עליו עונשי</w:t>
      </w:r>
      <w:r w:rsidRPr="004F0C0B">
        <w:rPr>
          <w:rFonts w:ascii="Calibri" w:eastAsia="Calibri" w:hAnsi="Calibri"/>
          <w:rtl/>
        </w:rPr>
        <w:t xml:space="preserve"> מאסר: גזר-דין משנת 2016 שעניינו עבירות בנשק (עבירות דומות לעבירות שבוצעו בתיק זה), וגזר-דין משנת 2012, שעניינו עבירות אלימות וגרימת חבלות, תוך שימוש בנשק, ולצד איומים ובריחה ממשמורת חוקית. לאור האמור,</w:t>
      </w:r>
      <w:r w:rsidRPr="004F0C0B">
        <w:rPr>
          <w:rFonts w:ascii="Calibri" w:eastAsia="Calibri" w:hAnsi="Calibri"/>
          <w:u w:val="single"/>
          <w:rtl/>
        </w:rPr>
        <w:t xml:space="preserve"> הרי לנו אדם שאינו מורתע מהחוק, ובחר לבצע, בהזדמנויות שונות, עבירות חמורות מאוד</w:t>
      </w:r>
      <w:r w:rsidRPr="004F0C0B">
        <w:rPr>
          <w:rFonts w:ascii="Calibri" w:eastAsia="Calibri" w:hAnsi="Calibri"/>
          <w:rtl/>
        </w:rPr>
        <w:t>.</w:t>
      </w:r>
    </w:p>
    <w:p w14:paraId="259A465F" w14:textId="77777777" w:rsidR="00AF1FC8" w:rsidRPr="004F0C0B" w:rsidRDefault="00AF1FC8" w:rsidP="00AF1FC8">
      <w:pPr>
        <w:spacing w:after="120" w:line="360" w:lineRule="auto"/>
        <w:jc w:val="both"/>
        <w:rPr>
          <w:rFonts w:ascii="Miriam" w:eastAsia="Calibri" w:hAnsi="Miriam" w:cs="Miriam"/>
          <w:rtl/>
        </w:rPr>
      </w:pPr>
      <w:r w:rsidRPr="004F0C0B">
        <w:rPr>
          <w:rFonts w:ascii="David" w:eastAsia="Calibri" w:hAnsi="David"/>
          <w:rtl/>
        </w:rPr>
        <w:t xml:space="preserve">כאמור לעיל, </w:t>
      </w:r>
      <w:r w:rsidRPr="004F0C0B">
        <w:rPr>
          <w:rFonts w:ascii="David" w:eastAsia="Calibri" w:hAnsi="David"/>
          <w:u w:val="single"/>
          <w:rtl/>
        </w:rPr>
        <w:t>הנשק אשר שימש את הנאשם לביצוע העבירות נשוא תיק זה, עדיין נמצא בחזקתו של הנאשם</w:t>
      </w:r>
      <w:r w:rsidRPr="004F0C0B">
        <w:rPr>
          <w:rFonts w:ascii="David" w:eastAsia="Calibri" w:hAnsi="David"/>
          <w:rtl/>
        </w:rPr>
        <w:t>, והדבר למעשה מהווה נסיבה לחומרה שעל בית-המשפט להתחשב בקיומה, כך לפי סעיפים קטנים (</w:t>
      </w:r>
      <w:hyperlink r:id="rId69" w:history="1">
        <w:r w:rsidR="00F52168" w:rsidRPr="00F52168">
          <w:rPr>
            <w:rStyle w:val="Hyperlink"/>
            <w:rFonts w:ascii="David" w:eastAsia="Calibri" w:hAnsi="David"/>
            <w:color w:val="0000FF"/>
            <w:rtl/>
          </w:rPr>
          <w:t>4</w:t>
        </w:r>
      </w:hyperlink>
      <w:r w:rsidRPr="004F0C0B">
        <w:rPr>
          <w:rFonts w:ascii="David" w:eastAsia="Calibri" w:hAnsi="David"/>
          <w:rtl/>
        </w:rPr>
        <w:t>), (</w:t>
      </w:r>
      <w:hyperlink r:id="rId70" w:history="1">
        <w:r w:rsidR="00F52168" w:rsidRPr="00F52168">
          <w:rPr>
            <w:rStyle w:val="Hyperlink"/>
            <w:rFonts w:ascii="David" w:eastAsia="Calibri" w:hAnsi="David"/>
            <w:color w:val="0000FF"/>
            <w:rtl/>
          </w:rPr>
          <w:t>5</w:t>
        </w:r>
      </w:hyperlink>
      <w:r w:rsidRPr="004F0C0B">
        <w:rPr>
          <w:rFonts w:ascii="David" w:eastAsia="Calibri" w:hAnsi="David"/>
          <w:rtl/>
        </w:rPr>
        <w:t>) ו-(</w:t>
      </w:r>
      <w:hyperlink r:id="rId71" w:history="1">
        <w:r w:rsidR="00F52168" w:rsidRPr="00F52168">
          <w:rPr>
            <w:rStyle w:val="Hyperlink"/>
            <w:rFonts w:ascii="David" w:eastAsia="Calibri" w:hAnsi="David"/>
            <w:color w:val="0000FF"/>
            <w:rtl/>
          </w:rPr>
          <w:t>6</w:t>
        </w:r>
      </w:hyperlink>
      <w:r w:rsidRPr="004F0C0B">
        <w:rPr>
          <w:rFonts w:ascii="David" w:eastAsia="Calibri" w:hAnsi="David"/>
          <w:rtl/>
        </w:rPr>
        <w:t xml:space="preserve">) לסעיף </w:t>
      </w:r>
      <w:hyperlink r:id="rId72" w:history="1">
        <w:r w:rsidR="00F52168" w:rsidRPr="00F52168">
          <w:rPr>
            <w:rStyle w:val="Hyperlink"/>
            <w:rFonts w:ascii="David" w:eastAsia="Calibri" w:hAnsi="David"/>
            <w:color w:val="0000FF"/>
            <w:rtl/>
          </w:rPr>
          <w:t>40 יא</w:t>
        </w:r>
      </w:hyperlink>
      <w:r w:rsidRPr="004F0C0B">
        <w:rPr>
          <w:rFonts w:ascii="David" w:eastAsia="Calibri" w:hAnsi="David"/>
          <w:rtl/>
        </w:rPr>
        <w:t xml:space="preserve"> לחוק, העוסקים במאמציו של הנאשם לחזור למוטב, במאמציו לתיקון תוצאות העבירה ובשיתוף הפעולה שלו עם רשויות אכיפת החוק, בהתאמה. בעצם בחירתו של הנאשם להשאיר את הנשק ברשותו, למעשה נמנע הוא מלחזור למוטב, נמנע הוא מלתקן את תוצאות העבירות ונמנע מלשתף פעולה עם מערכת אכיפת החוק באופן מלא. בעניין זה, נקבע בפסיקות בית-המשפט העליון, כי פוטנציאל הנזק העתידי גדול יותר כאשר כלי-הנשק טרם נתפס, וזאת לנוכח העובדה כי הוא עלול ליפול לידיים עברייניות, על כל המשתמע מכך. יפים הם הדברים שנכתבו במסגרת </w:t>
      </w:r>
      <w:hyperlink r:id="rId73" w:history="1">
        <w:r w:rsidR="00F524A6" w:rsidRPr="00F524A6">
          <w:rPr>
            <w:rFonts w:ascii="David" w:eastAsia="Calibri" w:hAnsi="David"/>
            <w:color w:val="0000FF"/>
            <w:u w:val="single"/>
            <w:rtl/>
          </w:rPr>
          <w:t>ע"פ 4530/19</w:t>
        </w:r>
      </w:hyperlink>
      <w:r w:rsidRPr="004F0C0B">
        <w:rPr>
          <w:rFonts w:ascii="David" w:eastAsia="Calibri" w:hAnsi="David"/>
          <w:rtl/>
        </w:rPr>
        <w:t xml:space="preserve"> </w:t>
      </w:r>
      <w:r w:rsidRPr="004F0C0B">
        <w:rPr>
          <w:rFonts w:ascii="David" w:eastAsia="Calibri" w:hAnsi="David"/>
          <w:b/>
          <w:bCs/>
          <w:rtl/>
        </w:rPr>
        <w:t>ג'זאווי נ' מדינת ישראל</w:t>
      </w:r>
      <w:r w:rsidRPr="004F0C0B">
        <w:rPr>
          <w:rFonts w:ascii="David" w:eastAsia="Calibri" w:hAnsi="David"/>
          <w:rtl/>
        </w:rPr>
        <w:t xml:space="preserve">, פסקה 11 (ניתן ביום 11.8.19): </w:t>
      </w:r>
      <w:r w:rsidRPr="004F0C0B">
        <w:rPr>
          <w:rFonts w:ascii="Miriam" w:eastAsia="Calibri" w:hAnsi="Miriam" w:cs="Miriam"/>
          <w:rtl/>
        </w:rPr>
        <w:t xml:space="preserve">"...יש לייחס חומרה יתירה למעשים לנוכח העובדה כי כלי הנשק אותו נטל טרם הושב לידי גורמי האכיפה עד עצם היום הזה. כלי נשק אשר אינם נמצאים בידי רשויות החוק עלולים לשמש לפעילות עבריינית המסכנת את שלום הציבור ואת ביטחונו, ואף לסייע לפעילות חבלנית עוינת על רקע ביטחוני (וראו: </w:t>
      </w:r>
      <w:hyperlink r:id="rId74" w:history="1">
        <w:r w:rsidR="00F524A6" w:rsidRPr="00F524A6">
          <w:rPr>
            <w:rFonts w:ascii="Miriam" w:eastAsia="Calibri" w:hAnsi="Miriam" w:cs="Miriam"/>
            <w:color w:val="0000FF"/>
            <w:u w:val="single"/>
            <w:rtl/>
          </w:rPr>
          <w:t>ע"פ 27/17</w:t>
        </w:r>
      </w:hyperlink>
      <w:r w:rsidRPr="004F0C0B">
        <w:rPr>
          <w:rFonts w:ascii="Miriam" w:eastAsia="Calibri" w:hAnsi="Miriam" w:cs="Miriam"/>
          <w:rtl/>
        </w:rPr>
        <w:t xml:space="preserve"> בסל נ' מדינת ישראל (12.12.2017))."</w:t>
      </w:r>
      <w:r w:rsidRPr="004F0C0B">
        <w:rPr>
          <w:rFonts w:ascii="David" w:eastAsia="Calibri" w:hAnsi="David"/>
          <w:rtl/>
        </w:rPr>
        <w:t xml:space="preserve">. בית-המשפט העליון חזר על כך במסגרת </w:t>
      </w:r>
      <w:hyperlink r:id="rId75" w:history="1">
        <w:r w:rsidR="00F524A6" w:rsidRPr="00F524A6">
          <w:rPr>
            <w:rFonts w:ascii="David" w:eastAsia="Calibri" w:hAnsi="David"/>
            <w:color w:val="0000FF"/>
            <w:u w:val="single"/>
            <w:rtl/>
          </w:rPr>
          <w:t>ע"פ 9104/20</w:t>
        </w:r>
      </w:hyperlink>
      <w:r w:rsidRPr="004F0C0B">
        <w:rPr>
          <w:rFonts w:ascii="David" w:eastAsia="Calibri" w:hAnsi="David"/>
          <w:rtl/>
        </w:rPr>
        <w:t xml:space="preserve"> </w:t>
      </w:r>
      <w:r w:rsidRPr="004F0C0B">
        <w:rPr>
          <w:rFonts w:ascii="David" w:eastAsia="Calibri" w:hAnsi="David"/>
          <w:b/>
          <w:bCs/>
          <w:rtl/>
        </w:rPr>
        <w:t>מדינת ישראל נ' דוד טבצ'ניקוב</w:t>
      </w:r>
      <w:r w:rsidRPr="004F0C0B">
        <w:rPr>
          <w:rFonts w:ascii="David" w:eastAsia="Calibri" w:hAnsi="David"/>
          <w:rtl/>
        </w:rPr>
        <w:t>, פסקה 12 לפסק-דינו של השופט אלרון (מיום 4.3.21).</w:t>
      </w:r>
    </w:p>
    <w:p w14:paraId="2A8A6ACD" w14:textId="77777777" w:rsidR="00AF1FC8" w:rsidRPr="004F0C0B" w:rsidRDefault="00AF1FC8" w:rsidP="00AF1FC8">
      <w:pPr>
        <w:spacing w:after="120" w:line="360" w:lineRule="auto"/>
        <w:jc w:val="both"/>
        <w:rPr>
          <w:rFonts w:ascii="David" w:eastAsia="Calibri" w:hAnsi="David"/>
          <w:rtl/>
        </w:rPr>
      </w:pPr>
      <w:r w:rsidRPr="004F0C0B">
        <w:rPr>
          <w:rFonts w:ascii="David" w:eastAsia="Calibri" w:hAnsi="David"/>
          <w:rtl/>
        </w:rPr>
        <w:t>לזכותו של הנאשם ייאמר כי הוא נטל אחריות על מעשיו</w:t>
      </w:r>
      <w:r w:rsidRPr="004F0C0B">
        <w:rPr>
          <w:rFonts w:ascii="David" w:eastAsia="Calibri" w:hAnsi="David"/>
        </w:rPr>
        <w:t>;</w:t>
      </w:r>
      <w:r w:rsidRPr="004F0C0B">
        <w:rPr>
          <w:rFonts w:ascii="David" w:eastAsia="Calibri" w:hAnsi="David"/>
          <w:rtl/>
        </w:rPr>
        <w:t xml:space="preserve"> יש לזקוף לזכותו את החיסכון בזמן השיפוטי היקר, אשר נגזר מהודאתו ומההגעה להסדר הטיעון</w:t>
      </w:r>
      <w:r w:rsidRPr="004F0C0B">
        <w:rPr>
          <w:rFonts w:ascii="David" w:eastAsia="Calibri" w:hAnsi="David"/>
        </w:rPr>
        <w:t>;</w:t>
      </w:r>
    </w:p>
    <w:p w14:paraId="1B300E78" w14:textId="77777777" w:rsidR="00AF1FC8" w:rsidRPr="004F0C0B" w:rsidRDefault="00AF1FC8" w:rsidP="00AF1FC8">
      <w:pPr>
        <w:spacing w:after="240" w:line="360" w:lineRule="auto"/>
        <w:jc w:val="both"/>
        <w:rPr>
          <w:rFonts w:ascii="David" w:eastAsia="Calibri" w:hAnsi="David"/>
          <w:rtl/>
        </w:rPr>
      </w:pPr>
      <w:r w:rsidRPr="004F0C0B">
        <w:rPr>
          <w:rFonts w:ascii="David" w:eastAsia="Calibri" w:hAnsi="David"/>
          <w:rtl/>
        </w:rPr>
        <w:t xml:space="preserve">בנוסף לאמור לעיל, נוכח התנהגותו המסוכנת של הנאשם, סברתי כי בהחלט יש מקום להכליל בגדרי מתחמי הענישה את השיקול שעניינו </w:t>
      </w:r>
      <w:r w:rsidRPr="004F0C0B">
        <w:rPr>
          <w:rFonts w:ascii="David" w:eastAsia="Calibri" w:hAnsi="David"/>
          <w:b/>
          <w:bCs/>
          <w:rtl/>
        </w:rPr>
        <w:t>בהרתעת הרבים</w:t>
      </w:r>
      <w:r w:rsidRPr="004F0C0B">
        <w:rPr>
          <w:rFonts w:ascii="David" w:eastAsia="Calibri" w:hAnsi="David"/>
          <w:rtl/>
        </w:rPr>
        <w:t xml:space="preserve"> (בהתאם </w:t>
      </w:r>
      <w:hyperlink r:id="rId76" w:history="1">
        <w:r w:rsidR="00F52168" w:rsidRPr="00F52168">
          <w:rPr>
            <w:rStyle w:val="Hyperlink"/>
            <w:rFonts w:ascii="David" w:eastAsia="Calibri" w:hAnsi="David"/>
            <w:color w:val="0000FF"/>
            <w:rtl/>
          </w:rPr>
          <w:t>לסעיף 40ז</w:t>
        </w:r>
      </w:hyperlink>
      <w:r w:rsidRPr="004F0C0B">
        <w:rPr>
          <w:rFonts w:ascii="David" w:eastAsia="Calibri" w:hAnsi="David"/>
          <w:rtl/>
        </w:rPr>
        <w:t xml:space="preserve"> לחוק);</w:t>
      </w:r>
      <w:r w:rsidRPr="004F0C0B">
        <w:rPr>
          <w:rFonts w:ascii="David" w:eastAsia="Calibri" w:hAnsi="David"/>
        </w:rPr>
        <w:t xml:space="preserve"> </w:t>
      </w:r>
      <w:r w:rsidRPr="004F0C0B">
        <w:rPr>
          <w:rFonts w:ascii="David" w:eastAsia="Calibri" w:hAnsi="David"/>
          <w:rtl/>
        </w:rPr>
        <w:t>תוך העברת מסר לציבור הרחב שהתנהגות דומה שכזו אינה מקובלת במחוזותינו.</w:t>
      </w:r>
    </w:p>
    <w:p w14:paraId="1DA7DCD3" w14:textId="77777777" w:rsidR="00AF1FC8" w:rsidRPr="004F0C0B" w:rsidRDefault="00AF1FC8" w:rsidP="00AF1FC8">
      <w:pPr>
        <w:spacing w:after="120" w:line="360" w:lineRule="auto"/>
        <w:jc w:val="both"/>
        <w:rPr>
          <w:rFonts w:ascii="David" w:eastAsia="Calibri" w:hAnsi="David"/>
          <w:b/>
          <w:bCs/>
          <w:u w:val="single"/>
          <w:rtl/>
        </w:rPr>
      </w:pPr>
      <w:r w:rsidRPr="004F0C0B">
        <w:rPr>
          <w:rFonts w:ascii="David" w:eastAsia="Calibri" w:hAnsi="David"/>
          <w:b/>
          <w:bCs/>
          <w:u w:val="single"/>
          <w:rtl/>
        </w:rPr>
        <w:t>סוף דבר</w:t>
      </w:r>
    </w:p>
    <w:p w14:paraId="4BCF4C37" w14:textId="77777777" w:rsidR="00AF1FC8" w:rsidRPr="004F0C0B" w:rsidRDefault="00AF1FC8" w:rsidP="00AF1FC8">
      <w:pPr>
        <w:spacing w:after="120" w:line="360" w:lineRule="auto"/>
        <w:jc w:val="both"/>
        <w:rPr>
          <w:rFonts w:ascii="David" w:eastAsia="Calibri" w:hAnsi="David"/>
          <w:rtl/>
        </w:rPr>
      </w:pPr>
      <w:r w:rsidRPr="004F0C0B">
        <w:rPr>
          <w:rFonts w:ascii="David" w:eastAsia="Calibri" w:hAnsi="David"/>
          <w:rtl/>
        </w:rPr>
        <w:t>לאחר ששקלתי את כל השיקולים הרלוונטיים לכך, מצאתי להטיל על הנאשם עונשים כדלקמן:</w:t>
      </w:r>
    </w:p>
    <w:p w14:paraId="6AABB158" w14:textId="77777777" w:rsidR="00AF1FC8" w:rsidRPr="004F0C0B" w:rsidRDefault="00AF1FC8" w:rsidP="00AF1FC8">
      <w:pPr>
        <w:numPr>
          <w:ilvl w:val="0"/>
          <w:numId w:val="1"/>
        </w:numPr>
        <w:spacing w:after="120" w:line="360" w:lineRule="auto"/>
        <w:ind w:left="714" w:hanging="357"/>
        <w:contextualSpacing/>
        <w:jc w:val="both"/>
        <w:rPr>
          <w:rFonts w:ascii="David" w:eastAsia="Calibri" w:hAnsi="David"/>
          <w:b/>
          <w:bCs/>
          <w:rtl/>
        </w:rPr>
      </w:pPr>
      <w:r w:rsidRPr="004F0C0B">
        <w:rPr>
          <w:rFonts w:ascii="David" w:eastAsia="Calibri" w:hAnsi="David"/>
          <w:b/>
          <w:bCs/>
          <w:rtl/>
        </w:rPr>
        <w:t>60 חודשי מאסר לריצוי בפועל, מיום מעצרו.</w:t>
      </w:r>
    </w:p>
    <w:p w14:paraId="57BF753A" w14:textId="77777777" w:rsidR="00AF1FC8" w:rsidRPr="004F0C0B" w:rsidRDefault="00AF1FC8" w:rsidP="00AF1FC8">
      <w:pPr>
        <w:numPr>
          <w:ilvl w:val="0"/>
          <w:numId w:val="1"/>
        </w:numPr>
        <w:spacing w:after="120" w:line="360" w:lineRule="auto"/>
        <w:ind w:left="714" w:hanging="357"/>
        <w:contextualSpacing/>
        <w:jc w:val="both"/>
        <w:rPr>
          <w:rFonts w:ascii="David" w:eastAsia="Calibri" w:hAnsi="David"/>
          <w:b/>
          <w:bCs/>
        </w:rPr>
      </w:pPr>
      <w:r w:rsidRPr="004F0C0B">
        <w:rPr>
          <w:rFonts w:ascii="David" w:eastAsia="Calibri" w:hAnsi="David"/>
          <w:b/>
          <w:bCs/>
          <w:rtl/>
        </w:rPr>
        <w:t>12 חודשי מאסר על-תנאי, שלא יעבור במשך שלוש שנים, עבירת נשק מסוג פשע.</w:t>
      </w:r>
    </w:p>
    <w:p w14:paraId="6701205D" w14:textId="77777777" w:rsidR="00AF1FC8" w:rsidRPr="004F0C0B" w:rsidRDefault="00AF1FC8" w:rsidP="00AF1FC8">
      <w:pPr>
        <w:numPr>
          <w:ilvl w:val="0"/>
          <w:numId w:val="1"/>
        </w:numPr>
        <w:spacing w:after="120" w:line="360" w:lineRule="auto"/>
        <w:ind w:left="714" w:hanging="357"/>
        <w:contextualSpacing/>
        <w:jc w:val="both"/>
        <w:rPr>
          <w:rFonts w:ascii="David" w:eastAsia="Calibri" w:hAnsi="David"/>
          <w:b/>
          <w:bCs/>
        </w:rPr>
      </w:pPr>
      <w:r w:rsidRPr="004F0C0B">
        <w:rPr>
          <w:rFonts w:ascii="David" w:eastAsia="Calibri" w:hAnsi="David"/>
          <w:b/>
          <w:bCs/>
          <w:rtl/>
        </w:rPr>
        <w:t>6 חודשי מאסר על-תנאי, שלא יעבור במשך שלוש שנים, עבירת נשק מסוג עוון.</w:t>
      </w:r>
    </w:p>
    <w:p w14:paraId="31437803" w14:textId="77777777" w:rsidR="00AF1FC8" w:rsidRPr="004F0C0B" w:rsidRDefault="00AF1FC8" w:rsidP="00AF1FC8">
      <w:pPr>
        <w:numPr>
          <w:ilvl w:val="0"/>
          <w:numId w:val="1"/>
        </w:numPr>
        <w:spacing w:after="120" w:line="360" w:lineRule="auto"/>
        <w:ind w:left="714" w:hanging="357"/>
        <w:contextualSpacing/>
        <w:jc w:val="both"/>
        <w:rPr>
          <w:rFonts w:ascii="David" w:eastAsia="Calibri" w:hAnsi="David"/>
          <w:b/>
          <w:bCs/>
        </w:rPr>
      </w:pPr>
      <w:r w:rsidRPr="004F0C0B">
        <w:rPr>
          <w:rFonts w:ascii="David" w:eastAsia="Calibri" w:hAnsi="David"/>
          <w:b/>
          <w:bCs/>
          <w:rtl/>
        </w:rPr>
        <w:t>קנס בסך 5,000 ₪ או 25 ימי מאסר תמורתו. הקנס ישולם עד יום 1.5.2025.</w:t>
      </w:r>
    </w:p>
    <w:p w14:paraId="045FD7F8" w14:textId="77777777" w:rsidR="00AF1FC8" w:rsidRPr="004F0C0B" w:rsidRDefault="00AF1FC8" w:rsidP="00AF1FC8">
      <w:pPr>
        <w:spacing w:line="360" w:lineRule="auto"/>
        <w:ind w:left="720"/>
        <w:contextualSpacing/>
        <w:jc w:val="both"/>
        <w:rPr>
          <w:rFonts w:ascii="David" w:eastAsia="Calibri" w:hAnsi="David"/>
          <w:b/>
          <w:bCs/>
        </w:rPr>
      </w:pPr>
      <w:r w:rsidRPr="004F0C0B">
        <w:rPr>
          <w:rFonts w:ascii="David" w:eastAsia="Calibri" w:hAnsi="David"/>
          <w:rtl/>
        </w:rPr>
        <w:t>תשומת לב הנאשם לכך שיש לשלם את הקנס לחשבון המרכז לגביית קנסות, אגרות והוצאות ברשות האכיפה והגבייה החל מחלוף 3 ימים מיום מתן גזר – הדין באחת הדרכים הבאות:</w:t>
      </w:r>
    </w:p>
    <w:p w14:paraId="6BED0681" w14:textId="77777777" w:rsidR="00AF1FC8" w:rsidRPr="004F0C0B" w:rsidRDefault="00AF1FC8" w:rsidP="00AF1FC8">
      <w:pPr>
        <w:numPr>
          <w:ilvl w:val="0"/>
          <w:numId w:val="2"/>
        </w:numPr>
        <w:spacing w:after="120" w:line="360" w:lineRule="auto"/>
        <w:ind w:left="1077" w:hanging="357"/>
        <w:contextualSpacing/>
        <w:jc w:val="both"/>
        <w:rPr>
          <w:rFonts w:ascii="David" w:eastAsia="Calibri" w:hAnsi="David"/>
          <w:rtl/>
        </w:rPr>
      </w:pPr>
      <w:r w:rsidRPr="004F0C0B">
        <w:rPr>
          <w:rFonts w:ascii="David" w:eastAsia="Calibri" w:hAnsi="David"/>
          <w:rtl/>
        </w:rPr>
        <w:t xml:space="preserve">בכרטיס אשראי – באתר המקוון של רשות האכיפה והגבייה </w:t>
      </w:r>
      <w:r w:rsidRPr="004F0C0B">
        <w:rPr>
          <w:rFonts w:ascii="David" w:eastAsia="Calibri" w:hAnsi="David"/>
        </w:rPr>
        <w:t>WWW.ECA.GOV.IL</w:t>
      </w:r>
      <w:r w:rsidRPr="004F0C0B">
        <w:rPr>
          <w:rFonts w:ascii="David" w:eastAsia="Calibri" w:hAnsi="David"/>
          <w:rtl/>
        </w:rPr>
        <w:t>;</w:t>
      </w:r>
    </w:p>
    <w:p w14:paraId="7F1F72A7" w14:textId="77777777" w:rsidR="00AF1FC8" w:rsidRPr="004F0C0B" w:rsidRDefault="00AF1FC8" w:rsidP="00AF1FC8">
      <w:pPr>
        <w:numPr>
          <w:ilvl w:val="0"/>
          <w:numId w:val="2"/>
        </w:numPr>
        <w:spacing w:after="120" w:line="360" w:lineRule="auto"/>
        <w:ind w:left="1077" w:hanging="357"/>
        <w:contextualSpacing/>
        <w:jc w:val="both"/>
        <w:rPr>
          <w:rFonts w:ascii="David" w:eastAsia="Calibri" w:hAnsi="David"/>
          <w:rtl/>
        </w:rPr>
      </w:pPr>
      <w:r w:rsidRPr="004F0C0B">
        <w:rPr>
          <w:rFonts w:ascii="David" w:eastAsia="Calibri" w:hAnsi="David"/>
          <w:rtl/>
        </w:rPr>
        <w:t>אמצעות מוקד שירות טלפוני בשירות עצמי (מרכז גבייה) במספר הטלפון +35592 או 073-2055000.</w:t>
      </w:r>
    </w:p>
    <w:p w14:paraId="747E712B" w14:textId="77777777" w:rsidR="00AF1FC8" w:rsidRPr="004F0C0B" w:rsidRDefault="00AF1FC8" w:rsidP="00AF1FC8">
      <w:pPr>
        <w:numPr>
          <w:ilvl w:val="0"/>
          <w:numId w:val="2"/>
        </w:numPr>
        <w:spacing w:after="240" w:line="360" w:lineRule="auto"/>
        <w:ind w:left="1077" w:hanging="357"/>
        <w:contextualSpacing/>
        <w:jc w:val="both"/>
        <w:rPr>
          <w:rFonts w:ascii="David" w:eastAsia="Calibri" w:hAnsi="David"/>
          <w:rtl/>
        </w:rPr>
      </w:pPr>
      <w:r w:rsidRPr="004F0C0B">
        <w:rPr>
          <w:rFonts w:ascii="David" w:eastAsia="Calibri" w:hAnsi="David"/>
          <w:rtl/>
        </w:rPr>
        <w:t>במזומן בכל סניף של בנק הדואר – בהצגת תעודת זהות בלבד (אין צורך בשוברי תשלום).</w:t>
      </w:r>
    </w:p>
    <w:p w14:paraId="31C86C3E" w14:textId="77777777" w:rsidR="00AF1FC8" w:rsidRPr="004F0C0B" w:rsidRDefault="00AF1FC8" w:rsidP="00AF1FC8">
      <w:pPr>
        <w:spacing w:line="360" w:lineRule="auto"/>
        <w:jc w:val="both"/>
        <w:rPr>
          <w:rFonts w:ascii="David" w:eastAsia="Calibri" w:hAnsi="David"/>
          <w:b/>
          <w:bCs/>
          <w:rtl/>
        </w:rPr>
      </w:pPr>
      <w:r w:rsidRPr="004F0C0B">
        <w:rPr>
          <w:rFonts w:ascii="David" w:eastAsia="Calibri" w:hAnsi="David"/>
          <w:b/>
          <w:bCs/>
          <w:rtl/>
        </w:rPr>
        <w:t>זכות ערעור כחוק.</w:t>
      </w:r>
    </w:p>
    <w:p w14:paraId="70ED5678" w14:textId="77777777" w:rsidR="00AF1FC8" w:rsidRPr="00F524A6" w:rsidRDefault="00F524A6" w:rsidP="00AF1FC8">
      <w:pPr>
        <w:spacing w:line="360" w:lineRule="auto"/>
        <w:jc w:val="both"/>
        <w:rPr>
          <w:color w:val="FFFFFF"/>
          <w:sz w:val="2"/>
          <w:szCs w:val="2"/>
          <w:rtl/>
        </w:rPr>
      </w:pPr>
      <w:r w:rsidRPr="00F524A6">
        <w:rPr>
          <w:color w:val="FFFFFF"/>
          <w:sz w:val="2"/>
          <w:szCs w:val="2"/>
          <w:rtl/>
        </w:rPr>
        <w:t>5129371</w:t>
      </w:r>
    </w:p>
    <w:p w14:paraId="5C1B3287" w14:textId="77777777" w:rsidR="00AF1FC8" w:rsidRDefault="00F524A6" w:rsidP="00AF1FC8">
      <w:pPr>
        <w:rPr>
          <w:rFonts w:cs="FrankRuehl"/>
          <w:sz w:val="28"/>
          <w:szCs w:val="28"/>
          <w:rtl/>
        </w:rPr>
      </w:pPr>
      <w:bookmarkStart w:id="7" w:name="Nitan"/>
      <w:r w:rsidRPr="00F524A6">
        <w:rPr>
          <w:rFonts w:ascii="Arial" w:hAnsi="Arial"/>
          <w:color w:val="FFFFFF"/>
          <w:sz w:val="2"/>
          <w:szCs w:val="2"/>
          <w:rtl/>
        </w:rPr>
        <w:t>54678313</w:t>
      </w:r>
      <w:r>
        <w:rPr>
          <w:rFonts w:ascii="Arial" w:hAnsi="Arial"/>
          <w:rtl/>
        </w:rPr>
        <w:t xml:space="preserve">ניתן היום,  י"ג אדר תשפ"ה, 13 מרץ 2025, במעמד הצדדים. </w:t>
      </w:r>
      <w:bookmarkEnd w:id="7"/>
    </w:p>
    <w:p w14:paraId="1A6E457A" w14:textId="77777777" w:rsidR="00AF1FC8" w:rsidRDefault="00AF1FC8" w:rsidP="00F524A6">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136C2A65" w14:textId="77777777" w:rsidR="00AF1FC8" w:rsidRDefault="00AF1FC8" w:rsidP="00AF1FC8">
      <w:pPr>
        <w:jc w:val="center"/>
        <w:rPr>
          <w:rFonts w:ascii="Arial" w:hAnsi="Arial" w:cs="FrankRuehl"/>
          <w:sz w:val="28"/>
          <w:szCs w:val="28"/>
          <w:rtl/>
        </w:rPr>
      </w:pPr>
    </w:p>
    <w:p w14:paraId="37A32CB3" w14:textId="77777777" w:rsidR="00AF1FC8" w:rsidRDefault="00AF1FC8" w:rsidP="00AF1FC8">
      <w:pPr>
        <w:rPr>
          <w:rFonts w:cs="FrankRuehl"/>
          <w:sz w:val="28"/>
          <w:szCs w:val="28"/>
          <w:rtl/>
        </w:rPr>
      </w:pPr>
    </w:p>
    <w:p w14:paraId="09F697DC" w14:textId="77777777" w:rsidR="00AF1FC8" w:rsidRPr="00F52168" w:rsidRDefault="00F52168" w:rsidP="00AF1FC8">
      <w:pPr>
        <w:pStyle w:val="a3"/>
        <w:jc w:val="center"/>
        <w:rPr>
          <w:color w:val="FFFFFF"/>
          <w:sz w:val="2"/>
          <w:szCs w:val="2"/>
          <w:rtl/>
        </w:rPr>
      </w:pPr>
      <w:r w:rsidRPr="00F52168">
        <w:rPr>
          <w:color w:val="FFFFFF"/>
          <w:sz w:val="2"/>
          <w:szCs w:val="2"/>
          <w:rtl/>
        </w:rPr>
        <w:t>5129371</w:t>
      </w:r>
    </w:p>
    <w:p w14:paraId="542C9BAD" w14:textId="77777777" w:rsidR="00F524A6" w:rsidRDefault="00F52168" w:rsidP="00F524A6">
      <w:r w:rsidRPr="00F52168">
        <w:rPr>
          <w:rFonts w:ascii="David" w:hAnsi="David"/>
          <w:color w:val="FFFFFF"/>
          <w:sz w:val="2"/>
          <w:szCs w:val="2"/>
          <w:rtl/>
        </w:rPr>
        <w:t>54678313</w:t>
      </w:r>
    </w:p>
    <w:p w14:paraId="4E5D23FF" w14:textId="77777777" w:rsidR="00F524A6" w:rsidRDefault="00F524A6" w:rsidP="00F524A6">
      <w:pPr>
        <w:rPr>
          <w:rtl/>
        </w:rPr>
      </w:pPr>
    </w:p>
    <w:p w14:paraId="663AD9E8" w14:textId="77777777" w:rsidR="00F524A6" w:rsidRDefault="00F524A6" w:rsidP="00F524A6">
      <w:pPr>
        <w:jc w:val="center"/>
        <w:rPr>
          <w:color w:val="0000FF"/>
          <w:u w:val="single"/>
        </w:rPr>
      </w:pPr>
      <w:hyperlink r:id="rId77" w:history="1">
        <w:r>
          <w:rPr>
            <w:color w:val="0000FF"/>
            <w:u w:val="single"/>
            <w:rtl/>
          </w:rPr>
          <w:t>בעניין עריכה ושינויים במסמכי פסיקה, חקיקה ועוד באתר נבו – הקש כאן</w:t>
        </w:r>
      </w:hyperlink>
    </w:p>
    <w:p w14:paraId="7AC6852D" w14:textId="77777777" w:rsidR="00F52168" w:rsidRPr="00F52168" w:rsidRDefault="00F52168" w:rsidP="00F52168">
      <w:pPr>
        <w:keepNext/>
        <w:rPr>
          <w:rFonts w:ascii="David" w:hAnsi="David"/>
          <w:color w:val="000000"/>
          <w:sz w:val="22"/>
          <w:szCs w:val="22"/>
          <w:rtl/>
        </w:rPr>
      </w:pPr>
    </w:p>
    <w:p w14:paraId="2CEFFEC4" w14:textId="77777777" w:rsidR="00F52168" w:rsidRPr="00F52168" w:rsidRDefault="00F52168" w:rsidP="00F52168">
      <w:pPr>
        <w:keepNext/>
        <w:rPr>
          <w:rFonts w:ascii="David" w:hAnsi="David"/>
          <w:color w:val="000000"/>
          <w:sz w:val="22"/>
          <w:szCs w:val="22"/>
          <w:rtl/>
        </w:rPr>
      </w:pPr>
      <w:r w:rsidRPr="00F52168">
        <w:rPr>
          <w:rFonts w:ascii="David" w:hAnsi="David"/>
          <w:color w:val="000000"/>
          <w:sz w:val="22"/>
          <w:szCs w:val="22"/>
          <w:rtl/>
        </w:rPr>
        <w:t>אבי לוי 54678313-/</w:t>
      </w:r>
    </w:p>
    <w:p w14:paraId="0E0D82F1" w14:textId="77777777" w:rsidR="00F524A6" w:rsidRPr="00F524A6" w:rsidRDefault="00F52168" w:rsidP="00F52168">
      <w:pPr>
        <w:rPr>
          <w:color w:val="0000FF"/>
          <w:u w:val="single"/>
        </w:rPr>
      </w:pPr>
      <w:r w:rsidRPr="00F52168">
        <w:rPr>
          <w:color w:val="000000"/>
          <w:u w:val="single"/>
          <w:rtl/>
        </w:rPr>
        <w:t>נוסח מסמך זה כפוף לשינויי ניסוח ועריכה</w:t>
      </w:r>
    </w:p>
    <w:sectPr w:rsidR="00F524A6" w:rsidRPr="00F524A6" w:rsidSect="00F52168">
      <w:headerReference w:type="even" r:id="rId78"/>
      <w:headerReference w:type="default" r:id="rId79"/>
      <w:footerReference w:type="even" r:id="rId80"/>
      <w:footerReference w:type="default" r:id="rId81"/>
      <w:pgSz w:w="11907" w:h="16840" w:code="9"/>
      <w:pgMar w:top="1701" w:right="1701" w:bottom="1134"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4B685A" w14:textId="77777777" w:rsidR="00A70E20" w:rsidRDefault="00A70E20" w:rsidP="001F4A4D">
      <w:r>
        <w:separator/>
      </w:r>
    </w:p>
  </w:endnote>
  <w:endnote w:type="continuationSeparator" w:id="0">
    <w:p w14:paraId="1A6A9FD5" w14:textId="77777777" w:rsidR="00A70E20" w:rsidRDefault="00A70E20" w:rsidP="001F4A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4AEEE0" w14:textId="77777777" w:rsidR="00F52168" w:rsidRDefault="00F52168" w:rsidP="00F5216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23BADF31" w14:textId="77777777" w:rsidR="00E72CDA" w:rsidRPr="00F52168" w:rsidRDefault="00F52168" w:rsidP="00F52168">
    <w:pPr>
      <w:pStyle w:val="a5"/>
      <w:pBdr>
        <w:top w:val="single" w:sz="4" w:space="1" w:color="auto"/>
        <w:between w:val="single" w:sz="4" w:space="0" w:color="auto"/>
      </w:pBdr>
      <w:spacing w:after="60"/>
      <w:jc w:val="center"/>
      <w:rPr>
        <w:rFonts w:ascii="FrankRuehl" w:hAnsi="FrankRuehl" w:cs="FrankRuehl"/>
        <w:color w:val="000000"/>
      </w:rPr>
    </w:pPr>
    <w:r w:rsidRPr="00F5216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70D102" w14:textId="77777777" w:rsidR="00F52168" w:rsidRDefault="00F52168" w:rsidP="00F5216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B031D">
      <w:rPr>
        <w:rFonts w:ascii="FrankRuehl" w:hAnsi="FrankRuehl" w:cs="FrankRuehl"/>
        <w:noProof/>
        <w:rtl/>
      </w:rPr>
      <w:t>1</w:t>
    </w:r>
    <w:r>
      <w:rPr>
        <w:rFonts w:ascii="FrankRuehl" w:hAnsi="FrankRuehl" w:cs="FrankRuehl"/>
        <w:rtl/>
      </w:rPr>
      <w:fldChar w:fldCharType="end"/>
    </w:r>
  </w:p>
  <w:p w14:paraId="640F2433" w14:textId="77777777" w:rsidR="00E72CDA" w:rsidRPr="00F52168" w:rsidRDefault="00F52168" w:rsidP="00F52168">
    <w:pPr>
      <w:pStyle w:val="a5"/>
      <w:pBdr>
        <w:top w:val="single" w:sz="4" w:space="1" w:color="auto"/>
        <w:between w:val="single" w:sz="4" w:space="0" w:color="auto"/>
      </w:pBdr>
      <w:spacing w:after="60"/>
      <w:jc w:val="center"/>
      <w:rPr>
        <w:rFonts w:ascii="FrankRuehl" w:hAnsi="FrankRuehl" w:cs="FrankRuehl"/>
        <w:color w:val="000000"/>
      </w:rPr>
    </w:pPr>
    <w:r w:rsidRPr="00F52168">
      <w:rPr>
        <w:rFonts w:ascii="FrankRuehl" w:hAnsi="FrankRuehl" w:cs="FrankRuehl"/>
        <w:color w:val="000000"/>
      </w:rPr>
      <w:pict w14:anchorId="5A7272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BAEDD3" w14:textId="77777777" w:rsidR="00A70E20" w:rsidRDefault="00A70E20" w:rsidP="001F4A4D">
      <w:r>
        <w:separator/>
      </w:r>
    </w:p>
  </w:footnote>
  <w:footnote w:type="continuationSeparator" w:id="0">
    <w:p w14:paraId="4F0232DE" w14:textId="77777777" w:rsidR="00A70E20" w:rsidRDefault="00A70E20" w:rsidP="001F4A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B9EBAB" w14:textId="77777777" w:rsidR="00F524A6" w:rsidRPr="00F52168" w:rsidRDefault="00F52168" w:rsidP="00F52168">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23416-08-24</w:t>
    </w:r>
    <w:r>
      <w:rPr>
        <w:rFonts w:ascii="David" w:hAnsi="David"/>
        <w:color w:val="000000"/>
        <w:sz w:val="22"/>
        <w:szCs w:val="22"/>
        <w:rtl/>
      </w:rPr>
      <w:tab/>
      <w:t xml:space="preserve"> מדינת ישראל נ' מועתז גנאים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130D1E" w14:textId="77777777" w:rsidR="00F524A6" w:rsidRPr="00F52168" w:rsidRDefault="00F52168" w:rsidP="00F52168">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23416-08-24</w:t>
    </w:r>
    <w:r>
      <w:rPr>
        <w:rFonts w:ascii="David" w:hAnsi="David"/>
        <w:color w:val="000000"/>
        <w:sz w:val="22"/>
        <w:szCs w:val="22"/>
        <w:rtl/>
      </w:rPr>
      <w:tab/>
      <w:t xml:space="preserve"> מדינת ישראל נ' מועתז גנאים</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3D32EA"/>
    <w:multiLevelType w:val="hybridMultilevel"/>
    <w:tmpl w:val="E2F8FC62"/>
    <w:lvl w:ilvl="0" w:tplc="281E725E">
      <w:start w:val="1"/>
      <w:numFmt w:val="hebrew1"/>
      <w:lvlText w:val="(%1)"/>
      <w:lvlJc w:val="left"/>
      <w:pPr>
        <w:ind w:left="501" w:hanging="360"/>
      </w:pPr>
      <w:rPr>
        <w:b w:val="0"/>
        <w:bCs/>
        <w:lang w:val="en-US"/>
      </w:rPr>
    </w:lvl>
    <w:lvl w:ilvl="1" w:tplc="04090019">
      <w:start w:val="1"/>
      <w:numFmt w:val="lowerLetter"/>
      <w:lvlText w:val="%2."/>
      <w:lvlJc w:val="left"/>
      <w:pPr>
        <w:ind w:left="1221" w:hanging="360"/>
      </w:pPr>
    </w:lvl>
    <w:lvl w:ilvl="2" w:tplc="0409001B">
      <w:start w:val="1"/>
      <w:numFmt w:val="lowerRoman"/>
      <w:lvlText w:val="%3."/>
      <w:lvlJc w:val="right"/>
      <w:pPr>
        <w:ind w:left="1941" w:hanging="180"/>
      </w:pPr>
    </w:lvl>
    <w:lvl w:ilvl="3" w:tplc="0409000F">
      <w:start w:val="1"/>
      <w:numFmt w:val="decimal"/>
      <w:lvlText w:val="%4."/>
      <w:lvlJc w:val="left"/>
      <w:pPr>
        <w:ind w:left="2661" w:hanging="360"/>
      </w:pPr>
    </w:lvl>
    <w:lvl w:ilvl="4" w:tplc="04090019">
      <w:start w:val="1"/>
      <w:numFmt w:val="lowerLetter"/>
      <w:lvlText w:val="%5."/>
      <w:lvlJc w:val="left"/>
      <w:pPr>
        <w:ind w:left="3381" w:hanging="360"/>
      </w:pPr>
    </w:lvl>
    <w:lvl w:ilvl="5" w:tplc="0409001B">
      <w:start w:val="1"/>
      <w:numFmt w:val="lowerRoman"/>
      <w:lvlText w:val="%6."/>
      <w:lvlJc w:val="right"/>
      <w:pPr>
        <w:ind w:left="4101" w:hanging="180"/>
      </w:pPr>
    </w:lvl>
    <w:lvl w:ilvl="6" w:tplc="0409000F">
      <w:start w:val="1"/>
      <w:numFmt w:val="decimal"/>
      <w:lvlText w:val="%7."/>
      <w:lvlJc w:val="left"/>
      <w:pPr>
        <w:ind w:left="4821" w:hanging="360"/>
      </w:pPr>
    </w:lvl>
    <w:lvl w:ilvl="7" w:tplc="04090019">
      <w:start w:val="1"/>
      <w:numFmt w:val="lowerLetter"/>
      <w:lvlText w:val="%8."/>
      <w:lvlJc w:val="left"/>
      <w:pPr>
        <w:ind w:left="5541" w:hanging="360"/>
      </w:pPr>
    </w:lvl>
    <w:lvl w:ilvl="8" w:tplc="0409001B">
      <w:start w:val="1"/>
      <w:numFmt w:val="lowerRoman"/>
      <w:lvlText w:val="%9."/>
      <w:lvlJc w:val="right"/>
      <w:pPr>
        <w:ind w:left="6261" w:hanging="180"/>
      </w:pPr>
    </w:lvl>
  </w:abstractNum>
  <w:abstractNum w:abstractNumId="1" w15:restartNumberingAfterBreak="0">
    <w:nsid w:val="6C6E7A23"/>
    <w:multiLevelType w:val="hybridMultilevel"/>
    <w:tmpl w:val="2BF26832"/>
    <w:lvl w:ilvl="0" w:tplc="D58ABE0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196904619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617733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F1FC8"/>
    <w:rsid w:val="001F4A4D"/>
    <w:rsid w:val="007D09DB"/>
    <w:rsid w:val="009A4E4C"/>
    <w:rsid w:val="00A70E20"/>
    <w:rsid w:val="00AF1FC8"/>
    <w:rsid w:val="00D7514E"/>
    <w:rsid w:val="00E72CDA"/>
    <w:rsid w:val="00F52168"/>
    <w:rsid w:val="00F524A6"/>
    <w:rsid w:val="00FB031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7EB9378"/>
  <w15:chartTrackingRefBased/>
  <w15:docId w15:val="{79A90DD6-F802-4728-A743-651BF7179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F1FC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F1FC8"/>
    <w:pPr>
      <w:tabs>
        <w:tab w:val="center" w:pos="4153"/>
        <w:tab w:val="right" w:pos="8306"/>
      </w:tabs>
    </w:pPr>
  </w:style>
  <w:style w:type="character" w:customStyle="1" w:styleId="a4">
    <w:name w:val="כותרת עליונה תו"/>
    <w:link w:val="a3"/>
    <w:rsid w:val="00AF1FC8"/>
    <w:rPr>
      <w:rFonts w:ascii="Times New Roman" w:eastAsia="Times New Roman" w:hAnsi="Times New Roman" w:cs="David"/>
      <w:sz w:val="24"/>
      <w:szCs w:val="24"/>
    </w:rPr>
  </w:style>
  <w:style w:type="paragraph" w:styleId="a5">
    <w:name w:val="footer"/>
    <w:basedOn w:val="a"/>
    <w:link w:val="a6"/>
    <w:rsid w:val="00AF1FC8"/>
    <w:pPr>
      <w:tabs>
        <w:tab w:val="center" w:pos="4153"/>
        <w:tab w:val="right" w:pos="8306"/>
      </w:tabs>
    </w:pPr>
  </w:style>
  <w:style w:type="character" w:customStyle="1" w:styleId="a6">
    <w:name w:val="כותרת תחתונה תו"/>
    <w:link w:val="a5"/>
    <w:rsid w:val="00AF1FC8"/>
    <w:rPr>
      <w:rFonts w:ascii="Times New Roman" w:eastAsia="Times New Roman" w:hAnsi="Times New Roman" w:cs="David"/>
      <w:sz w:val="24"/>
      <w:szCs w:val="24"/>
    </w:rPr>
  </w:style>
  <w:style w:type="table" w:styleId="a7">
    <w:name w:val="Table Grid"/>
    <w:basedOn w:val="a1"/>
    <w:rsid w:val="00AF1FC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F1FC8"/>
  </w:style>
  <w:style w:type="character" w:styleId="Hyperlink">
    <w:name w:val="Hyperlink"/>
    <w:rsid w:val="00F524A6"/>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144.b" TargetMode="External"/><Relationship Id="rId21" Type="http://schemas.openxmlformats.org/officeDocument/2006/relationships/hyperlink" Target="http://www.nevo.co.il/law/70301/40jc.a" TargetMode="External"/><Relationship Id="rId42" Type="http://schemas.openxmlformats.org/officeDocument/2006/relationships/hyperlink" Target="http://www.nevo.co.il/case/26905927" TargetMode="External"/><Relationship Id="rId47" Type="http://schemas.openxmlformats.org/officeDocument/2006/relationships/hyperlink" Target="http://www.nevo.co.il/case/28883087" TargetMode="External"/><Relationship Id="rId63" Type="http://schemas.openxmlformats.org/officeDocument/2006/relationships/hyperlink" Target="http://www.nevo.co.il/law/70301/144.a" TargetMode="External"/><Relationship Id="rId68" Type="http://schemas.openxmlformats.org/officeDocument/2006/relationships/hyperlink" Target="http://www.nevo.co.il/law/70301" TargetMode="External"/><Relationship Id="rId16" Type="http://schemas.openxmlformats.org/officeDocument/2006/relationships/hyperlink" Target="http://www.nevo.co.il/law/70301/144.b2" TargetMode="External"/><Relationship Id="rId11" Type="http://schemas.openxmlformats.org/officeDocument/2006/relationships/hyperlink" Target="http://www.nevo.co.il/law/70301/40.ja.5" TargetMode="External"/><Relationship Id="rId32" Type="http://schemas.openxmlformats.org/officeDocument/2006/relationships/hyperlink" Target="http://www.nevo.co.il/law/70301/25" TargetMode="External"/><Relationship Id="rId37" Type="http://schemas.openxmlformats.org/officeDocument/2006/relationships/hyperlink" Target="http://www.nevo.co.il/case/13093721" TargetMode="External"/><Relationship Id="rId53" Type="http://schemas.openxmlformats.org/officeDocument/2006/relationships/hyperlink" Target="http://www.nevo.co.il/law/70301/144.a" TargetMode="External"/><Relationship Id="rId58" Type="http://schemas.openxmlformats.org/officeDocument/2006/relationships/hyperlink" Target="http://www.nevo.co.il/law/70301/144.a" TargetMode="External"/><Relationship Id="rId74" Type="http://schemas.openxmlformats.org/officeDocument/2006/relationships/hyperlink" Target="http://www.nevo.co.il/case/21946424" TargetMode="External"/><Relationship Id="rId79" Type="http://schemas.openxmlformats.org/officeDocument/2006/relationships/header" Target="header2.xml"/><Relationship Id="rId5" Type="http://schemas.openxmlformats.org/officeDocument/2006/relationships/footnotes" Target="footnotes.xml"/><Relationship Id="rId61" Type="http://schemas.openxmlformats.org/officeDocument/2006/relationships/hyperlink" Target="http://www.nevo.co.il/law/70301/144.a" TargetMode="External"/><Relationship Id="rId82" Type="http://schemas.openxmlformats.org/officeDocument/2006/relationships/fontTable" Target="fontTable.xml"/><Relationship Id="rId19" Type="http://schemas.openxmlformats.org/officeDocument/2006/relationships/hyperlink" Target="http://www.nevo.co.il/law/70301/40ja.4" TargetMode="External"/><Relationship Id="rId14" Type="http://schemas.openxmlformats.org/officeDocument/2006/relationships/hyperlink" Target="http://www.nevo.co.il/law/70301/144.a" TargetMode="External"/><Relationship Id="rId22" Type="http://schemas.openxmlformats.org/officeDocument/2006/relationships/hyperlink" Target="http://www.nevo.co.il/law/70301/40jc.b" TargetMode="External"/><Relationship Id="rId27" Type="http://schemas.openxmlformats.org/officeDocument/2006/relationships/hyperlink" Target="http://www.nevo.co.il/law/70301/144.a" TargetMode="External"/><Relationship Id="rId30" Type="http://schemas.openxmlformats.org/officeDocument/2006/relationships/hyperlink" Target="http://www.nevo.co.il/law/70301/144.a" TargetMode="External"/><Relationship Id="rId35" Type="http://schemas.openxmlformats.org/officeDocument/2006/relationships/hyperlink" Target="http://www.nevo.co.il/case/7791493" TargetMode="External"/><Relationship Id="rId43" Type="http://schemas.openxmlformats.org/officeDocument/2006/relationships/hyperlink" Target="http://www.nevo.co.il/law/70301" TargetMode="External"/><Relationship Id="rId48" Type="http://schemas.openxmlformats.org/officeDocument/2006/relationships/hyperlink" Target="http://www.nevo.co.il/case/28697227" TargetMode="External"/><Relationship Id="rId56" Type="http://schemas.openxmlformats.org/officeDocument/2006/relationships/hyperlink" Target="http://www.nevo.co.il/law/70301/144.b" TargetMode="External"/><Relationship Id="rId64" Type="http://schemas.openxmlformats.org/officeDocument/2006/relationships/hyperlink" Target="http://www.nevo.co.il/law/70301/144.a" TargetMode="External"/><Relationship Id="rId69" Type="http://schemas.openxmlformats.org/officeDocument/2006/relationships/hyperlink" Target="http://www.nevo.co.il/law/70301/40ja.4" TargetMode="External"/><Relationship Id="rId77" Type="http://schemas.openxmlformats.org/officeDocument/2006/relationships/hyperlink" Target="http://www.nevo.co.il/advertisements/nevo-100.doc" TargetMode="External"/><Relationship Id="rId8" Type="http://schemas.openxmlformats.org/officeDocument/2006/relationships/hyperlink" Target="http://www.nevo.co.il/law/70301/25" TargetMode="External"/><Relationship Id="rId51" Type="http://schemas.openxmlformats.org/officeDocument/2006/relationships/hyperlink" Target="http://www.nevo.co.il/law/70301/144.a" TargetMode="External"/><Relationship Id="rId72" Type="http://schemas.openxmlformats.org/officeDocument/2006/relationships/hyperlink" Target="http://www.nevo.co.il/law/70301/40ja" TargetMode="External"/><Relationship Id="rId80"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www.nevo.co.il/law/70301/40g" TargetMode="External"/><Relationship Id="rId17" Type="http://schemas.openxmlformats.org/officeDocument/2006/relationships/hyperlink" Target="http://www.nevo.co.il/law/70301/144.g" TargetMode="External"/><Relationship Id="rId25" Type="http://schemas.openxmlformats.org/officeDocument/2006/relationships/hyperlink" Target="http://www.nevo.co.il/law/70301" TargetMode="External"/><Relationship Id="rId33" Type="http://schemas.openxmlformats.org/officeDocument/2006/relationships/hyperlink" Target="http://www.nevo.co.il/law/70301/499.a.1" TargetMode="External"/><Relationship Id="rId38" Type="http://schemas.openxmlformats.org/officeDocument/2006/relationships/hyperlink" Target="http://www.nevo.co.il/case/5576587" TargetMode="External"/><Relationship Id="rId46" Type="http://schemas.openxmlformats.org/officeDocument/2006/relationships/hyperlink" Target="http://www.nevo.co.il/case/21771409" TargetMode="External"/><Relationship Id="rId59" Type="http://schemas.openxmlformats.org/officeDocument/2006/relationships/hyperlink" Target="http://www.nevo.co.il/law/70301/144.b" TargetMode="External"/><Relationship Id="rId67" Type="http://schemas.openxmlformats.org/officeDocument/2006/relationships/hyperlink" Target="http://www.nevo.co.il/law/70301/40ja" TargetMode="External"/><Relationship Id="rId20" Type="http://schemas.openxmlformats.org/officeDocument/2006/relationships/hyperlink" Target="http://www.nevo.co.il/law/70301/40ja.6" TargetMode="External"/><Relationship Id="rId41" Type="http://schemas.openxmlformats.org/officeDocument/2006/relationships/hyperlink" Target="http://www.nevo.co.il/law/70301/40jc.c" TargetMode="External"/><Relationship Id="rId54" Type="http://schemas.openxmlformats.org/officeDocument/2006/relationships/hyperlink" Target="http://www.nevo.co.il/law/70301/29" TargetMode="External"/><Relationship Id="rId62" Type="http://schemas.openxmlformats.org/officeDocument/2006/relationships/hyperlink" Target="http://www.nevo.co.il/case/30154626" TargetMode="External"/><Relationship Id="rId70" Type="http://schemas.openxmlformats.org/officeDocument/2006/relationships/hyperlink" Target="http://www.nevo.co.il/law/70301/40.ja.5" TargetMode="External"/><Relationship Id="rId75" Type="http://schemas.openxmlformats.org/officeDocument/2006/relationships/hyperlink" Target="http://www.nevo.co.il/case/27272576" TargetMode="Externa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144.b" TargetMode="External"/><Relationship Id="rId23" Type="http://schemas.openxmlformats.org/officeDocument/2006/relationships/hyperlink" Target="http://www.nevo.co.il/law/70301/40jc.c" TargetMode="External"/><Relationship Id="rId28" Type="http://schemas.openxmlformats.org/officeDocument/2006/relationships/hyperlink" Target="http://www.nevo.co.il/case/18791079" TargetMode="External"/><Relationship Id="rId36" Type="http://schemas.openxmlformats.org/officeDocument/2006/relationships/hyperlink" Target="http://www.nevo.co.il/case/5887664" TargetMode="External"/><Relationship Id="rId49" Type="http://schemas.openxmlformats.org/officeDocument/2006/relationships/hyperlink" Target="http://www.nevo.co.il/case/30168342" TargetMode="External"/><Relationship Id="rId57" Type="http://schemas.openxmlformats.org/officeDocument/2006/relationships/hyperlink" Target="http://www.nevo.co.il/law/70301/32" TargetMode="External"/><Relationship Id="rId10" Type="http://schemas.openxmlformats.org/officeDocument/2006/relationships/hyperlink" Target="http://www.nevo.co.il/law/70301/32" TargetMode="External"/><Relationship Id="rId31" Type="http://schemas.openxmlformats.org/officeDocument/2006/relationships/hyperlink" Target="http://www.nevo.co.il/law/70301/144.b2" TargetMode="External"/><Relationship Id="rId44" Type="http://schemas.openxmlformats.org/officeDocument/2006/relationships/hyperlink" Target="http://www.nevo.co.il/case/26934681" TargetMode="External"/><Relationship Id="rId52" Type="http://schemas.openxmlformats.org/officeDocument/2006/relationships/hyperlink" Target="http://www.nevo.co.il/law/70301/144.b" TargetMode="External"/><Relationship Id="rId60" Type="http://schemas.openxmlformats.org/officeDocument/2006/relationships/hyperlink" Target="http://www.nevo.co.il/law/70301" TargetMode="External"/><Relationship Id="rId65" Type="http://schemas.openxmlformats.org/officeDocument/2006/relationships/hyperlink" Target="http://www.nevo.co.il/law/70301/40i.a" TargetMode="External"/><Relationship Id="rId73" Type="http://schemas.openxmlformats.org/officeDocument/2006/relationships/hyperlink" Target="http://www.nevo.co.il/case/25836997" TargetMode="External"/><Relationship Id="rId78" Type="http://schemas.openxmlformats.org/officeDocument/2006/relationships/header" Target="header1.xml"/><Relationship Id="rId8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29" TargetMode="External"/><Relationship Id="rId13" Type="http://schemas.openxmlformats.org/officeDocument/2006/relationships/hyperlink" Target="http://www.nevo.co.il/law/70301/40i.a" TargetMode="External"/><Relationship Id="rId18" Type="http://schemas.openxmlformats.org/officeDocument/2006/relationships/hyperlink" Target="http://www.nevo.co.il/law/70301/40ja" TargetMode="External"/><Relationship Id="rId39" Type="http://schemas.openxmlformats.org/officeDocument/2006/relationships/hyperlink" Target="http://www.nevo.co.il/law/70301/40jc.a" TargetMode="External"/><Relationship Id="rId34" Type="http://schemas.openxmlformats.org/officeDocument/2006/relationships/hyperlink" Target="http://www.nevo.co.il/law/70301/40jc.b" TargetMode="External"/><Relationship Id="rId50" Type="http://schemas.openxmlformats.org/officeDocument/2006/relationships/hyperlink" Target="http://www.nevo.co.il/case/28700170" TargetMode="External"/><Relationship Id="rId55" Type="http://schemas.openxmlformats.org/officeDocument/2006/relationships/hyperlink" Target="http://www.nevo.co.il/case/29882544" TargetMode="External"/><Relationship Id="rId76" Type="http://schemas.openxmlformats.org/officeDocument/2006/relationships/hyperlink" Target="http://www.nevo.co.il/law/70301/40g" TargetMode="External"/><Relationship Id="rId7" Type="http://schemas.openxmlformats.org/officeDocument/2006/relationships/hyperlink" Target="http://www.nevo.co.il/law/70301" TargetMode="External"/><Relationship Id="rId71" Type="http://schemas.openxmlformats.org/officeDocument/2006/relationships/hyperlink" Target="http://www.nevo.co.il/law/70301/40ja.6" TargetMode="External"/><Relationship Id="rId2" Type="http://schemas.openxmlformats.org/officeDocument/2006/relationships/styles" Target="styles.xml"/><Relationship Id="rId29" Type="http://schemas.openxmlformats.org/officeDocument/2006/relationships/hyperlink" Target="http://www.nevo.co.il/law/70301/144.b" TargetMode="External"/><Relationship Id="rId24" Type="http://schemas.openxmlformats.org/officeDocument/2006/relationships/hyperlink" Target="http://www.nevo.co.il/law/70301/499.a.1" TargetMode="External"/><Relationship Id="rId40" Type="http://schemas.openxmlformats.org/officeDocument/2006/relationships/hyperlink" Target="http://www.nevo.co.il/law/70301" TargetMode="External"/><Relationship Id="rId45" Type="http://schemas.openxmlformats.org/officeDocument/2006/relationships/hyperlink" Target="http://www.nevo.co.il/law/70301/144.g" TargetMode="External"/><Relationship Id="rId66"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3959</Words>
  <Characters>19798</Characters>
  <Application>Microsoft Office Word</Application>
  <DocSecurity>0</DocSecurity>
  <Lines>164</Lines>
  <Paragraphs>47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23710</CharactersWithSpaces>
  <SharedDoc>false</SharedDoc>
  <HLinks>
    <vt:vector size="426" baseType="variant">
      <vt:variant>
        <vt:i4>393283</vt:i4>
      </vt:variant>
      <vt:variant>
        <vt:i4>210</vt:i4>
      </vt:variant>
      <vt:variant>
        <vt:i4>0</vt:i4>
      </vt:variant>
      <vt:variant>
        <vt:i4>5</vt:i4>
      </vt:variant>
      <vt:variant>
        <vt:lpwstr>http://www.nevo.co.il/advertisements/nevo-100.doc</vt:lpwstr>
      </vt:variant>
      <vt:variant>
        <vt:lpwstr/>
      </vt:variant>
      <vt:variant>
        <vt:i4>6619233</vt:i4>
      </vt:variant>
      <vt:variant>
        <vt:i4>207</vt:i4>
      </vt:variant>
      <vt:variant>
        <vt:i4>0</vt:i4>
      </vt:variant>
      <vt:variant>
        <vt:i4>5</vt:i4>
      </vt:variant>
      <vt:variant>
        <vt:lpwstr>http://www.nevo.co.il/law/70301/40g</vt:lpwstr>
      </vt:variant>
      <vt:variant>
        <vt:lpwstr/>
      </vt:variant>
      <vt:variant>
        <vt:i4>3473521</vt:i4>
      </vt:variant>
      <vt:variant>
        <vt:i4>204</vt:i4>
      </vt:variant>
      <vt:variant>
        <vt:i4>0</vt:i4>
      </vt:variant>
      <vt:variant>
        <vt:i4>5</vt:i4>
      </vt:variant>
      <vt:variant>
        <vt:lpwstr>http://www.nevo.co.il/case/27272576</vt:lpwstr>
      </vt:variant>
      <vt:variant>
        <vt:lpwstr/>
      </vt:variant>
      <vt:variant>
        <vt:i4>4128885</vt:i4>
      </vt:variant>
      <vt:variant>
        <vt:i4>201</vt:i4>
      </vt:variant>
      <vt:variant>
        <vt:i4>0</vt:i4>
      </vt:variant>
      <vt:variant>
        <vt:i4>5</vt:i4>
      </vt:variant>
      <vt:variant>
        <vt:lpwstr>http://www.nevo.co.il/case/21946424</vt:lpwstr>
      </vt:variant>
      <vt:variant>
        <vt:lpwstr/>
      </vt:variant>
      <vt:variant>
        <vt:i4>3473531</vt:i4>
      </vt:variant>
      <vt:variant>
        <vt:i4>198</vt:i4>
      </vt:variant>
      <vt:variant>
        <vt:i4>0</vt:i4>
      </vt:variant>
      <vt:variant>
        <vt:i4>5</vt:i4>
      </vt:variant>
      <vt:variant>
        <vt:lpwstr>http://www.nevo.co.il/case/25836997</vt:lpwstr>
      </vt:variant>
      <vt:variant>
        <vt:lpwstr/>
      </vt:variant>
      <vt:variant>
        <vt:i4>262155</vt:i4>
      </vt:variant>
      <vt:variant>
        <vt:i4>195</vt:i4>
      </vt:variant>
      <vt:variant>
        <vt:i4>0</vt:i4>
      </vt:variant>
      <vt:variant>
        <vt:i4>5</vt:i4>
      </vt:variant>
      <vt:variant>
        <vt:lpwstr>http://www.nevo.co.il/law/70301/40ja</vt:lpwstr>
      </vt:variant>
      <vt:variant>
        <vt:lpwstr/>
      </vt:variant>
      <vt:variant>
        <vt:i4>3276837</vt:i4>
      </vt:variant>
      <vt:variant>
        <vt:i4>192</vt:i4>
      </vt:variant>
      <vt:variant>
        <vt:i4>0</vt:i4>
      </vt:variant>
      <vt:variant>
        <vt:i4>5</vt:i4>
      </vt:variant>
      <vt:variant>
        <vt:lpwstr>http://www.nevo.co.il/law/70301/40ja.6</vt:lpwstr>
      </vt:variant>
      <vt:variant>
        <vt:lpwstr/>
      </vt:variant>
      <vt:variant>
        <vt:i4>2162734</vt:i4>
      </vt:variant>
      <vt:variant>
        <vt:i4>189</vt:i4>
      </vt:variant>
      <vt:variant>
        <vt:i4>0</vt:i4>
      </vt:variant>
      <vt:variant>
        <vt:i4>5</vt:i4>
      </vt:variant>
      <vt:variant>
        <vt:lpwstr>http://www.nevo.co.il/law/70301/40.ja.5</vt:lpwstr>
      </vt:variant>
      <vt:variant>
        <vt:lpwstr/>
      </vt:variant>
      <vt:variant>
        <vt:i4>3145765</vt:i4>
      </vt:variant>
      <vt:variant>
        <vt:i4>186</vt:i4>
      </vt:variant>
      <vt:variant>
        <vt:i4>0</vt:i4>
      </vt:variant>
      <vt:variant>
        <vt:i4>5</vt:i4>
      </vt:variant>
      <vt:variant>
        <vt:lpwstr>http://www.nevo.co.il/law/70301/40ja.4</vt:lpwstr>
      </vt:variant>
      <vt:variant>
        <vt:lpwstr/>
      </vt:variant>
      <vt:variant>
        <vt:i4>7995492</vt:i4>
      </vt:variant>
      <vt:variant>
        <vt:i4>183</vt:i4>
      </vt:variant>
      <vt:variant>
        <vt:i4>0</vt:i4>
      </vt:variant>
      <vt:variant>
        <vt:i4>5</vt:i4>
      </vt:variant>
      <vt:variant>
        <vt:lpwstr>http://www.nevo.co.il/law/70301</vt:lpwstr>
      </vt:variant>
      <vt:variant>
        <vt:lpwstr/>
      </vt:variant>
      <vt:variant>
        <vt:i4>262155</vt:i4>
      </vt:variant>
      <vt:variant>
        <vt:i4>180</vt:i4>
      </vt:variant>
      <vt:variant>
        <vt:i4>0</vt:i4>
      </vt:variant>
      <vt:variant>
        <vt:i4>5</vt:i4>
      </vt:variant>
      <vt:variant>
        <vt:lpwstr>http://www.nevo.co.il/law/70301/40ja</vt:lpwstr>
      </vt:variant>
      <vt:variant>
        <vt:lpwstr/>
      </vt:variant>
      <vt:variant>
        <vt:i4>7995492</vt:i4>
      </vt:variant>
      <vt:variant>
        <vt:i4>177</vt:i4>
      </vt:variant>
      <vt:variant>
        <vt:i4>0</vt:i4>
      </vt:variant>
      <vt:variant>
        <vt:i4>5</vt:i4>
      </vt:variant>
      <vt:variant>
        <vt:lpwstr>http://www.nevo.co.il/law/70301</vt:lpwstr>
      </vt:variant>
      <vt:variant>
        <vt:lpwstr/>
      </vt:variant>
      <vt:variant>
        <vt:i4>4915208</vt:i4>
      </vt:variant>
      <vt:variant>
        <vt:i4>174</vt:i4>
      </vt:variant>
      <vt:variant>
        <vt:i4>0</vt:i4>
      </vt:variant>
      <vt:variant>
        <vt:i4>5</vt:i4>
      </vt:variant>
      <vt:variant>
        <vt:lpwstr>http://www.nevo.co.il/law/70301/40i.a</vt:lpwstr>
      </vt:variant>
      <vt:variant>
        <vt:lpwstr/>
      </vt:variant>
      <vt:variant>
        <vt:i4>5177424</vt:i4>
      </vt:variant>
      <vt:variant>
        <vt:i4>171</vt:i4>
      </vt:variant>
      <vt:variant>
        <vt:i4>0</vt:i4>
      </vt:variant>
      <vt:variant>
        <vt:i4>5</vt:i4>
      </vt:variant>
      <vt:variant>
        <vt:lpwstr>http://www.nevo.co.il/law/70301/144.a</vt:lpwstr>
      </vt:variant>
      <vt:variant>
        <vt:lpwstr/>
      </vt:variant>
      <vt:variant>
        <vt:i4>5177424</vt:i4>
      </vt:variant>
      <vt:variant>
        <vt:i4>168</vt:i4>
      </vt:variant>
      <vt:variant>
        <vt:i4>0</vt:i4>
      </vt:variant>
      <vt:variant>
        <vt:i4>5</vt:i4>
      </vt:variant>
      <vt:variant>
        <vt:lpwstr>http://www.nevo.co.il/law/70301/144.a</vt:lpwstr>
      </vt:variant>
      <vt:variant>
        <vt:lpwstr/>
      </vt:variant>
      <vt:variant>
        <vt:i4>3407991</vt:i4>
      </vt:variant>
      <vt:variant>
        <vt:i4>165</vt:i4>
      </vt:variant>
      <vt:variant>
        <vt:i4>0</vt:i4>
      </vt:variant>
      <vt:variant>
        <vt:i4>5</vt:i4>
      </vt:variant>
      <vt:variant>
        <vt:lpwstr>http://www.nevo.co.il/case/30154626</vt:lpwstr>
      </vt:variant>
      <vt:variant>
        <vt:lpwstr/>
      </vt:variant>
      <vt:variant>
        <vt:i4>5177424</vt:i4>
      </vt:variant>
      <vt:variant>
        <vt:i4>162</vt:i4>
      </vt:variant>
      <vt:variant>
        <vt:i4>0</vt:i4>
      </vt:variant>
      <vt:variant>
        <vt:i4>5</vt:i4>
      </vt:variant>
      <vt:variant>
        <vt:lpwstr>http://www.nevo.co.il/law/70301/144.a</vt:lpwstr>
      </vt:variant>
      <vt:variant>
        <vt:lpwstr/>
      </vt:variant>
      <vt:variant>
        <vt:i4>7995492</vt:i4>
      </vt:variant>
      <vt:variant>
        <vt:i4>159</vt:i4>
      </vt:variant>
      <vt:variant>
        <vt:i4>0</vt:i4>
      </vt:variant>
      <vt:variant>
        <vt:i4>5</vt:i4>
      </vt:variant>
      <vt:variant>
        <vt:lpwstr>http://www.nevo.co.il/law/70301</vt:lpwstr>
      </vt:variant>
      <vt:variant>
        <vt:lpwstr/>
      </vt:variant>
      <vt:variant>
        <vt:i4>5177424</vt:i4>
      </vt:variant>
      <vt:variant>
        <vt:i4>156</vt:i4>
      </vt:variant>
      <vt:variant>
        <vt:i4>0</vt:i4>
      </vt:variant>
      <vt:variant>
        <vt:i4>5</vt:i4>
      </vt:variant>
      <vt:variant>
        <vt:lpwstr>http://www.nevo.co.il/law/70301/144.b</vt:lpwstr>
      </vt:variant>
      <vt:variant>
        <vt:lpwstr/>
      </vt:variant>
      <vt:variant>
        <vt:i4>5177424</vt:i4>
      </vt:variant>
      <vt:variant>
        <vt:i4>153</vt:i4>
      </vt:variant>
      <vt:variant>
        <vt:i4>0</vt:i4>
      </vt:variant>
      <vt:variant>
        <vt:i4>5</vt:i4>
      </vt:variant>
      <vt:variant>
        <vt:lpwstr>http://www.nevo.co.il/law/70301/144.a</vt:lpwstr>
      </vt:variant>
      <vt:variant>
        <vt:lpwstr/>
      </vt:variant>
      <vt:variant>
        <vt:i4>6750310</vt:i4>
      </vt:variant>
      <vt:variant>
        <vt:i4>150</vt:i4>
      </vt:variant>
      <vt:variant>
        <vt:i4>0</vt:i4>
      </vt:variant>
      <vt:variant>
        <vt:i4>5</vt:i4>
      </vt:variant>
      <vt:variant>
        <vt:lpwstr>http://www.nevo.co.il/law/70301/32</vt:lpwstr>
      </vt:variant>
      <vt:variant>
        <vt:lpwstr/>
      </vt:variant>
      <vt:variant>
        <vt:i4>5177424</vt:i4>
      </vt:variant>
      <vt:variant>
        <vt:i4>147</vt:i4>
      </vt:variant>
      <vt:variant>
        <vt:i4>0</vt:i4>
      </vt:variant>
      <vt:variant>
        <vt:i4>5</vt:i4>
      </vt:variant>
      <vt:variant>
        <vt:lpwstr>http://www.nevo.co.il/law/70301/144.b</vt:lpwstr>
      </vt:variant>
      <vt:variant>
        <vt:lpwstr/>
      </vt:variant>
      <vt:variant>
        <vt:i4>3932272</vt:i4>
      </vt:variant>
      <vt:variant>
        <vt:i4>144</vt:i4>
      </vt:variant>
      <vt:variant>
        <vt:i4>0</vt:i4>
      </vt:variant>
      <vt:variant>
        <vt:i4>5</vt:i4>
      </vt:variant>
      <vt:variant>
        <vt:lpwstr>http://www.nevo.co.il/case/29882544</vt:lpwstr>
      </vt:variant>
      <vt:variant>
        <vt:lpwstr/>
      </vt:variant>
      <vt:variant>
        <vt:i4>7077991</vt:i4>
      </vt:variant>
      <vt:variant>
        <vt:i4>141</vt:i4>
      </vt:variant>
      <vt:variant>
        <vt:i4>0</vt:i4>
      </vt:variant>
      <vt:variant>
        <vt:i4>5</vt:i4>
      </vt:variant>
      <vt:variant>
        <vt:lpwstr>http://www.nevo.co.il/law/70301/29</vt:lpwstr>
      </vt:variant>
      <vt:variant>
        <vt:lpwstr/>
      </vt:variant>
      <vt:variant>
        <vt:i4>5177424</vt:i4>
      </vt:variant>
      <vt:variant>
        <vt:i4>138</vt:i4>
      </vt:variant>
      <vt:variant>
        <vt:i4>0</vt:i4>
      </vt:variant>
      <vt:variant>
        <vt:i4>5</vt:i4>
      </vt:variant>
      <vt:variant>
        <vt:lpwstr>http://www.nevo.co.il/law/70301/144.a</vt:lpwstr>
      </vt:variant>
      <vt:variant>
        <vt:lpwstr/>
      </vt:variant>
      <vt:variant>
        <vt:i4>5177424</vt:i4>
      </vt:variant>
      <vt:variant>
        <vt:i4>135</vt:i4>
      </vt:variant>
      <vt:variant>
        <vt:i4>0</vt:i4>
      </vt:variant>
      <vt:variant>
        <vt:i4>5</vt:i4>
      </vt:variant>
      <vt:variant>
        <vt:lpwstr>http://www.nevo.co.il/law/70301/144.b</vt:lpwstr>
      </vt:variant>
      <vt:variant>
        <vt:lpwstr/>
      </vt:variant>
      <vt:variant>
        <vt:i4>5177424</vt:i4>
      </vt:variant>
      <vt:variant>
        <vt:i4>132</vt:i4>
      </vt:variant>
      <vt:variant>
        <vt:i4>0</vt:i4>
      </vt:variant>
      <vt:variant>
        <vt:i4>5</vt:i4>
      </vt:variant>
      <vt:variant>
        <vt:lpwstr>http://www.nevo.co.il/law/70301/144.a</vt:lpwstr>
      </vt:variant>
      <vt:variant>
        <vt:lpwstr/>
      </vt:variant>
      <vt:variant>
        <vt:i4>3276925</vt:i4>
      </vt:variant>
      <vt:variant>
        <vt:i4>129</vt:i4>
      </vt:variant>
      <vt:variant>
        <vt:i4>0</vt:i4>
      </vt:variant>
      <vt:variant>
        <vt:i4>5</vt:i4>
      </vt:variant>
      <vt:variant>
        <vt:lpwstr>http://www.nevo.co.il/case/28700170</vt:lpwstr>
      </vt:variant>
      <vt:variant>
        <vt:lpwstr/>
      </vt:variant>
      <vt:variant>
        <vt:i4>4063345</vt:i4>
      </vt:variant>
      <vt:variant>
        <vt:i4>126</vt:i4>
      </vt:variant>
      <vt:variant>
        <vt:i4>0</vt:i4>
      </vt:variant>
      <vt:variant>
        <vt:i4>5</vt:i4>
      </vt:variant>
      <vt:variant>
        <vt:lpwstr>http://www.nevo.co.il/case/30168342</vt:lpwstr>
      </vt:variant>
      <vt:variant>
        <vt:lpwstr/>
      </vt:variant>
      <vt:variant>
        <vt:i4>3211383</vt:i4>
      </vt:variant>
      <vt:variant>
        <vt:i4>123</vt:i4>
      </vt:variant>
      <vt:variant>
        <vt:i4>0</vt:i4>
      </vt:variant>
      <vt:variant>
        <vt:i4>5</vt:i4>
      </vt:variant>
      <vt:variant>
        <vt:lpwstr>http://www.nevo.co.il/case/28697227</vt:lpwstr>
      </vt:variant>
      <vt:variant>
        <vt:lpwstr/>
      </vt:variant>
      <vt:variant>
        <vt:i4>3211380</vt:i4>
      </vt:variant>
      <vt:variant>
        <vt:i4>120</vt:i4>
      </vt:variant>
      <vt:variant>
        <vt:i4>0</vt:i4>
      </vt:variant>
      <vt:variant>
        <vt:i4>5</vt:i4>
      </vt:variant>
      <vt:variant>
        <vt:lpwstr>http://www.nevo.co.il/case/28883087</vt:lpwstr>
      </vt:variant>
      <vt:variant>
        <vt:lpwstr/>
      </vt:variant>
      <vt:variant>
        <vt:i4>3407990</vt:i4>
      </vt:variant>
      <vt:variant>
        <vt:i4>117</vt:i4>
      </vt:variant>
      <vt:variant>
        <vt:i4>0</vt:i4>
      </vt:variant>
      <vt:variant>
        <vt:i4>5</vt:i4>
      </vt:variant>
      <vt:variant>
        <vt:lpwstr>http://www.nevo.co.il/case/21771409</vt:lpwstr>
      </vt:variant>
      <vt:variant>
        <vt:lpwstr/>
      </vt:variant>
      <vt:variant>
        <vt:i4>5177424</vt:i4>
      </vt:variant>
      <vt:variant>
        <vt:i4>114</vt:i4>
      </vt:variant>
      <vt:variant>
        <vt:i4>0</vt:i4>
      </vt:variant>
      <vt:variant>
        <vt:i4>5</vt:i4>
      </vt:variant>
      <vt:variant>
        <vt:lpwstr>http://www.nevo.co.il/law/70301/144.g</vt:lpwstr>
      </vt:variant>
      <vt:variant>
        <vt:lpwstr/>
      </vt:variant>
      <vt:variant>
        <vt:i4>3604599</vt:i4>
      </vt:variant>
      <vt:variant>
        <vt:i4>111</vt:i4>
      </vt:variant>
      <vt:variant>
        <vt:i4>0</vt:i4>
      </vt:variant>
      <vt:variant>
        <vt:i4>5</vt:i4>
      </vt:variant>
      <vt:variant>
        <vt:lpwstr>http://www.nevo.co.il/case/26934681</vt:lpwstr>
      </vt:variant>
      <vt:variant>
        <vt:lpwstr/>
      </vt:variant>
      <vt:variant>
        <vt:i4>7995492</vt:i4>
      </vt:variant>
      <vt:variant>
        <vt:i4>108</vt:i4>
      </vt:variant>
      <vt:variant>
        <vt:i4>0</vt:i4>
      </vt:variant>
      <vt:variant>
        <vt:i4>5</vt:i4>
      </vt:variant>
      <vt:variant>
        <vt:lpwstr>http://www.nevo.co.il/law/70301</vt:lpwstr>
      </vt:variant>
      <vt:variant>
        <vt:lpwstr/>
      </vt:variant>
      <vt:variant>
        <vt:i4>3932283</vt:i4>
      </vt:variant>
      <vt:variant>
        <vt:i4>105</vt:i4>
      </vt:variant>
      <vt:variant>
        <vt:i4>0</vt:i4>
      </vt:variant>
      <vt:variant>
        <vt:i4>5</vt:i4>
      </vt:variant>
      <vt:variant>
        <vt:lpwstr>http://www.nevo.co.il/case/26905927</vt:lpwstr>
      </vt:variant>
      <vt:variant>
        <vt:lpwstr/>
      </vt:variant>
      <vt:variant>
        <vt:i4>6619173</vt:i4>
      </vt:variant>
      <vt:variant>
        <vt:i4>102</vt:i4>
      </vt:variant>
      <vt:variant>
        <vt:i4>0</vt:i4>
      </vt:variant>
      <vt:variant>
        <vt:i4>5</vt:i4>
      </vt:variant>
      <vt:variant>
        <vt:lpwstr>http://www.nevo.co.il/law/70301/40jc.c</vt:lpwstr>
      </vt:variant>
      <vt:variant>
        <vt:lpwstr/>
      </vt:variant>
      <vt:variant>
        <vt:i4>7995492</vt:i4>
      </vt:variant>
      <vt:variant>
        <vt:i4>99</vt:i4>
      </vt:variant>
      <vt:variant>
        <vt:i4>0</vt:i4>
      </vt:variant>
      <vt:variant>
        <vt:i4>5</vt:i4>
      </vt:variant>
      <vt:variant>
        <vt:lpwstr>http://www.nevo.co.il/law/70301</vt:lpwstr>
      </vt:variant>
      <vt:variant>
        <vt:lpwstr/>
      </vt:variant>
      <vt:variant>
        <vt:i4>6750245</vt:i4>
      </vt:variant>
      <vt:variant>
        <vt:i4>96</vt:i4>
      </vt:variant>
      <vt:variant>
        <vt:i4>0</vt:i4>
      </vt:variant>
      <vt:variant>
        <vt:i4>5</vt:i4>
      </vt:variant>
      <vt:variant>
        <vt:lpwstr>http://www.nevo.co.il/law/70301/40jc.a</vt:lpwstr>
      </vt:variant>
      <vt:variant>
        <vt:lpwstr/>
      </vt:variant>
      <vt:variant>
        <vt:i4>3145855</vt:i4>
      </vt:variant>
      <vt:variant>
        <vt:i4>93</vt:i4>
      </vt:variant>
      <vt:variant>
        <vt:i4>0</vt:i4>
      </vt:variant>
      <vt:variant>
        <vt:i4>5</vt:i4>
      </vt:variant>
      <vt:variant>
        <vt:lpwstr>http://www.nevo.co.il/case/5576587</vt:lpwstr>
      </vt:variant>
      <vt:variant>
        <vt:lpwstr/>
      </vt:variant>
      <vt:variant>
        <vt:i4>3145849</vt:i4>
      </vt:variant>
      <vt:variant>
        <vt:i4>90</vt:i4>
      </vt:variant>
      <vt:variant>
        <vt:i4>0</vt:i4>
      </vt:variant>
      <vt:variant>
        <vt:i4>5</vt:i4>
      </vt:variant>
      <vt:variant>
        <vt:lpwstr>http://www.nevo.co.il/case/13093721</vt:lpwstr>
      </vt:variant>
      <vt:variant>
        <vt:lpwstr/>
      </vt:variant>
      <vt:variant>
        <vt:i4>4128893</vt:i4>
      </vt:variant>
      <vt:variant>
        <vt:i4>87</vt:i4>
      </vt:variant>
      <vt:variant>
        <vt:i4>0</vt:i4>
      </vt:variant>
      <vt:variant>
        <vt:i4>5</vt:i4>
      </vt:variant>
      <vt:variant>
        <vt:lpwstr>http://www.nevo.co.il/case/5887664</vt:lpwstr>
      </vt:variant>
      <vt:variant>
        <vt:lpwstr/>
      </vt:variant>
      <vt:variant>
        <vt:i4>3735675</vt:i4>
      </vt:variant>
      <vt:variant>
        <vt:i4>84</vt:i4>
      </vt:variant>
      <vt:variant>
        <vt:i4>0</vt:i4>
      </vt:variant>
      <vt:variant>
        <vt:i4>5</vt:i4>
      </vt:variant>
      <vt:variant>
        <vt:lpwstr>http://www.nevo.co.il/case/7791493</vt:lpwstr>
      </vt:variant>
      <vt:variant>
        <vt:lpwstr/>
      </vt:variant>
      <vt:variant>
        <vt:i4>6553637</vt:i4>
      </vt:variant>
      <vt:variant>
        <vt:i4>81</vt:i4>
      </vt:variant>
      <vt:variant>
        <vt:i4>0</vt:i4>
      </vt:variant>
      <vt:variant>
        <vt:i4>5</vt:i4>
      </vt:variant>
      <vt:variant>
        <vt:lpwstr>http://www.nevo.co.il/law/70301/40jc.b</vt:lpwstr>
      </vt:variant>
      <vt:variant>
        <vt:lpwstr/>
      </vt:variant>
      <vt:variant>
        <vt:i4>7077945</vt:i4>
      </vt:variant>
      <vt:variant>
        <vt:i4>78</vt:i4>
      </vt:variant>
      <vt:variant>
        <vt:i4>0</vt:i4>
      </vt:variant>
      <vt:variant>
        <vt:i4>5</vt:i4>
      </vt:variant>
      <vt:variant>
        <vt:lpwstr>http://www.nevo.co.il/law/70301/499.a.1</vt:lpwstr>
      </vt:variant>
      <vt:variant>
        <vt:lpwstr/>
      </vt:variant>
      <vt:variant>
        <vt:i4>6291559</vt:i4>
      </vt:variant>
      <vt:variant>
        <vt:i4>75</vt:i4>
      </vt:variant>
      <vt:variant>
        <vt:i4>0</vt:i4>
      </vt:variant>
      <vt:variant>
        <vt:i4>5</vt:i4>
      </vt:variant>
      <vt:variant>
        <vt:lpwstr>http://www.nevo.co.il/law/70301/25</vt:lpwstr>
      </vt:variant>
      <vt:variant>
        <vt:lpwstr/>
      </vt:variant>
      <vt:variant>
        <vt:i4>8192050</vt:i4>
      </vt:variant>
      <vt:variant>
        <vt:i4>72</vt:i4>
      </vt:variant>
      <vt:variant>
        <vt:i4>0</vt:i4>
      </vt:variant>
      <vt:variant>
        <vt:i4>5</vt:i4>
      </vt:variant>
      <vt:variant>
        <vt:lpwstr>http://www.nevo.co.il/law/70301/144.b2</vt:lpwstr>
      </vt:variant>
      <vt:variant>
        <vt:lpwstr/>
      </vt:variant>
      <vt:variant>
        <vt:i4>5177424</vt:i4>
      </vt:variant>
      <vt:variant>
        <vt:i4>69</vt:i4>
      </vt:variant>
      <vt:variant>
        <vt:i4>0</vt:i4>
      </vt:variant>
      <vt:variant>
        <vt:i4>5</vt:i4>
      </vt:variant>
      <vt:variant>
        <vt:lpwstr>http://www.nevo.co.il/law/70301/144.a</vt:lpwstr>
      </vt:variant>
      <vt:variant>
        <vt:lpwstr/>
      </vt:variant>
      <vt:variant>
        <vt:i4>5177424</vt:i4>
      </vt:variant>
      <vt:variant>
        <vt:i4>66</vt:i4>
      </vt:variant>
      <vt:variant>
        <vt:i4>0</vt:i4>
      </vt:variant>
      <vt:variant>
        <vt:i4>5</vt:i4>
      </vt:variant>
      <vt:variant>
        <vt:lpwstr>http://www.nevo.co.il/law/70301/144.b</vt:lpwstr>
      </vt:variant>
      <vt:variant>
        <vt:lpwstr/>
      </vt:variant>
      <vt:variant>
        <vt:i4>3145845</vt:i4>
      </vt:variant>
      <vt:variant>
        <vt:i4>63</vt:i4>
      </vt:variant>
      <vt:variant>
        <vt:i4>0</vt:i4>
      </vt:variant>
      <vt:variant>
        <vt:i4>5</vt:i4>
      </vt:variant>
      <vt:variant>
        <vt:lpwstr>http://www.nevo.co.il/case/18791079</vt:lpwstr>
      </vt:variant>
      <vt:variant>
        <vt:lpwstr/>
      </vt:variant>
      <vt:variant>
        <vt:i4>5177424</vt:i4>
      </vt:variant>
      <vt:variant>
        <vt:i4>60</vt:i4>
      </vt:variant>
      <vt:variant>
        <vt:i4>0</vt:i4>
      </vt:variant>
      <vt:variant>
        <vt:i4>5</vt:i4>
      </vt:variant>
      <vt:variant>
        <vt:lpwstr>http://www.nevo.co.il/law/70301/144.a</vt:lpwstr>
      </vt:variant>
      <vt:variant>
        <vt:lpwstr/>
      </vt:variant>
      <vt:variant>
        <vt:i4>5177424</vt:i4>
      </vt:variant>
      <vt:variant>
        <vt:i4>57</vt:i4>
      </vt:variant>
      <vt:variant>
        <vt:i4>0</vt:i4>
      </vt:variant>
      <vt:variant>
        <vt:i4>5</vt:i4>
      </vt:variant>
      <vt:variant>
        <vt:lpwstr>http://www.nevo.co.il/law/70301/144.b</vt:lpwstr>
      </vt:variant>
      <vt:variant>
        <vt:lpwstr/>
      </vt:variant>
      <vt:variant>
        <vt:i4>7995492</vt:i4>
      </vt:variant>
      <vt:variant>
        <vt:i4>54</vt:i4>
      </vt:variant>
      <vt:variant>
        <vt:i4>0</vt:i4>
      </vt:variant>
      <vt:variant>
        <vt:i4>5</vt:i4>
      </vt:variant>
      <vt:variant>
        <vt:lpwstr>http://www.nevo.co.il/law/70301</vt:lpwstr>
      </vt:variant>
      <vt:variant>
        <vt:lpwstr/>
      </vt:variant>
      <vt:variant>
        <vt:i4>7077945</vt:i4>
      </vt:variant>
      <vt:variant>
        <vt:i4>51</vt:i4>
      </vt:variant>
      <vt:variant>
        <vt:i4>0</vt:i4>
      </vt:variant>
      <vt:variant>
        <vt:i4>5</vt:i4>
      </vt:variant>
      <vt:variant>
        <vt:lpwstr>http://www.nevo.co.il/law/70301/499.a.1</vt:lpwstr>
      </vt:variant>
      <vt:variant>
        <vt:lpwstr/>
      </vt:variant>
      <vt:variant>
        <vt:i4>6619173</vt:i4>
      </vt:variant>
      <vt:variant>
        <vt:i4>48</vt:i4>
      </vt:variant>
      <vt:variant>
        <vt:i4>0</vt:i4>
      </vt:variant>
      <vt:variant>
        <vt:i4>5</vt:i4>
      </vt:variant>
      <vt:variant>
        <vt:lpwstr>http://www.nevo.co.il/law/70301/40jc.c</vt:lpwstr>
      </vt:variant>
      <vt:variant>
        <vt:lpwstr/>
      </vt:variant>
      <vt:variant>
        <vt:i4>6553637</vt:i4>
      </vt:variant>
      <vt:variant>
        <vt:i4>45</vt:i4>
      </vt:variant>
      <vt:variant>
        <vt:i4>0</vt:i4>
      </vt:variant>
      <vt:variant>
        <vt:i4>5</vt:i4>
      </vt:variant>
      <vt:variant>
        <vt:lpwstr>http://www.nevo.co.il/law/70301/40jc.b</vt:lpwstr>
      </vt:variant>
      <vt:variant>
        <vt:lpwstr/>
      </vt:variant>
      <vt:variant>
        <vt:i4>6750245</vt:i4>
      </vt:variant>
      <vt:variant>
        <vt:i4>42</vt:i4>
      </vt:variant>
      <vt:variant>
        <vt:i4>0</vt:i4>
      </vt:variant>
      <vt:variant>
        <vt:i4>5</vt:i4>
      </vt:variant>
      <vt:variant>
        <vt:lpwstr>http://www.nevo.co.il/law/70301/40jc.a</vt:lpwstr>
      </vt:variant>
      <vt:variant>
        <vt:lpwstr/>
      </vt:variant>
      <vt:variant>
        <vt:i4>3276837</vt:i4>
      </vt:variant>
      <vt:variant>
        <vt:i4>39</vt:i4>
      </vt:variant>
      <vt:variant>
        <vt:i4>0</vt:i4>
      </vt:variant>
      <vt:variant>
        <vt:i4>5</vt:i4>
      </vt:variant>
      <vt:variant>
        <vt:lpwstr>http://www.nevo.co.il/law/70301/40ja.6</vt:lpwstr>
      </vt:variant>
      <vt:variant>
        <vt:lpwstr/>
      </vt:variant>
      <vt:variant>
        <vt:i4>3145765</vt:i4>
      </vt:variant>
      <vt:variant>
        <vt:i4>36</vt:i4>
      </vt:variant>
      <vt:variant>
        <vt:i4>0</vt:i4>
      </vt:variant>
      <vt:variant>
        <vt:i4>5</vt:i4>
      </vt:variant>
      <vt:variant>
        <vt:lpwstr>http://www.nevo.co.il/law/70301/40ja.4</vt:lpwstr>
      </vt:variant>
      <vt:variant>
        <vt:lpwstr/>
      </vt:variant>
      <vt:variant>
        <vt:i4>262155</vt:i4>
      </vt:variant>
      <vt:variant>
        <vt:i4>33</vt:i4>
      </vt:variant>
      <vt:variant>
        <vt:i4>0</vt:i4>
      </vt:variant>
      <vt:variant>
        <vt:i4>5</vt:i4>
      </vt:variant>
      <vt:variant>
        <vt:lpwstr>http://www.nevo.co.il/law/70301/40ja</vt:lpwstr>
      </vt:variant>
      <vt:variant>
        <vt:lpwstr/>
      </vt:variant>
      <vt:variant>
        <vt:i4>5177424</vt:i4>
      </vt:variant>
      <vt:variant>
        <vt:i4>30</vt:i4>
      </vt:variant>
      <vt:variant>
        <vt:i4>0</vt:i4>
      </vt:variant>
      <vt:variant>
        <vt:i4>5</vt:i4>
      </vt:variant>
      <vt:variant>
        <vt:lpwstr>http://www.nevo.co.il/law/70301/144.g</vt:lpwstr>
      </vt:variant>
      <vt:variant>
        <vt:lpwstr/>
      </vt:variant>
      <vt:variant>
        <vt:i4>8192050</vt:i4>
      </vt:variant>
      <vt:variant>
        <vt:i4>27</vt:i4>
      </vt:variant>
      <vt:variant>
        <vt:i4>0</vt:i4>
      </vt:variant>
      <vt:variant>
        <vt:i4>5</vt:i4>
      </vt:variant>
      <vt:variant>
        <vt:lpwstr>http://www.nevo.co.il/law/70301/144.b2</vt:lpwstr>
      </vt:variant>
      <vt:variant>
        <vt:lpwstr/>
      </vt:variant>
      <vt:variant>
        <vt:i4>5177424</vt:i4>
      </vt:variant>
      <vt:variant>
        <vt:i4>24</vt:i4>
      </vt:variant>
      <vt:variant>
        <vt:i4>0</vt:i4>
      </vt:variant>
      <vt:variant>
        <vt:i4>5</vt:i4>
      </vt:variant>
      <vt:variant>
        <vt:lpwstr>http://www.nevo.co.il/law/70301/144.b</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4915208</vt:i4>
      </vt:variant>
      <vt:variant>
        <vt:i4>18</vt:i4>
      </vt:variant>
      <vt:variant>
        <vt:i4>0</vt:i4>
      </vt:variant>
      <vt:variant>
        <vt:i4>5</vt:i4>
      </vt:variant>
      <vt:variant>
        <vt:lpwstr>http://www.nevo.co.il/law/70301/40i.a</vt:lpwstr>
      </vt:variant>
      <vt:variant>
        <vt:lpwstr/>
      </vt:variant>
      <vt:variant>
        <vt:i4>6619233</vt:i4>
      </vt:variant>
      <vt:variant>
        <vt:i4>15</vt:i4>
      </vt:variant>
      <vt:variant>
        <vt:i4>0</vt:i4>
      </vt:variant>
      <vt:variant>
        <vt:i4>5</vt:i4>
      </vt:variant>
      <vt:variant>
        <vt:lpwstr>http://www.nevo.co.il/law/70301/40g</vt:lpwstr>
      </vt:variant>
      <vt:variant>
        <vt:lpwstr/>
      </vt:variant>
      <vt:variant>
        <vt:i4>2162734</vt:i4>
      </vt:variant>
      <vt:variant>
        <vt:i4>12</vt:i4>
      </vt:variant>
      <vt:variant>
        <vt:i4>0</vt:i4>
      </vt:variant>
      <vt:variant>
        <vt:i4>5</vt:i4>
      </vt:variant>
      <vt:variant>
        <vt:lpwstr>http://www.nevo.co.il/law/70301/40.ja.5</vt:lpwstr>
      </vt:variant>
      <vt:variant>
        <vt:lpwstr/>
      </vt:variant>
      <vt:variant>
        <vt:i4>6750310</vt:i4>
      </vt:variant>
      <vt:variant>
        <vt:i4>9</vt:i4>
      </vt:variant>
      <vt:variant>
        <vt:i4>0</vt:i4>
      </vt:variant>
      <vt:variant>
        <vt:i4>5</vt:i4>
      </vt:variant>
      <vt:variant>
        <vt:lpwstr>http://www.nevo.co.il/law/70301/32</vt:lpwstr>
      </vt:variant>
      <vt:variant>
        <vt:lpwstr/>
      </vt:variant>
      <vt:variant>
        <vt:i4>7077991</vt:i4>
      </vt:variant>
      <vt:variant>
        <vt:i4>6</vt:i4>
      </vt:variant>
      <vt:variant>
        <vt:i4>0</vt:i4>
      </vt:variant>
      <vt:variant>
        <vt:i4>5</vt:i4>
      </vt:variant>
      <vt:variant>
        <vt:lpwstr>http://www.nevo.co.il/law/70301/29</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2025-04-25T11:03:00Z</dcterms:created>
  <dcterms:modified xsi:type="dcterms:W3CDTF">2025-04-25T11:03:00Z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23416</vt:lpwstr>
  </property>
  <property fmtid="{D5CDD505-2E9C-101B-9397-08002B2CF9AE}" pid="6" name="NEWPARTB">
    <vt:lpwstr>08</vt:lpwstr>
  </property>
  <property fmtid="{D5CDD505-2E9C-101B-9397-08002B2CF9AE}" pid="7" name="NEWPARTC">
    <vt:lpwstr>24</vt:lpwstr>
  </property>
  <property fmtid="{D5CDD505-2E9C-101B-9397-08002B2CF9AE}" pid="8" name="APPELLANT">
    <vt:lpwstr>מדינת ישראל</vt:lpwstr>
  </property>
  <property fmtid="{D5CDD505-2E9C-101B-9397-08002B2CF9AE}" pid="9" name="APPELLEE">
    <vt:lpwstr>מועתז גנאים</vt:lpwstr>
  </property>
  <property fmtid="{D5CDD505-2E9C-101B-9397-08002B2CF9AE}" pid="10" name="JUDGE">
    <vt:lpwstr>אבי לוי</vt:lpwstr>
  </property>
  <property fmtid="{D5CDD505-2E9C-101B-9397-08002B2CF9AE}" pid="11" name="CITY">
    <vt:lpwstr>חי'</vt:lpwstr>
  </property>
  <property fmtid="{D5CDD505-2E9C-101B-9397-08002B2CF9AE}" pid="12" name="DATE">
    <vt:lpwstr>20250313</vt:lpwstr>
  </property>
  <property fmtid="{D5CDD505-2E9C-101B-9397-08002B2CF9AE}" pid="13" name="TYPE_N_DATE">
    <vt:lpwstr>39020250313</vt:lpwstr>
  </property>
  <property fmtid="{D5CDD505-2E9C-101B-9397-08002B2CF9AE}" pid="14" name="CASESLISTTMP1">
    <vt:lpwstr>18791079;7791493;5887664;13093721;5576587;26905927;26934681;21771409;28883087;28697227;30168342;28700170;29882544;30154626;25836997;21946424;27272576</vt:lpwstr>
  </property>
  <property fmtid="{D5CDD505-2E9C-101B-9397-08002B2CF9AE}" pid="15" name="WORDNUMPAGES">
    <vt:lpwstr>8</vt:lpwstr>
  </property>
  <property fmtid="{D5CDD505-2E9C-101B-9397-08002B2CF9AE}" pid="16" name="TYPE_ABS_DATE">
    <vt:lpwstr>390020250313</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70301/144.b:5;144.a:8;144.b2;025;499.a.1;40jc.b;40jc.a;40jc.c;144.g;029;032;040i.a;40ja:2;40ja.4;040.ja.5;40ja.6;040g</vt:lpwstr>
  </property>
  <property fmtid="{D5CDD505-2E9C-101B-9397-08002B2CF9AE}" pid="36" name="ISABSTRACT">
    <vt:lpwstr>Y</vt:lpwstr>
  </property>
</Properties>
</file>