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030D7F" w:rsidRPr="00A344FA" w14:paraId="65B4F814" w14:textId="77777777" w:rsidTr="009D0DEF">
        <w:trPr>
          <w:trHeight w:hRule="exact" w:val="418"/>
          <w:jc w:val="center"/>
        </w:trPr>
        <w:tc>
          <w:tcPr>
            <w:tcW w:w="8721" w:type="dxa"/>
            <w:gridSpan w:val="2"/>
          </w:tcPr>
          <w:p w14:paraId="46A93DCF" w14:textId="77777777" w:rsidR="00030D7F" w:rsidRPr="00A344FA" w:rsidRDefault="00030D7F" w:rsidP="00435C7C">
            <w:pPr>
              <w:pStyle w:val="a3"/>
              <w:jc w:val="center"/>
              <w:rPr>
                <w:rFonts w:ascii="Tahoma" w:hAnsi="Tahoma" w:cs="Tahoma"/>
                <w:color w:val="000080"/>
                <w:rtl/>
              </w:rPr>
            </w:pPr>
            <w:r w:rsidRPr="00A344FA">
              <w:rPr>
                <w:rFonts w:ascii="Tahoma" w:hAnsi="Tahoma" w:cs="Tahoma"/>
                <w:b/>
                <w:bCs/>
                <w:color w:val="000080"/>
                <w:rtl/>
              </w:rPr>
              <w:t>בית המשפט המחוזי בחיפה</w:t>
            </w:r>
          </w:p>
        </w:tc>
      </w:tr>
      <w:tr w:rsidR="00030D7F" w:rsidRPr="00A344FA" w14:paraId="71C8B343" w14:textId="77777777" w:rsidTr="009D0DEF">
        <w:trPr>
          <w:trHeight w:val="337"/>
          <w:jc w:val="center"/>
        </w:trPr>
        <w:tc>
          <w:tcPr>
            <w:tcW w:w="5059" w:type="dxa"/>
          </w:tcPr>
          <w:p w14:paraId="6A9DF4D9" w14:textId="77777777" w:rsidR="00030D7F" w:rsidRPr="00A344FA" w:rsidRDefault="00030D7F" w:rsidP="00435C7C">
            <w:pPr>
              <w:rPr>
                <w:rFonts w:cs="FrankRuehl"/>
                <w:sz w:val="28"/>
                <w:szCs w:val="28"/>
                <w:rtl/>
              </w:rPr>
            </w:pPr>
            <w:r w:rsidRPr="00A344FA">
              <w:rPr>
                <w:b/>
                <w:bCs/>
                <w:sz w:val="26"/>
                <w:szCs w:val="26"/>
                <w:rtl/>
              </w:rPr>
              <w:t>ת"פ</w:t>
            </w:r>
            <w:r w:rsidRPr="00A344FA">
              <w:rPr>
                <w:rFonts w:cs="FrankRuehl" w:hint="cs"/>
                <w:sz w:val="28"/>
                <w:szCs w:val="28"/>
                <w:rtl/>
              </w:rPr>
              <w:t xml:space="preserve"> </w:t>
            </w:r>
            <w:r w:rsidRPr="00A344FA">
              <w:rPr>
                <w:b/>
                <w:bCs/>
                <w:sz w:val="26"/>
                <w:szCs w:val="26"/>
                <w:rtl/>
              </w:rPr>
              <w:t>30744-08-24</w:t>
            </w:r>
            <w:r w:rsidRPr="00A344FA">
              <w:rPr>
                <w:rFonts w:cs="FrankRuehl" w:hint="cs"/>
                <w:sz w:val="28"/>
                <w:szCs w:val="28"/>
                <w:rtl/>
              </w:rPr>
              <w:t xml:space="preserve"> </w:t>
            </w:r>
            <w:r w:rsidRPr="00A344FA">
              <w:rPr>
                <w:b/>
                <w:bCs/>
                <w:sz w:val="26"/>
                <w:szCs w:val="26"/>
                <w:rtl/>
              </w:rPr>
              <w:t>מדינת ישראל נ' מג'דוב(עציר)</w:t>
            </w:r>
          </w:p>
          <w:p w14:paraId="48C72404" w14:textId="77777777" w:rsidR="00030D7F" w:rsidRPr="00A344FA" w:rsidRDefault="00030D7F" w:rsidP="00435C7C">
            <w:pPr>
              <w:pStyle w:val="a3"/>
              <w:rPr>
                <w:rFonts w:cs="FrankRuehl"/>
                <w:sz w:val="28"/>
                <w:szCs w:val="28"/>
                <w:rtl/>
              </w:rPr>
            </w:pPr>
          </w:p>
        </w:tc>
        <w:tc>
          <w:tcPr>
            <w:tcW w:w="3662" w:type="dxa"/>
          </w:tcPr>
          <w:p w14:paraId="1ABD789C" w14:textId="77777777" w:rsidR="00030D7F" w:rsidRPr="00A344FA" w:rsidRDefault="00030D7F" w:rsidP="00435C7C">
            <w:pPr>
              <w:pStyle w:val="a3"/>
              <w:jc w:val="right"/>
              <w:rPr>
                <w:rFonts w:cs="FrankRuehl"/>
                <w:sz w:val="28"/>
                <w:szCs w:val="28"/>
                <w:rtl/>
              </w:rPr>
            </w:pPr>
          </w:p>
        </w:tc>
      </w:tr>
    </w:tbl>
    <w:p w14:paraId="3B921331" w14:textId="77777777" w:rsidR="00030D7F" w:rsidRPr="00A344FA" w:rsidRDefault="00030D7F" w:rsidP="00030D7F">
      <w:pPr>
        <w:pStyle w:val="a3"/>
        <w:rPr>
          <w:rtl/>
        </w:rPr>
      </w:pPr>
      <w:r w:rsidRPr="00A344FA">
        <w:rPr>
          <w:rFonts w:hint="cs"/>
          <w:rtl/>
        </w:rPr>
        <w:t xml:space="preserve"> </w:t>
      </w:r>
    </w:p>
    <w:p w14:paraId="6DF71065" w14:textId="77777777" w:rsidR="00030D7F" w:rsidRPr="00A344FA" w:rsidRDefault="00030D7F" w:rsidP="00030D7F">
      <w:pPr>
        <w:rPr>
          <w:rtl/>
        </w:rPr>
      </w:pPr>
    </w:p>
    <w:p w14:paraId="3A3CEB7A" w14:textId="77777777" w:rsidR="00030D7F" w:rsidRPr="00A344FA" w:rsidRDefault="00030D7F" w:rsidP="00030D7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30D7F" w:rsidRPr="00A344FA" w14:paraId="3F5CDE00" w14:textId="77777777" w:rsidTr="00030D7F">
        <w:trPr>
          <w:trHeight w:val="295"/>
          <w:jc w:val="center"/>
        </w:trPr>
        <w:tc>
          <w:tcPr>
            <w:tcW w:w="923" w:type="dxa"/>
            <w:tcBorders>
              <w:top w:val="nil"/>
              <w:left w:val="nil"/>
              <w:bottom w:val="nil"/>
              <w:right w:val="nil"/>
            </w:tcBorders>
            <w:shd w:val="clear" w:color="auto" w:fill="auto"/>
          </w:tcPr>
          <w:p w14:paraId="4E2279AA" w14:textId="77777777" w:rsidR="00030D7F" w:rsidRPr="00A344FA" w:rsidRDefault="00030D7F" w:rsidP="00030D7F">
            <w:pPr>
              <w:jc w:val="both"/>
              <w:rPr>
                <w:rFonts w:ascii="David" w:hAnsi="David"/>
                <w:b/>
                <w:bCs/>
                <w:sz w:val="26"/>
                <w:szCs w:val="26"/>
              </w:rPr>
            </w:pPr>
            <w:r w:rsidRPr="00A344FA">
              <w:rPr>
                <w:rFonts w:ascii="David" w:hAnsi="David"/>
                <w:b/>
                <w:bCs/>
                <w:sz w:val="26"/>
                <w:szCs w:val="26"/>
                <w:rtl/>
              </w:rPr>
              <w:t>לפני</w:t>
            </w:r>
          </w:p>
        </w:tc>
        <w:tc>
          <w:tcPr>
            <w:tcW w:w="7897" w:type="dxa"/>
            <w:gridSpan w:val="2"/>
            <w:tcBorders>
              <w:top w:val="nil"/>
              <w:left w:val="nil"/>
              <w:bottom w:val="nil"/>
              <w:right w:val="nil"/>
            </w:tcBorders>
            <w:shd w:val="clear" w:color="auto" w:fill="auto"/>
          </w:tcPr>
          <w:p w14:paraId="1BA26080" w14:textId="77777777" w:rsidR="00030D7F" w:rsidRPr="00A344FA" w:rsidRDefault="00030D7F" w:rsidP="00030D7F">
            <w:pPr>
              <w:jc w:val="both"/>
              <w:rPr>
                <w:rFonts w:ascii="David" w:hAnsi="David"/>
                <w:b/>
                <w:bCs/>
                <w:sz w:val="26"/>
                <w:szCs w:val="26"/>
              </w:rPr>
            </w:pPr>
            <w:r w:rsidRPr="00A344FA">
              <w:rPr>
                <w:rFonts w:ascii="David" w:hAnsi="David"/>
                <w:b/>
                <w:bCs/>
                <w:sz w:val="26"/>
                <w:szCs w:val="26"/>
                <w:rtl/>
              </w:rPr>
              <w:t>כב' הנשיא, השופט אבי לוי</w:t>
            </w:r>
          </w:p>
        </w:tc>
      </w:tr>
      <w:tr w:rsidR="00030D7F" w:rsidRPr="00A344FA" w14:paraId="0854E5CF" w14:textId="77777777" w:rsidTr="00030D7F">
        <w:trPr>
          <w:trHeight w:val="355"/>
          <w:jc w:val="center"/>
        </w:trPr>
        <w:tc>
          <w:tcPr>
            <w:tcW w:w="923" w:type="dxa"/>
            <w:tcBorders>
              <w:top w:val="nil"/>
              <w:left w:val="nil"/>
              <w:bottom w:val="nil"/>
              <w:right w:val="nil"/>
            </w:tcBorders>
            <w:shd w:val="clear" w:color="auto" w:fill="auto"/>
          </w:tcPr>
          <w:p w14:paraId="68BD751F" w14:textId="77777777" w:rsidR="00030D7F" w:rsidRPr="00A344FA" w:rsidRDefault="00030D7F" w:rsidP="00030D7F">
            <w:pPr>
              <w:jc w:val="both"/>
              <w:rPr>
                <w:rFonts w:ascii="David" w:hAnsi="David"/>
                <w:b/>
                <w:bCs/>
                <w:sz w:val="26"/>
                <w:szCs w:val="26"/>
              </w:rPr>
            </w:pPr>
            <w:bookmarkStart w:id="0" w:name="FirstAppellant"/>
            <w:bookmarkStart w:id="1" w:name="LastJudge"/>
            <w:bookmarkEnd w:id="1"/>
            <w:r w:rsidRPr="00A344FA">
              <w:rPr>
                <w:rFonts w:ascii="David" w:hAnsi="David" w:hint="cs"/>
                <w:b/>
                <w:bCs/>
                <w:sz w:val="26"/>
                <w:szCs w:val="26"/>
                <w:rtl/>
              </w:rPr>
              <w:t>בעניין:</w:t>
            </w:r>
          </w:p>
        </w:tc>
        <w:tc>
          <w:tcPr>
            <w:tcW w:w="4126" w:type="dxa"/>
            <w:tcBorders>
              <w:top w:val="nil"/>
              <w:left w:val="nil"/>
              <w:bottom w:val="nil"/>
              <w:right w:val="nil"/>
            </w:tcBorders>
            <w:shd w:val="clear" w:color="auto" w:fill="auto"/>
          </w:tcPr>
          <w:p w14:paraId="47431F45" w14:textId="77777777" w:rsidR="00030D7F" w:rsidRPr="00A344FA" w:rsidRDefault="00030D7F" w:rsidP="00435C7C">
            <w:pPr>
              <w:rPr>
                <w:rFonts w:ascii="David" w:hAnsi="David"/>
                <w:b/>
                <w:bCs/>
                <w:sz w:val="26"/>
                <w:szCs w:val="26"/>
              </w:rPr>
            </w:pPr>
            <w:r w:rsidRPr="00A344FA">
              <w:rPr>
                <w:rFonts w:ascii="David" w:hAnsi="David" w:hint="cs"/>
                <w:b/>
                <w:bCs/>
                <w:sz w:val="26"/>
                <w:szCs w:val="26"/>
                <w:rtl/>
              </w:rPr>
              <w:t xml:space="preserve">המאשימה </w:t>
            </w:r>
          </w:p>
        </w:tc>
        <w:tc>
          <w:tcPr>
            <w:tcW w:w="3771" w:type="dxa"/>
            <w:tcBorders>
              <w:top w:val="nil"/>
              <w:left w:val="nil"/>
              <w:bottom w:val="nil"/>
              <w:right w:val="nil"/>
            </w:tcBorders>
            <w:shd w:val="clear" w:color="auto" w:fill="auto"/>
          </w:tcPr>
          <w:p w14:paraId="75138151" w14:textId="77777777" w:rsidR="00030D7F" w:rsidRPr="00A344FA" w:rsidRDefault="00030D7F" w:rsidP="00030D7F">
            <w:pPr>
              <w:jc w:val="both"/>
              <w:rPr>
                <w:rFonts w:ascii="David" w:hAnsi="David"/>
                <w:b/>
                <w:bCs/>
                <w:sz w:val="26"/>
                <w:szCs w:val="26"/>
              </w:rPr>
            </w:pPr>
            <w:r w:rsidRPr="00A344FA">
              <w:rPr>
                <w:rFonts w:ascii="David" w:hAnsi="David" w:hint="cs"/>
                <w:b/>
                <w:bCs/>
                <w:sz w:val="26"/>
                <w:szCs w:val="26"/>
                <w:rtl/>
              </w:rPr>
              <w:t xml:space="preserve">מדינת ישראל </w:t>
            </w:r>
          </w:p>
        </w:tc>
      </w:tr>
      <w:bookmarkEnd w:id="0"/>
      <w:tr w:rsidR="00030D7F" w:rsidRPr="00A344FA" w14:paraId="16910CEC" w14:textId="77777777" w:rsidTr="00030D7F">
        <w:trPr>
          <w:trHeight w:val="355"/>
          <w:jc w:val="center"/>
        </w:trPr>
        <w:tc>
          <w:tcPr>
            <w:tcW w:w="923" w:type="dxa"/>
            <w:tcBorders>
              <w:top w:val="nil"/>
              <w:left w:val="nil"/>
              <w:bottom w:val="nil"/>
              <w:right w:val="nil"/>
            </w:tcBorders>
            <w:shd w:val="clear" w:color="auto" w:fill="auto"/>
          </w:tcPr>
          <w:p w14:paraId="3C00E089" w14:textId="77777777" w:rsidR="00030D7F" w:rsidRPr="00A344FA" w:rsidRDefault="00030D7F" w:rsidP="00030D7F">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8B2B34D" w14:textId="77777777" w:rsidR="00030D7F" w:rsidRPr="00A344FA" w:rsidRDefault="00030D7F" w:rsidP="00030D7F">
            <w:pPr>
              <w:jc w:val="center"/>
              <w:rPr>
                <w:rFonts w:ascii="David" w:hAnsi="David"/>
                <w:b/>
                <w:bCs/>
                <w:sz w:val="26"/>
                <w:szCs w:val="26"/>
                <w:rtl/>
              </w:rPr>
            </w:pPr>
          </w:p>
          <w:p w14:paraId="4A95480B" w14:textId="77777777" w:rsidR="00030D7F" w:rsidRPr="00A344FA" w:rsidRDefault="00030D7F" w:rsidP="00030D7F">
            <w:pPr>
              <w:jc w:val="center"/>
              <w:rPr>
                <w:rFonts w:ascii="David" w:hAnsi="David"/>
                <w:b/>
                <w:bCs/>
                <w:sz w:val="26"/>
                <w:szCs w:val="26"/>
                <w:rtl/>
              </w:rPr>
            </w:pPr>
            <w:r w:rsidRPr="00A344FA">
              <w:rPr>
                <w:rFonts w:ascii="David" w:hAnsi="David"/>
                <w:b/>
                <w:bCs/>
                <w:sz w:val="26"/>
                <w:szCs w:val="26"/>
                <w:rtl/>
              </w:rPr>
              <w:t>נגד</w:t>
            </w:r>
          </w:p>
          <w:p w14:paraId="5BF9BB3D" w14:textId="77777777" w:rsidR="00030D7F" w:rsidRPr="00A344FA" w:rsidRDefault="00030D7F" w:rsidP="00030D7F">
            <w:pPr>
              <w:jc w:val="both"/>
              <w:rPr>
                <w:rFonts w:ascii="David" w:hAnsi="David"/>
                <w:b/>
                <w:bCs/>
                <w:sz w:val="26"/>
                <w:szCs w:val="26"/>
              </w:rPr>
            </w:pPr>
          </w:p>
        </w:tc>
      </w:tr>
      <w:tr w:rsidR="00030D7F" w:rsidRPr="00A344FA" w14:paraId="03A72EE5" w14:textId="77777777" w:rsidTr="00030D7F">
        <w:trPr>
          <w:trHeight w:val="355"/>
          <w:jc w:val="center"/>
        </w:trPr>
        <w:tc>
          <w:tcPr>
            <w:tcW w:w="923" w:type="dxa"/>
            <w:tcBorders>
              <w:top w:val="nil"/>
              <w:left w:val="nil"/>
              <w:bottom w:val="nil"/>
              <w:right w:val="nil"/>
            </w:tcBorders>
            <w:shd w:val="clear" w:color="auto" w:fill="auto"/>
          </w:tcPr>
          <w:p w14:paraId="55A97394" w14:textId="77777777" w:rsidR="00030D7F" w:rsidRPr="00A344FA" w:rsidRDefault="00030D7F" w:rsidP="00030D7F">
            <w:pPr>
              <w:jc w:val="both"/>
              <w:rPr>
                <w:rFonts w:ascii="David" w:hAnsi="David"/>
                <w:b/>
                <w:bCs/>
                <w:sz w:val="26"/>
                <w:szCs w:val="26"/>
                <w:rtl/>
              </w:rPr>
            </w:pPr>
          </w:p>
        </w:tc>
        <w:tc>
          <w:tcPr>
            <w:tcW w:w="4126" w:type="dxa"/>
            <w:tcBorders>
              <w:top w:val="nil"/>
              <w:left w:val="nil"/>
              <w:bottom w:val="nil"/>
              <w:right w:val="nil"/>
            </w:tcBorders>
            <w:shd w:val="clear" w:color="auto" w:fill="auto"/>
          </w:tcPr>
          <w:p w14:paraId="60C3D74B" w14:textId="77777777" w:rsidR="00030D7F" w:rsidRPr="00A344FA" w:rsidRDefault="00030D7F" w:rsidP="00030D7F">
            <w:pPr>
              <w:jc w:val="both"/>
              <w:rPr>
                <w:rFonts w:ascii="David" w:hAnsi="David"/>
                <w:b/>
                <w:bCs/>
                <w:sz w:val="26"/>
                <w:szCs w:val="26"/>
                <w:rtl/>
              </w:rPr>
            </w:pPr>
            <w:r w:rsidRPr="00A344FA">
              <w:rPr>
                <w:rFonts w:ascii="David" w:hAnsi="David" w:hint="cs"/>
                <w:b/>
                <w:bCs/>
                <w:sz w:val="26"/>
                <w:szCs w:val="26"/>
                <w:rtl/>
              </w:rPr>
              <w:t xml:space="preserve">הנאשם </w:t>
            </w:r>
          </w:p>
        </w:tc>
        <w:tc>
          <w:tcPr>
            <w:tcW w:w="3771" w:type="dxa"/>
            <w:tcBorders>
              <w:top w:val="nil"/>
              <w:left w:val="nil"/>
              <w:bottom w:val="nil"/>
              <w:right w:val="nil"/>
            </w:tcBorders>
            <w:shd w:val="clear" w:color="auto" w:fill="auto"/>
          </w:tcPr>
          <w:p w14:paraId="542752FA" w14:textId="77777777" w:rsidR="00030D7F" w:rsidRPr="00A344FA" w:rsidRDefault="00030D7F" w:rsidP="00030D7F">
            <w:pPr>
              <w:jc w:val="both"/>
              <w:rPr>
                <w:rFonts w:ascii="David" w:hAnsi="David"/>
                <w:b/>
                <w:bCs/>
                <w:sz w:val="26"/>
                <w:szCs w:val="26"/>
              </w:rPr>
            </w:pPr>
            <w:r w:rsidRPr="00A344FA">
              <w:rPr>
                <w:rFonts w:ascii="David" w:hAnsi="David"/>
                <w:b/>
                <w:bCs/>
                <w:sz w:val="26"/>
                <w:szCs w:val="26"/>
                <w:rtl/>
              </w:rPr>
              <w:t>עמאר מג'דוב (עציר)</w:t>
            </w:r>
          </w:p>
        </w:tc>
      </w:tr>
    </w:tbl>
    <w:p w14:paraId="3FBEB426" w14:textId="77777777" w:rsidR="009D0DEF" w:rsidRPr="009D0DEF" w:rsidRDefault="009D0DEF" w:rsidP="009D0DEF">
      <w:pPr>
        <w:spacing w:before="120" w:after="120" w:line="240" w:lineRule="exact"/>
        <w:ind w:left="283" w:hanging="283"/>
        <w:jc w:val="both"/>
        <w:rPr>
          <w:rFonts w:ascii="FrankRuehl" w:hAnsi="FrankRuehl" w:cs="FrankRuehl"/>
          <w:rtl/>
        </w:rPr>
      </w:pPr>
      <w:bookmarkStart w:id="2" w:name="LawTable"/>
      <w:bookmarkEnd w:id="2"/>
      <w:r w:rsidRPr="009D0DEF">
        <w:rPr>
          <w:rFonts w:ascii="FrankRuehl" w:hAnsi="FrankRuehl" w:cs="FrankRuehl"/>
          <w:rtl/>
        </w:rPr>
        <w:t xml:space="preserve">חקיקה שאוזכרה: </w:t>
      </w:r>
    </w:p>
    <w:p w14:paraId="1211EF0C" w14:textId="77777777" w:rsidR="009D0DEF" w:rsidRPr="009D0DEF" w:rsidRDefault="009D0DEF" w:rsidP="009D0DEF">
      <w:pPr>
        <w:spacing w:before="120" w:after="120" w:line="240" w:lineRule="exact"/>
        <w:ind w:left="283" w:hanging="283"/>
        <w:jc w:val="both"/>
        <w:rPr>
          <w:rFonts w:ascii="FrankRuehl" w:hAnsi="FrankRuehl" w:cs="FrankRuehl"/>
          <w:color w:val="0000FF"/>
          <w:rtl/>
        </w:rPr>
      </w:pPr>
      <w:hyperlink r:id="rId7" w:history="1">
        <w:r w:rsidRPr="009D0DEF">
          <w:rPr>
            <w:rStyle w:val="Hyperlink"/>
            <w:rFonts w:ascii="FrankRuehl" w:hAnsi="FrankRuehl" w:cs="FrankRuehl"/>
            <w:u w:val="none"/>
            <w:rtl/>
          </w:rPr>
          <w:t>חוק העונשין, תשל"ז-1977</w:t>
        </w:r>
      </w:hyperlink>
      <w:r w:rsidRPr="009D0DEF">
        <w:rPr>
          <w:rFonts w:ascii="FrankRuehl" w:hAnsi="FrankRuehl" w:cs="FrankRuehl"/>
          <w:color w:val="0000FF"/>
          <w:rtl/>
        </w:rPr>
        <w:t xml:space="preserve">: סע'  </w:t>
      </w:r>
      <w:hyperlink r:id="rId8" w:history="1">
        <w:r w:rsidRPr="009D0DEF">
          <w:rPr>
            <w:rStyle w:val="Hyperlink"/>
            <w:rFonts w:ascii="FrankRuehl" w:hAnsi="FrankRuehl" w:cs="FrankRuehl"/>
            <w:u w:val="none"/>
          </w:rPr>
          <w:t>31</w:t>
        </w:r>
      </w:hyperlink>
      <w:r w:rsidRPr="009D0DEF">
        <w:rPr>
          <w:rFonts w:ascii="FrankRuehl" w:hAnsi="FrankRuehl" w:cs="FrankRuehl"/>
          <w:color w:val="0000FF"/>
          <w:rtl/>
        </w:rPr>
        <w:t xml:space="preserve">, </w:t>
      </w:r>
      <w:hyperlink r:id="rId9" w:history="1">
        <w:r w:rsidRPr="009D0DEF">
          <w:rPr>
            <w:rStyle w:val="Hyperlink"/>
            <w:rFonts w:ascii="FrankRuehl" w:hAnsi="FrankRuehl" w:cs="FrankRuehl"/>
            <w:u w:val="none"/>
          </w:rPr>
          <w:t>40</w:t>
        </w:r>
        <w:r w:rsidRPr="009D0DEF">
          <w:rPr>
            <w:rStyle w:val="Hyperlink"/>
            <w:rFonts w:ascii="FrankRuehl" w:hAnsi="FrankRuehl" w:cs="FrankRuehl"/>
            <w:u w:val="none"/>
            <w:rtl/>
          </w:rPr>
          <w:t>ז</w:t>
        </w:r>
      </w:hyperlink>
      <w:r w:rsidRPr="009D0DEF">
        <w:rPr>
          <w:rFonts w:ascii="FrankRuehl" w:hAnsi="FrankRuehl" w:cs="FrankRuehl"/>
          <w:color w:val="0000FF"/>
          <w:rtl/>
        </w:rPr>
        <w:t xml:space="preserve">, </w:t>
      </w:r>
      <w:hyperlink r:id="rId10" w:history="1">
        <w:r w:rsidRPr="009D0DEF">
          <w:rPr>
            <w:rStyle w:val="Hyperlink"/>
            <w:rFonts w:ascii="FrankRuehl" w:hAnsi="FrankRuehl" w:cs="FrankRuehl"/>
            <w:u w:val="none"/>
          </w:rPr>
          <w:t>40</w:t>
        </w:r>
        <w:r w:rsidRPr="009D0DEF">
          <w:rPr>
            <w:rStyle w:val="Hyperlink"/>
            <w:rFonts w:ascii="FrankRuehl" w:hAnsi="FrankRuehl" w:cs="FrankRuehl"/>
            <w:u w:val="none"/>
            <w:rtl/>
          </w:rPr>
          <w:t>ט</w:t>
        </w:r>
      </w:hyperlink>
      <w:r w:rsidRPr="009D0DEF">
        <w:rPr>
          <w:rFonts w:ascii="FrankRuehl" w:hAnsi="FrankRuehl" w:cs="FrankRuehl"/>
          <w:color w:val="0000FF"/>
          <w:rtl/>
        </w:rPr>
        <w:t xml:space="preserve">, </w:t>
      </w:r>
      <w:hyperlink r:id="rId11" w:history="1">
        <w:r w:rsidRPr="009D0DEF">
          <w:rPr>
            <w:rStyle w:val="Hyperlink"/>
            <w:rFonts w:ascii="FrankRuehl" w:hAnsi="FrankRuehl" w:cs="FrankRuehl"/>
            <w:u w:val="none"/>
          </w:rPr>
          <w:t>144</w:t>
        </w:r>
      </w:hyperlink>
      <w:r w:rsidRPr="009D0DEF">
        <w:rPr>
          <w:rFonts w:ascii="FrankRuehl" w:hAnsi="FrankRuehl" w:cs="FrankRuehl"/>
          <w:color w:val="0000FF"/>
          <w:rtl/>
        </w:rPr>
        <w:t xml:space="preserve">, </w:t>
      </w:r>
      <w:hyperlink r:id="rId12" w:history="1">
        <w:r w:rsidRPr="009D0DEF">
          <w:rPr>
            <w:rStyle w:val="Hyperlink"/>
            <w:rFonts w:ascii="FrankRuehl" w:hAnsi="FrankRuehl" w:cs="FrankRuehl"/>
            <w:u w:val="none"/>
          </w:rPr>
          <w:t>144</w:t>
        </w:r>
      </w:hyperlink>
      <w:r w:rsidRPr="009D0DEF">
        <w:rPr>
          <w:rFonts w:ascii="FrankRuehl" w:hAnsi="FrankRuehl" w:cs="FrankRuehl"/>
          <w:color w:val="0000FF"/>
          <w:rtl/>
        </w:rPr>
        <w:t xml:space="preserve">(ב), </w:t>
      </w:r>
      <w:hyperlink r:id="rId13" w:history="1">
        <w:r w:rsidRPr="009D0DEF">
          <w:rPr>
            <w:rStyle w:val="Hyperlink"/>
            <w:rFonts w:ascii="FrankRuehl" w:hAnsi="FrankRuehl" w:cs="FrankRuehl"/>
            <w:u w:val="none"/>
          </w:rPr>
          <w:t>340</w:t>
        </w:r>
        <w:r w:rsidRPr="009D0DEF">
          <w:rPr>
            <w:rStyle w:val="Hyperlink"/>
            <w:rFonts w:ascii="FrankRuehl" w:hAnsi="FrankRuehl" w:cs="FrankRuehl"/>
            <w:u w:val="none"/>
            <w:rtl/>
          </w:rPr>
          <w:t>א</w:t>
        </w:r>
      </w:hyperlink>
      <w:r w:rsidRPr="009D0DEF">
        <w:rPr>
          <w:rFonts w:ascii="FrankRuehl" w:hAnsi="FrankRuehl" w:cs="FrankRuehl"/>
          <w:color w:val="0000FF"/>
          <w:rtl/>
        </w:rPr>
        <w:t xml:space="preserve">, </w:t>
      </w:r>
      <w:hyperlink r:id="rId14" w:history="1">
        <w:r w:rsidRPr="009D0DEF">
          <w:rPr>
            <w:rStyle w:val="Hyperlink"/>
            <w:rFonts w:ascii="FrankRuehl" w:hAnsi="FrankRuehl" w:cs="FrankRuehl"/>
            <w:u w:val="none"/>
          </w:rPr>
          <w:t>340</w:t>
        </w:r>
        <w:r w:rsidRPr="009D0DEF">
          <w:rPr>
            <w:rStyle w:val="Hyperlink"/>
            <w:rFonts w:ascii="FrankRuehl" w:hAnsi="FrankRuehl" w:cs="FrankRuehl"/>
            <w:u w:val="none"/>
            <w:rtl/>
          </w:rPr>
          <w:t>א</w:t>
        </w:r>
      </w:hyperlink>
      <w:r w:rsidRPr="009D0DEF">
        <w:rPr>
          <w:rFonts w:ascii="FrankRuehl" w:hAnsi="FrankRuehl" w:cs="FrankRuehl"/>
          <w:color w:val="0000FF"/>
          <w:rtl/>
        </w:rPr>
        <w:t xml:space="preserve">(ב)1, </w:t>
      </w:r>
      <w:hyperlink r:id="rId15" w:history="1">
        <w:r w:rsidRPr="009D0DEF">
          <w:rPr>
            <w:rStyle w:val="Hyperlink"/>
            <w:rFonts w:ascii="FrankRuehl" w:hAnsi="FrankRuehl" w:cs="FrankRuehl"/>
            <w:u w:val="none"/>
          </w:rPr>
          <w:t>40</w:t>
        </w:r>
        <w:r w:rsidRPr="009D0DEF">
          <w:rPr>
            <w:rStyle w:val="Hyperlink"/>
            <w:rFonts w:ascii="FrankRuehl" w:hAnsi="FrankRuehl" w:cs="FrankRuehl"/>
            <w:u w:val="none"/>
            <w:rtl/>
          </w:rPr>
          <w:t>יא</w:t>
        </w:r>
      </w:hyperlink>
      <w:r w:rsidRPr="009D0DEF">
        <w:rPr>
          <w:rFonts w:ascii="FrankRuehl" w:hAnsi="FrankRuehl" w:cs="FrankRuehl"/>
          <w:color w:val="0000FF"/>
          <w:rtl/>
        </w:rPr>
        <w:t xml:space="preserve">, </w:t>
      </w:r>
      <w:hyperlink r:id="rId16" w:history="1">
        <w:r w:rsidRPr="009D0DEF">
          <w:rPr>
            <w:rStyle w:val="Hyperlink"/>
            <w:rFonts w:ascii="FrankRuehl" w:hAnsi="FrankRuehl" w:cs="FrankRuehl"/>
            <w:u w:val="none"/>
          </w:rPr>
          <w:t>40</w:t>
        </w:r>
        <w:r w:rsidRPr="009D0DEF">
          <w:rPr>
            <w:rStyle w:val="Hyperlink"/>
            <w:rFonts w:ascii="FrankRuehl" w:hAnsi="FrankRuehl" w:cs="FrankRuehl"/>
            <w:u w:val="none"/>
            <w:rtl/>
          </w:rPr>
          <w:t>יג</w:t>
        </w:r>
      </w:hyperlink>
      <w:r w:rsidRPr="009D0DEF">
        <w:rPr>
          <w:rFonts w:ascii="FrankRuehl" w:hAnsi="FrankRuehl" w:cs="FrankRuehl"/>
          <w:color w:val="0000FF"/>
          <w:rtl/>
        </w:rPr>
        <w:t xml:space="preserve">(א), </w:t>
      </w:r>
      <w:hyperlink r:id="rId17" w:history="1">
        <w:r w:rsidRPr="009D0DEF">
          <w:rPr>
            <w:rStyle w:val="Hyperlink"/>
            <w:rFonts w:ascii="FrankRuehl" w:hAnsi="FrankRuehl" w:cs="FrankRuehl"/>
            <w:u w:val="none"/>
          </w:rPr>
          <w:t>40</w:t>
        </w:r>
        <w:r w:rsidRPr="009D0DEF">
          <w:rPr>
            <w:rStyle w:val="Hyperlink"/>
            <w:rFonts w:ascii="FrankRuehl" w:hAnsi="FrankRuehl" w:cs="FrankRuehl"/>
            <w:u w:val="none"/>
            <w:rtl/>
          </w:rPr>
          <w:t>יג</w:t>
        </w:r>
      </w:hyperlink>
      <w:r w:rsidRPr="009D0DEF">
        <w:rPr>
          <w:rFonts w:ascii="FrankRuehl" w:hAnsi="FrankRuehl" w:cs="FrankRuehl"/>
          <w:color w:val="0000FF"/>
          <w:rtl/>
        </w:rPr>
        <w:t>(ג)</w:t>
      </w:r>
    </w:p>
    <w:p w14:paraId="550C5FA6" w14:textId="77777777" w:rsidR="00030D7F" w:rsidRPr="009D0DEF" w:rsidRDefault="00030D7F" w:rsidP="009D0DEF">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0D7F" w14:paraId="227D9C74" w14:textId="77777777" w:rsidTr="00030D7F">
        <w:trPr>
          <w:trHeight w:val="355"/>
          <w:jc w:val="center"/>
        </w:trPr>
        <w:tc>
          <w:tcPr>
            <w:tcW w:w="8820" w:type="dxa"/>
            <w:tcBorders>
              <w:top w:val="nil"/>
              <w:left w:val="nil"/>
              <w:bottom w:val="nil"/>
              <w:right w:val="nil"/>
            </w:tcBorders>
            <w:shd w:val="clear" w:color="auto" w:fill="auto"/>
          </w:tcPr>
          <w:p w14:paraId="56BE374C" w14:textId="77777777" w:rsidR="00A344FA" w:rsidRPr="00A344FA" w:rsidRDefault="00A344FA" w:rsidP="00A344FA">
            <w:pPr>
              <w:jc w:val="center"/>
              <w:rPr>
                <w:rFonts w:ascii="Arial" w:hAnsi="Arial"/>
                <w:b/>
                <w:bCs/>
                <w:sz w:val="28"/>
                <w:szCs w:val="28"/>
                <w:u w:val="single"/>
                <w:rtl/>
              </w:rPr>
            </w:pPr>
            <w:bookmarkStart w:id="4" w:name="PsakDin" w:colFirst="0" w:colLast="0"/>
            <w:r w:rsidRPr="00A344FA">
              <w:rPr>
                <w:rFonts w:ascii="Arial" w:hAnsi="Arial"/>
                <w:b/>
                <w:bCs/>
                <w:sz w:val="28"/>
                <w:szCs w:val="28"/>
                <w:u w:val="single"/>
                <w:rtl/>
              </w:rPr>
              <w:t>גזר דין</w:t>
            </w:r>
          </w:p>
          <w:p w14:paraId="5A5C5033" w14:textId="77777777" w:rsidR="00030D7F" w:rsidRPr="00A344FA" w:rsidRDefault="00030D7F" w:rsidP="00A344FA">
            <w:pPr>
              <w:jc w:val="center"/>
              <w:rPr>
                <w:rFonts w:ascii="Arial" w:hAnsi="Arial"/>
                <w:bCs/>
                <w:sz w:val="28"/>
                <w:szCs w:val="28"/>
                <w:u w:val="single"/>
                <w:rtl/>
              </w:rPr>
            </w:pPr>
          </w:p>
        </w:tc>
      </w:tr>
      <w:bookmarkEnd w:id="4"/>
    </w:tbl>
    <w:p w14:paraId="47E7E582" w14:textId="77777777" w:rsidR="00030D7F" w:rsidRPr="00B05847" w:rsidRDefault="00030D7F" w:rsidP="00030D7F">
      <w:pPr>
        <w:spacing w:line="360" w:lineRule="auto"/>
        <w:jc w:val="both"/>
        <w:rPr>
          <w:rFonts w:ascii="Arial" w:hAnsi="Arial"/>
          <w:rtl/>
        </w:rPr>
      </w:pPr>
    </w:p>
    <w:p w14:paraId="265C7E20" w14:textId="77777777" w:rsidR="00030D7F" w:rsidRPr="00EE7A4E" w:rsidRDefault="00030D7F" w:rsidP="00030D7F">
      <w:pPr>
        <w:spacing w:line="360" w:lineRule="auto"/>
        <w:jc w:val="both"/>
        <w:rPr>
          <w:rFonts w:ascii="David" w:eastAsia="Calibri" w:hAnsi="David"/>
          <w:u w:val="single"/>
        </w:rPr>
      </w:pPr>
    </w:p>
    <w:p w14:paraId="455F598E" w14:textId="77777777" w:rsidR="00030D7F" w:rsidRPr="00EE7A4E" w:rsidRDefault="00030D7F" w:rsidP="00030D7F">
      <w:pPr>
        <w:spacing w:line="360" w:lineRule="auto"/>
        <w:jc w:val="both"/>
        <w:rPr>
          <w:rFonts w:ascii="David" w:eastAsia="Calibri" w:hAnsi="David"/>
          <w:rtl/>
        </w:rPr>
      </w:pPr>
      <w:bookmarkStart w:id="5" w:name="ABSTRACT_START"/>
      <w:bookmarkEnd w:id="5"/>
      <w:r w:rsidRPr="00EE7A4E">
        <w:rPr>
          <w:rFonts w:ascii="David" w:eastAsia="Calibri" w:hAnsi="David"/>
          <w:rtl/>
        </w:rPr>
        <w:t xml:space="preserve">הנאשם, </w:t>
      </w:r>
      <w:r>
        <w:rPr>
          <w:rFonts w:ascii="David" w:eastAsia="Calibri" w:hAnsi="David"/>
          <w:b/>
          <w:bCs/>
          <w:rtl/>
        </w:rPr>
        <w:t>ע</w:t>
      </w:r>
      <w:r w:rsidRPr="00EE7A4E">
        <w:rPr>
          <w:rFonts w:ascii="David" w:eastAsia="Calibri" w:hAnsi="David"/>
          <w:b/>
          <w:bCs/>
          <w:rtl/>
        </w:rPr>
        <w:t>מ</w:t>
      </w:r>
      <w:r>
        <w:rPr>
          <w:rFonts w:ascii="David" w:eastAsia="Calibri" w:hAnsi="David" w:hint="cs"/>
          <w:b/>
          <w:bCs/>
          <w:rtl/>
        </w:rPr>
        <w:t>א</w:t>
      </w:r>
      <w:r w:rsidRPr="00EE7A4E">
        <w:rPr>
          <w:rFonts w:ascii="David" w:eastAsia="Calibri" w:hAnsi="David"/>
          <w:b/>
          <w:bCs/>
          <w:rtl/>
        </w:rPr>
        <w:t>ר מג'דוב</w:t>
      </w:r>
      <w:r w:rsidRPr="00EE7A4E">
        <w:rPr>
          <w:rFonts w:ascii="David" w:eastAsia="Calibri" w:hAnsi="David"/>
          <w:rtl/>
        </w:rPr>
        <w:t xml:space="preserve">, הורשע ביום 3.3.25 - בהתאם להודאתו במסגרת הסדר טיעון - בעבירות שנכללו בכתב אישום מתוקן אשר הוגש נגדו, ואשר עניינן </w:t>
      </w:r>
      <w:r w:rsidRPr="00EE7A4E">
        <w:rPr>
          <w:rFonts w:ascii="David" w:eastAsia="Calibri" w:hAnsi="David"/>
          <w:b/>
          <w:bCs/>
          <w:rtl/>
        </w:rPr>
        <w:t>סיוע לנשיאת נשק והובלתו</w:t>
      </w:r>
      <w:r w:rsidRPr="00EE7A4E">
        <w:rPr>
          <w:rFonts w:ascii="David" w:eastAsia="Calibri" w:hAnsi="David"/>
          <w:rtl/>
        </w:rPr>
        <w:t xml:space="preserve"> לפי </w:t>
      </w:r>
      <w:hyperlink r:id="rId18" w:history="1">
        <w:r w:rsidR="009D0DEF" w:rsidRPr="009D0DEF">
          <w:rPr>
            <w:rStyle w:val="Hyperlink"/>
            <w:rFonts w:ascii="David" w:eastAsia="Calibri" w:hAnsi="David"/>
            <w:color w:val="0000FF"/>
            <w:rtl/>
          </w:rPr>
          <w:t>סעיפים 144(ב)</w:t>
        </w:r>
      </w:hyperlink>
      <w:r w:rsidRPr="00EE7A4E">
        <w:rPr>
          <w:rFonts w:ascii="David" w:eastAsia="Calibri" w:hAnsi="David"/>
          <w:rtl/>
        </w:rPr>
        <w:t xml:space="preserve"> רישה וסיפה ו-</w:t>
      </w:r>
      <w:hyperlink r:id="rId19" w:history="1">
        <w:r w:rsidR="009D0DEF" w:rsidRPr="009D0DEF">
          <w:rPr>
            <w:rStyle w:val="Hyperlink"/>
            <w:rFonts w:ascii="David" w:eastAsia="Calibri" w:hAnsi="David"/>
            <w:color w:val="0000FF"/>
            <w:rtl/>
          </w:rPr>
          <w:t>31</w:t>
        </w:r>
      </w:hyperlink>
      <w:r w:rsidRPr="00EE7A4E">
        <w:rPr>
          <w:rFonts w:ascii="David" w:eastAsia="Calibri" w:hAnsi="David"/>
          <w:rtl/>
        </w:rPr>
        <w:t xml:space="preserve"> ל</w:t>
      </w:r>
      <w:hyperlink r:id="rId20" w:history="1">
        <w:r w:rsidR="00A344FA" w:rsidRPr="00A344FA">
          <w:rPr>
            <w:rFonts w:ascii="David" w:eastAsia="Calibri" w:hAnsi="David"/>
            <w:color w:val="0000FF"/>
            <w:u w:val="single"/>
            <w:rtl/>
          </w:rPr>
          <w:t>חוק העונשין</w:t>
        </w:r>
      </w:hyperlink>
      <w:r w:rsidRPr="00EE7A4E">
        <w:rPr>
          <w:rFonts w:ascii="David" w:eastAsia="Calibri" w:hAnsi="David"/>
          <w:rtl/>
        </w:rPr>
        <w:t>, התשל"ז - 1977 (להלן: "</w:t>
      </w:r>
      <w:r w:rsidRPr="00EE7A4E">
        <w:rPr>
          <w:rFonts w:ascii="David" w:eastAsia="Calibri" w:hAnsi="David"/>
          <w:b/>
          <w:bCs/>
          <w:rtl/>
        </w:rPr>
        <w:t>חוק העונשין</w:t>
      </w:r>
      <w:r w:rsidRPr="00EE7A4E">
        <w:rPr>
          <w:rFonts w:ascii="David" w:eastAsia="Calibri" w:hAnsi="David"/>
          <w:rtl/>
        </w:rPr>
        <w:t>" או "</w:t>
      </w:r>
      <w:r w:rsidRPr="00EE7A4E">
        <w:rPr>
          <w:rFonts w:ascii="David" w:eastAsia="Calibri" w:hAnsi="David"/>
          <w:b/>
          <w:bCs/>
          <w:rtl/>
        </w:rPr>
        <w:t>החוק"</w:t>
      </w:r>
      <w:r w:rsidRPr="00EE7A4E">
        <w:rPr>
          <w:rFonts w:ascii="David" w:eastAsia="Calibri" w:hAnsi="David"/>
          <w:rtl/>
        </w:rPr>
        <w:t xml:space="preserve">), וכן </w:t>
      </w:r>
      <w:r w:rsidRPr="00EE7A4E">
        <w:rPr>
          <w:rFonts w:ascii="David" w:eastAsia="Calibri" w:hAnsi="David"/>
          <w:b/>
          <w:bCs/>
          <w:rtl/>
        </w:rPr>
        <w:t>סיוע לירי מנשק חם</w:t>
      </w:r>
      <w:r w:rsidRPr="00EE7A4E">
        <w:rPr>
          <w:rFonts w:ascii="David" w:eastAsia="Calibri" w:hAnsi="David"/>
          <w:rtl/>
        </w:rPr>
        <w:t xml:space="preserve"> לפי </w:t>
      </w:r>
      <w:hyperlink r:id="rId21" w:history="1">
        <w:r w:rsidR="009D0DEF" w:rsidRPr="009D0DEF">
          <w:rPr>
            <w:rStyle w:val="Hyperlink"/>
            <w:rFonts w:ascii="David" w:eastAsia="Calibri" w:hAnsi="David"/>
            <w:color w:val="0000FF"/>
            <w:rtl/>
          </w:rPr>
          <w:t>סעיפים 340א(ב)1</w:t>
        </w:r>
      </w:hyperlink>
      <w:r w:rsidRPr="00EE7A4E">
        <w:rPr>
          <w:rFonts w:ascii="David" w:eastAsia="Calibri" w:hAnsi="David"/>
          <w:rtl/>
        </w:rPr>
        <w:t xml:space="preserve"> ו - </w:t>
      </w:r>
      <w:hyperlink r:id="rId22" w:history="1">
        <w:r w:rsidR="009D0DEF" w:rsidRPr="009D0DEF">
          <w:rPr>
            <w:rStyle w:val="Hyperlink"/>
            <w:rFonts w:ascii="David" w:eastAsia="Calibri" w:hAnsi="David"/>
            <w:color w:val="0000FF"/>
            <w:rtl/>
          </w:rPr>
          <w:t>31</w:t>
        </w:r>
      </w:hyperlink>
      <w:r w:rsidRPr="00EE7A4E">
        <w:rPr>
          <w:rFonts w:ascii="David" w:eastAsia="Calibri" w:hAnsi="David"/>
          <w:rtl/>
        </w:rPr>
        <w:t xml:space="preserve"> לחוק. </w:t>
      </w:r>
    </w:p>
    <w:p w14:paraId="75FB84CF" w14:textId="77777777" w:rsidR="00030D7F" w:rsidRPr="00EE7A4E" w:rsidRDefault="00030D7F" w:rsidP="00030D7F">
      <w:pPr>
        <w:spacing w:line="360" w:lineRule="auto"/>
        <w:jc w:val="both"/>
        <w:rPr>
          <w:rFonts w:ascii="David" w:eastAsia="Calibri" w:hAnsi="David"/>
          <w:rtl/>
        </w:rPr>
      </w:pPr>
      <w:bookmarkStart w:id="6" w:name="ABSTRACT_END"/>
      <w:bookmarkEnd w:id="6"/>
    </w:p>
    <w:p w14:paraId="4D22EC70" w14:textId="77777777" w:rsidR="00030D7F" w:rsidRPr="00EE7A4E" w:rsidRDefault="00030D7F" w:rsidP="00030D7F">
      <w:pPr>
        <w:spacing w:line="360" w:lineRule="auto"/>
        <w:jc w:val="both"/>
        <w:rPr>
          <w:rFonts w:ascii="David" w:eastAsia="Calibri" w:hAnsi="David"/>
          <w:rtl/>
        </w:rPr>
      </w:pPr>
      <w:r w:rsidRPr="00EE7A4E">
        <w:rPr>
          <w:rFonts w:ascii="David" w:eastAsia="Calibri" w:hAnsi="David"/>
          <w:rtl/>
        </w:rPr>
        <w:t xml:space="preserve">במסגרת ההסדר הנ"ל הוסכם כי הצדדים יטענו לעניין העונש באופן חופשי.   </w:t>
      </w:r>
    </w:p>
    <w:p w14:paraId="4FD56C9D" w14:textId="77777777" w:rsidR="00030D7F" w:rsidRPr="00EE7A4E" w:rsidRDefault="00030D7F" w:rsidP="00030D7F">
      <w:pPr>
        <w:spacing w:line="360" w:lineRule="auto"/>
        <w:jc w:val="both"/>
        <w:rPr>
          <w:rFonts w:ascii="David" w:eastAsia="Calibri" w:hAnsi="David"/>
          <w:rtl/>
        </w:rPr>
      </w:pPr>
      <w:r w:rsidRPr="00EE7A4E">
        <w:rPr>
          <w:rFonts w:ascii="David" w:eastAsia="Calibri" w:hAnsi="David"/>
          <w:rtl/>
        </w:rPr>
        <w:t xml:space="preserve"> </w:t>
      </w:r>
    </w:p>
    <w:p w14:paraId="49B49A67" w14:textId="77777777" w:rsidR="00030D7F" w:rsidRPr="00EE7A4E" w:rsidRDefault="00030D7F" w:rsidP="00030D7F">
      <w:pPr>
        <w:spacing w:line="360" w:lineRule="auto"/>
        <w:jc w:val="both"/>
        <w:rPr>
          <w:rFonts w:ascii="David" w:eastAsia="Calibri" w:hAnsi="David"/>
          <w:u w:val="single"/>
          <w:rtl/>
        </w:rPr>
      </w:pPr>
      <w:r w:rsidRPr="00EE7A4E">
        <w:rPr>
          <w:rFonts w:ascii="David" w:eastAsia="Calibri" w:hAnsi="David"/>
          <w:u w:val="single"/>
          <w:rtl/>
        </w:rPr>
        <w:t>עובדות כתב האישום המתוקן</w:t>
      </w:r>
    </w:p>
    <w:p w14:paraId="30943351" w14:textId="77777777" w:rsidR="00030D7F" w:rsidRPr="00EE7A4E" w:rsidRDefault="00030D7F" w:rsidP="00030D7F">
      <w:pPr>
        <w:spacing w:line="360" w:lineRule="auto"/>
        <w:jc w:val="both"/>
        <w:rPr>
          <w:rFonts w:ascii="David" w:eastAsia="Calibri" w:hAnsi="David"/>
          <w:u w:val="single"/>
          <w:rtl/>
        </w:rPr>
      </w:pPr>
    </w:p>
    <w:p w14:paraId="4081725B" w14:textId="77777777" w:rsidR="00030D7F" w:rsidRPr="00EE7A4E" w:rsidRDefault="00030D7F" w:rsidP="00030D7F">
      <w:pPr>
        <w:spacing w:line="360" w:lineRule="auto"/>
        <w:jc w:val="both"/>
        <w:rPr>
          <w:rFonts w:ascii="David" w:eastAsia="Calibri" w:hAnsi="David"/>
          <w:rtl/>
        </w:rPr>
      </w:pPr>
      <w:r w:rsidRPr="00EE7A4E">
        <w:rPr>
          <w:rFonts w:ascii="David" w:eastAsia="Calibri" w:hAnsi="David"/>
          <w:rtl/>
        </w:rPr>
        <w:t xml:space="preserve">מוחמד איוב הינו בעליו של בית הקפה נרגילות "סנייק בול", אשר נמצא ברחוב ששת הימים בעכו 1. </w:t>
      </w:r>
    </w:p>
    <w:p w14:paraId="410CF549" w14:textId="77777777" w:rsidR="00030D7F" w:rsidRPr="00EE7A4E" w:rsidRDefault="00030D7F" w:rsidP="00030D7F">
      <w:pPr>
        <w:spacing w:line="360" w:lineRule="auto"/>
        <w:jc w:val="both"/>
        <w:rPr>
          <w:rFonts w:ascii="David" w:eastAsia="Calibri" w:hAnsi="David"/>
          <w:rtl/>
        </w:rPr>
      </w:pPr>
    </w:p>
    <w:p w14:paraId="292ABE66" w14:textId="77777777" w:rsidR="00030D7F" w:rsidRPr="00EE7A4E" w:rsidRDefault="00030D7F" w:rsidP="00030D7F">
      <w:pPr>
        <w:spacing w:line="360" w:lineRule="auto"/>
        <w:jc w:val="both"/>
        <w:rPr>
          <w:rFonts w:ascii="David" w:eastAsia="Calibri" w:hAnsi="David"/>
          <w:rtl/>
        </w:rPr>
      </w:pPr>
      <w:r w:rsidRPr="00EE7A4E">
        <w:rPr>
          <w:rFonts w:ascii="David" w:eastAsia="Calibri" w:hAnsi="David"/>
          <w:rtl/>
        </w:rPr>
        <w:t xml:space="preserve">עובר לתאריך 6.5.24, שעה 21:18, במועד מדויק שאינו ידוע למאשימה, ועל רקע סכסוך שמקורו אינו ידוע במדויק למאשימה, עדנאן נג'מי החליט לירות לעבר בית הקפה בסיועו של הנאשם. </w:t>
      </w:r>
    </w:p>
    <w:p w14:paraId="67D71077" w14:textId="77777777" w:rsidR="00030D7F" w:rsidRPr="00EE7A4E" w:rsidRDefault="00030D7F" w:rsidP="00030D7F">
      <w:pPr>
        <w:spacing w:line="360" w:lineRule="auto"/>
        <w:jc w:val="both"/>
        <w:rPr>
          <w:rFonts w:ascii="David" w:eastAsia="Calibri" w:hAnsi="David"/>
          <w:rtl/>
        </w:rPr>
      </w:pPr>
      <w:r w:rsidRPr="00EE7A4E">
        <w:rPr>
          <w:rFonts w:ascii="David" w:eastAsia="Calibri" w:hAnsi="David"/>
          <w:rtl/>
        </w:rPr>
        <w:t xml:space="preserve">לצורך מימוש ההחלטה הצטייד עדנאן בסיועו של הנאשם בקטנוע מסוג הונדה השייך לאביו של הנאשם, ובתאריך 6.5.24 בשעה 21:18 לערך, ברחוב דרך הארבעה 26 בעכו, כיסו עדנאן ואדם נוסף שזהותו אינה ידועה למאשימה, את ספרות לוחית הזיהוי של הקטנוע, באמצעות דבק בצבע שחור, כך שלא ניתן יהיה להבחין בספרות לוחית הזיהוי ולזהות את הקטנוע. </w:t>
      </w:r>
    </w:p>
    <w:p w14:paraId="409F9506" w14:textId="77777777" w:rsidR="00030D7F" w:rsidRPr="00EE7A4E" w:rsidRDefault="00030D7F" w:rsidP="00030D7F">
      <w:pPr>
        <w:spacing w:line="360" w:lineRule="auto"/>
        <w:jc w:val="both"/>
        <w:rPr>
          <w:rFonts w:ascii="David" w:eastAsia="Calibri" w:hAnsi="David"/>
          <w:rtl/>
        </w:rPr>
      </w:pPr>
    </w:p>
    <w:p w14:paraId="4524E152" w14:textId="77777777" w:rsidR="00030D7F" w:rsidRPr="00EE7A4E" w:rsidRDefault="00030D7F" w:rsidP="00030D7F">
      <w:pPr>
        <w:spacing w:line="360" w:lineRule="auto"/>
        <w:jc w:val="both"/>
        <w:rPr>
          <w:rFonts w:ascii="David" w:eastAsia="Calibri" w:hAnsi="David"/>
          <w:rtl/>
        </w:rPr>
      </w:pPr>
      <w:r w:rsidRPr="00EE7A4E">
        <w:rPr>
          <w:rFonts w:ascii="David" w:eastAsia="Calibri" w:hAnsi="David"/>
          <w:rtl/>
        </w:rPr>
        <w:t xml:space="preserve">לצורך מימוש ההחלטה, בשעה 21:30 לערך, נסעו הנאשם ועדנאן בקטנוע. הנאשם נהג בקטנוע בעוד עדנאן מאחוריו, נושא ומוביל בסיועו של הנאשם, אקדח, מסוג </w:t>
      </w:r>
      <w:r w:rsidRPr="00EE7A4E">
        <w:rPr>
          <w:rFonts w:ascii="David" w:eastAsia="Calibri" w:hAnsi="David"/>
        </w:rPr>
        <w:t>STAR</w:t>
      </w:r>
      <w:r w:rsidRPr="00EE7A4E">
        <w:rPr>
          <w:rFonts w:ascii="David" w:eastAsia="Calibri" w:hAnsi="David"/>
          <w:rtl/>
        </w:rPr>
        <w:t xml:space="preserve"> תוצרת ספרד, הטעון  במחסנית ובה לפחות  6 כדורים בקוטר 9 מ"מ. השניים באותה עת חבשו קסדות לראשם וכיסו את פניהם. </w:t>
      </w:r>
    </w:p>
    <w:p w14:paraId="32E4CDF9" w14:textId="77777777" w:rsidR="00030D7F" w:rsidRPr="00EE7A4E" w:rsidRDefault="00030D7F" w:rsidP="00030D7F">
      <w:pPr>
        <w:spacing w:line="360" w:lineRule="auto"/>
        <w:jc w:val="both"/>
        <w:rPr>
          <w:rFonts w:ascii="David" w:eastAsia="Calibri" w:hAnsi="David"/>
          <w:rtl/>
        </w:rPr>
      </w:pPr>
    </w:p>
    <w:p w14:paraId="0EBE925E" w14:textId="77777777" w:rsidR="00030D7F" w:rsidRPr="00EE7A4E" w:rsidRDefault="00030D7F" w:rsidP="00030D7F">
      <w:pPr>
        <w:spacing w:line="360" w:lineRule="auto"/>
        <w:jc w:val="both"/>
        <w:rPr>
          <w:rFonts w:ascii="David" w:eastAsia="Calibri" w:hAnsi="David"/>
          <w:rtl/>
        </w:rPr>
      </w:pPr>
      <w:r w:rsidRPr="00EE7A4E">
        <w:rPr>
          <w:rFonts w:ascii="David" w:eastAsia="Calibri" w:hAnsi="David"/>
          <w:rtl/>
        </w:rPr>
        <w:t xml:space="preserve">בשעה 21:34 לערך לצורך מימוש ההחלטה, הגיעו השניים אל מול בית הקפה, שם שהו באותה העת המתלונן וחברו. עדנאן ירה, בסיועו של הנאשם, את כל הכדורים שבמחסנית לעבר בית הקפה. השניים נמלטו מן המקום בנסיעה מהירה. </w:t>
      </w:r>
    </w:p>
    <w:p w14:paraId="4001C982" w14:textId="77777777" w:rsidR="00030D7F" w:rsidRPr="00EE7A4E" w:rsidRDefault="00030D7F" w:rsidP="00030D7F">
      <w:pPr>
        <w:spacing w:line="360" w:lineRule="auto"/>
        <w:jc w:val="both"/>
        <w:rPr>
          <w:rFonts w:ascii="David" w:eastAsia="Calibri" w:hAnsi="David"/>
          <w:rtl/>
        </w:rPr>
      </w:pPr>
    </w:p>
    <w:p w14:paraId="1F9C6442" w14:textId="77777777" w:rsidR="00030D7F" w:rsidRPr="00EE7A4E" w:rsidRDefault="00030D7F" w:rsidP="00030D7F">
      <w:pPr>
        <w:spacing w:line="360" w:lineRule="auto"/>
        <w:jc w:val="both"/>
        <w:rPr>
          <w:rFonts w:ascii="David" w:eastAsia="Calibri" w:hAnsi="David"/>
          <w:rtl/>
        </w:rPr>
      </w:pPr>
      <w:r w:rsidRPr="00EE7A4E">
        <w:rPr>
          <w:rFonts w:ascii="David" w:eastAsia="Calibri" w:hAnsi="David"/>
          <w:rtl/>
        </w:rPr>
        <w:t xml:space="preserve">בשלב זה,  פקחים שנהגו בניידת פיקוח עירוני גלויה, שהייתה בסיור שגרתי, שמעו את קולות הירי והבחינו בקטנוע שבורח מכיוון בית הקפה.  הניידת החלה לדלוק אחרי הקטנוע, בעוד הפקח כורז לקטנוע לעצור. השניים סירבו לעצור, כאשר עדנאן אוחז בידו הימנית את האקדח. עם הגעתם בסמוך לכיכר 8510 הבחינו הנאשם ועדנאן בחסימה משטרתית עקב תאונת דרכים במקום. או אז, ביצעו פניית פרסה מבלי להקיף את מעגל התנועה, כל זאת במטרה להפריע לפקחים ולהכשילם בביצוע תפקידם. </w:t>
      </w:r>
    </w:p>
    <w:p w14:paraId="4DBEFE42" w14:textId="77777777" w:rsidR="00030D7F" w:rsidRPr="00EE7A4E" w:rsidRDefault="00030D7F" w:rsidP="00030D7F">
      <w:pPr>
        <w:spacing w:line="360" w:lineRule="auto"/>
        <w:jc w:val="both"/>
        <w:rPr>
          <w:rFonts w:ascii="David" w:eastAsia="Calibri" w:hAnsi="David"/>
          <w:rtl/>
        </w:rPr>
      </w:pPr>
    </w:p>
    <w:p w14:paraId="332D125A" w14:textId="77777777" w:rsidR="00030D7F" w:rsidRPr="00EE7A4E" w:rsidRDefault="00030D7F" w:rsidP="00030D7F">
      <w:pPr>
        <w:spacing w:line="360" w:lineRule="auto"/>
        <w:jc w:val="both"/>
        <w:rPr>
          <w:rFonts w:ascii="David" w:eastAsia="Calibri" w:hAnsi="David"/>
          <w:rtl/>
        </w:rPr>
      </w:pPr>
      <w:r w:rsidRPr="00EE7A4E">
        <w:rPr>
          <w:rFonts w:ascii="David" w:eastAsia="Calibri" w:hAnsi="David"/>
          <w:rtl/>
        </w:rPr>
        <w:t xml:space="preserve">בשלב זה, ונוכח המתואר לעיל, פגע הפקח שנהג בניידת הפיקוח קלות בקטנוע, וכתוצאה מכך החליק הקטנוע והנאשם ועדנאן נפלו ממנו, ומייד לאחר מכן קמו והחלו בבריחה רגלית מן המקום, כאשר הנאשם רץ ימינה לכיוון בנייני המגורים שברחוב עוזי חיטמן הסמוך ובהמשך נמלט. עדנאן רץ באופן ישר על הכביש, כשהאקדח בידו הימנית וידו מושטת הצידה.   בשלב זה ירה הפקח לעבר עדנאן  חמישה כדורים, אשר אחד מהם פגע בגבו התחתון של עדנאן, שהמשיך במנוסתו למרחק קצר, עד שנעצר על ידי הפקח.   </w:t>
      </w:r>
    </w:p>
    <w:p w14:paraId="6325E182" w14:textId="77777777" w:rsidR="00030D7F" w:rsidRPr="00EE7A4E" w:rsidRDefault="00030D7F" w:rsidP="00030D7F">
      <w:pPr>
        <w:spacing w:line="360" w:lineRule="auto"/>
        <w:jc w:val="both"/>
        <w:rPr>
          <w:rFonts w:ascii="David" w:eastAsia="Calibri" w:hAnsi="David"/>
          <w:rtl/>
        </w:rPr>
      </w:pPr>
    </w:p>
    <w:p w14:paraId="3F4917C3" w14:textId="77777777" w:rsidR="00030D7F" w:rsidRPr="00EE7A4E" w:rsidRDefault="00030D7F" w:rsidP="00030D7F">
      <w:pPr>
        <w:spacing w:line="360" w:lineRule="auto"/>
        <w:jc w:val="both"/>
        <w:rPr>
          <w:rFonts w:ascii="David" w:eastAsia="Calibri" w:hAnsi="David"/>
          <w:u w:val="single"/>
          <w:rtl/>
        </w:rPr>
      </w:pPr>
      <w:r w:rsidRPr="00EE7A4E">
        <w:rPr>
          <w:rFonts w:ascii="David" w:eastAsia="Calibri" w:hAnsi="David"/>
          <w:u w:val="single"/>
          <w:rtl/>
        </w:rPr>
        <w:t>ראיות לעניין העונש</w:t>
      </w:r>
    </w:p>
    <w:p w14:paraId="72215E04" w14:textId="77777777" w:rsidR="00030D7F" w:rsidRPr="00EE7A4E" w:rsidRDefault="00030D7F" w:rsidP="00030D7F">
      <w:pPr>
        <w:spacing w:line="360" w:lineRule="auto"/>
        <w:jc w:val="both"/>
        <w:rPr>
          <w:rFonts w:ascii="David" w:eastAsia="Calibri" w:hAnsi="David"/>
          <w:u w:val="single"/>
          <w:rtl/>
        </w:rPr>
      </w:pPr>
    </w:p>
    <w:p w14:paraId="0520B8EA" w14:textId="77777777" w:rsidR="00030D7F" w:rsidRPr="00EE7A4E" w:rsidRDefault="00030D7F" w:rsidP="00030D7F">
      <w:pPr>
        <w:spacing w:line="360" w:lineRule="auto"/>
        <w:jc w:val="both"/>
        <w:rPr>
          <w:rFonts w:ascii="David" w:eastAsia="Calibri" w:hAnsi="David"/>
          <w:rtl/>
        </w:rPr>
      </w:pPr>
      <w:r w:rsidRPr="00EE7A4E">
        <w:rPr>
          <w:rFonts w:ascii="David" w:eastAsia="Calibri" w:hAnsi="David"/>
          <w:rtl/>
        </w:rPr>
        <w:t xml:space="preserve">המאשימה לא הציגה ראיות לעניין העונש בעניינו של הנאשם. צוין, כי </w:t>
      </w:r>
      <w:r w:rsidRPr="00EE7A4E">
        <w:rPr>
          <w:rFonts w:ascii="David" w:eastAsia="Calibri" w:hAnsi="David"/>
          <w:b/>
          <w:bCs/>
          <w:rtl/>
        </w:rPr>
        <w:t>הנאשם נעדר עבר פלילי.</w:t>
      </w:r>
      <w:r w:rsidRPr="00EE7A4E">
        <w:rPr>
          <w:rFonts w:ascii="David" w:eastAsia="Calibri" w:hAnsi="David"/>
          <w:rtl/>
        </w:rPr>
        <w:t xml:space="preserve"> </w:t>
      </w:r>
    </w:p>
    <w:p w14:paraId="5362AD6B" w14:textId="77777777" w:rsidR="00030D7F" w:rsidRPr="00EE7A4E" w:rsidRDefault="00030D7F" w:rsidP="00030D7F">
      <w:pPr>
        <w:spacing w:line="360" w:lineRule="auto"/>
        <w:jc w:val="both"/>
        <w:rPr>
          <w:rFonts w:ascii="David" w:eastAsia="Calibri" w:hAnsi="David"/>
          <w:u w:val="single"/>
          <w:rtl/>
        </w:rPr>
      </w:pPr>
    </w:p>
    <w:p w14:paraId="0BA3B57F" w14:textId="77777777" w:rsidR="00030D7F" w:rsidRPr="00EE7A4E" w:rsidRDefault="00030D7F" w:rsidP="00030D7F">
      <w:pPr>
        <w:spacing w:line="360" w:lineRule="auto"/>
        <w:jc w:val="both"/>
        <w:rPr>
          <w:rFonts w:ascii="David" w:eastAsia="Calibri" w:hAnsi="David"/>
          <w:rtl/>
        </w:rPr>
      </w:pPr>
      <w:r w:rsidRPr="00EE7A4E">
        <w:rPr>
          <w:rFonts w:ascii="David" w:eastAsia="Calibri" w:hAnsi="David"/>
          <w:u w:val="single"/>
          <w:rtl/>
        </w:rPr>
        <w:t xml:space="preserve">טיעוני הצדדים לעניין העונש </w:t>
      </w:r>
    </w:p>
    <w:p w14:paraId="22767186" w14:textId="77777777" w:rsidR="00030D7F" w:rsidRPr="00EE7A4E" w:rsidRDefault="00030D7F" w:rsidP="00030D7F">
      <w:pPr>
        <w:spacing w:line="360" w:lineRule="auto"/>
        <w:jc w:val="both"/>
        <w:rPr>
          <w:rFonts w:ascii="David" w:eastAsia="Calibri" w:hAnsi="David"/>
          <w:u w:val="single"/>
          <w:rtl/>
        </w:rPr>
      </w:pPr>
    </w:p>
    <w:p w14:paraId="34EDF7D9" w14:textId="77777777" w:rsidR="00030D7F" w:rsidRPr="00EE7A4E" w:rsidRDefault="00030D7F" w:rsidP="00030D7F">
      <w:pPr>
        <w:spacing w:line="360" w:lineRule="auto"/>
        <w:jc w:val="both"/>
        <w:rPr>
          <w:rFonts w:ascii="David" w:eastAsia="Calibri" w:hAnsi="David"/>
          <w:i/>
          <w:iCs/>
          <w:rtl/>
        </w:rPr>
      </w:pPr>
      <w:r w:rsidRPr="00EE7A4E">
        <w:rPr>
          <w:rFonts w:ascii="David" w:eastAsia="Calibri" w:hAnsi="David"/>
          <w:i/>
          <w:iCs/>
          <w:rtl/>
        </w:rPr>
        <w:t>המאשימה</w:t>
      </w:r>
    </w:p>
    <w:p w14:paraId="284A1554" w14:textId="77777777" w:rsidR="00030D7F" w:rsidRPr="00EE7A4E" w:rsidRDefault="00030D7F" w:rsidP="00030D7F">
      <w:pPr>
        <w:spacing w:line="360" w:lineRule="auto"/>
        <w:jc w:val="both"/>
        <w:rPr>
          <w:rFonts w:ascii="David" w:eastAsia="Calibri" w:hAnsi="David"/>
          <w:i/>
          <w:iCs/>
          <w:rtl/>
        </w:rPr>
      </w:pPr>
    </w:p>
    <w:p w14:paraId="3D20F4A8" w14:textId="77777777" w:rsidR="00030D7F" w:rsidRPr="00EE7A4E" w:rsidRDefault="00030D7F" w:rsidP="00030D7F">
      <w:pPr>
        <w:spacing w:line="360" w:lineRule="auto"/>
        <w:jc w:val="both"/>
        <w:rPr>
          <w:rFonts w:ascii="David" w:eastAsia="Calibri" w:hAnsi="David"/>
          <w:rtl/>
        </w:rPr>
      </w:pPr>
      <w:r w:rsidRPr="00EE7A4E">
        <w:rPr>
          <w:rFonts w:ascii="David" w:eastAsia="Calibri" w:hAnsi="David"/>
          <w:rtl/>
        </w:rPr>
        <w:t>ב"כ המלומד של המאשימה, עו"ד אמיר אלרון, הגיש מסמך טיעונים לעונש (</w:t>
      </w:r>
      <w:r w:rsidRPr="00EE7A4E">
        <w:rPr>
          <w:rFonts w:ascii="David" w:eastAsia="Calibri" w:hAnsi="David"/>
          <w:b/>
          <w:bCs/>
          <w:rtl/>
        </w:rPr>
        <w:t>טעת/1</w:t>
      </w:r>
      <w:r w:rsidRPr="00EE7A4E">
        <w:rPr>
          <w:rFonts w:ascii="David" w:eastAsia="Calibri" w:hAnsi="David"/>
          <w:rtl/>
        </w:rPr>
        <w:t xml:space="preserve">) בכתב והוסיף על דברים אלו בעל פה. הפרקליט עמד על המסוכנות הניבטת מן העבירות שביצע הנאשם, ועל הצורך העז למגרן ולהשית בגינן ענישה הרתעתית - מחמירה. ב"כ המאשימה עמד בהרחבה על הפסיקה הנוהגת במקרים דומים ופירט, כי עסקינן באירוע מתוכנן שהנזק שעלול היה לגרום הימנו יכול היה להיות הרה אסון. לאור המקובץ עתרה המאשימה לשרטט מתחם ענישה הנע בין שנתיים לבין ארבע שנות מאסר לריצוי בפועל. נוכח הנסיבות שאינן קשורות בביצוען של העבירות </w:t>
      </w:r>
      <w:r w:rsidRPr="00EE7A4E">
        <w:rPr>
          <w:rFonts w:ascii="David" w:eastAsia="Calibri" w:hAnsi="David"/>
        </w:rPr>
        <w:t xml:space="preserve"> </w:t>
      </w:r>
      <w:r w:rsidRPr="00EE7A4E">
        <w:rPr>
          <w:rFonts w:ascii="David" w:eastAsia="Calibri" w:hAnsi="David"/>
          <w:rtl/>
        </w:rPr>
        <w:t xml:space="preserve">(הודאה והעדר עבר פלילי) עתרה המאשימה להציב את עונשו של הנאשם ברף התחתון של מתחם הענישה שהוצע. </w:t>
      </w:r>
    </w:p>
    <w:p w14:paraId="3456B343" w14:textId="77777777" w:rsidR="00030D7F" w:rsidRPr="00EE7A4E" w:rsidRDefault="00030D7F" w:rsidP="00030D7F">
      <w:pPr>
        <w:spacing w:line="360" w:lineRule="auto"/>
        <w:jc w:val="both"/>
        <w:rPr>
          <w:rFonts w:ascii="David" w:eastAsia="Calibri" w:hAnsi="David"/>
          <w:i/>
          <w:iCs/>
          <w:rtl/>
        </w:rPr>
      </w:pPr>
      <w:r w:rsidRPr="00EE7A4E">
        <w:rPr>
          <w:rFonts w:ascii="David" w:eastAsia="Calibri" w:hAnsi="David"/>
          <w:i/>
          <w:iCs/>
          <w:rtl/>
        </w:rPr>
        <w:t xml:space="preserve"> </w:t>
      </w:r>
    </w:p>
    <w:p w14:paraId="7D27F032" w14:textId="77777777" w:rsidR="00030D7F" w:rsidRPr="00EE7A4E" w:rsidRDefault="00030D7F" w:rsidP="00030D7F">
      <w:pPr>
        <w:spacing w:line="360" w:lineRule="auto"/>
        <w:jc w:val="both"/>
        <w:rPr>
          <w:rFonts w:ascii="David" w:eastAsia="Calibri" w:hAnsi="David"/>
          <w:i/>
          <w:iCs/>
          <w:rtl/>
        </w:rPr>
      </w:pPr>
      <w:r w:rsidRPr="00EE7A4E">
        <w:rPr>
          <w:rFonts w:ascii="David" w:eastAsia="Calibri" w:hAnsi="David"/>
          <w:i/>
          <w:iCs/>
          <w:rtl/>
        </w:rPr>
        <w:t>ההגנה</w:t>
      </w:r>
    </w:p>
    <w:p w14:paraId="0036ACB9" w14:textId="77777777" w:rsidR="00030D7F" w:rsidRPr="00EE7A4E" w:rsidRDefault="00030D7F" w:rsidP="00030D7F">
      <w:pPr>
        <w:spacing w:line="360" w:lineRule="auto"/>
        <w:jc w:val="both"/>
        <w:rPr>
          <w:rFonts w:ascii="David" w:eastAsia="Calibri" w:hAnsi="David"/>
          <w:i/>
          <w:iCs/>
          <w:rtl/>
        </w:rPr>
      </w:pPr>
    </w:p>
    <w:p w14:paraId="4C8CE0BD" w14:textId="77777777" w:rsidR="00030D7F" w:rsidRPr="00EE7A4E" w:rsidRDefault="00030D7F" w:rsidP="00030D7F">
      <w:pPr>
        <w:spacing w:line="360" w:lineRule="auto"/>
        <w:jc w:val="both"/>
        <w:rPr>
          <w:rFonts w:ascii="David" w:eastAsia="Calibri" w:hAnsi="David"/>
          <w:rtl/>
        </w:rPr>
      </w:pPr>
      <w:r w:rsidRPr="00EE7A4E">
        <w:rPr>
          <w:rFonts w:ascii="David" w:eastAsia="Calibri" w:hAnsi="David"/>
          <w:rtl/>
        </w:rPr>
        <w:t xml:space="preserve">ב"כ המלומד של הנאשם, עו"ד באסל פלאח, עמד על כך כי כתב האישום תוקן לאחר הליך ממושך. הודגש, כי כתב האישום המתוקן כעת שונה מהותית מעניינו של המבצע העיקרי. לשיטתו של הסנגור </w:t>
      </w:r>
      <w:r w:rsidRPr="00EE7A4E">
        <w:rPr>
          <w:rFonts w:ascii="David" w:eastAsia="Calibri" w:hAnsi="David"/>
          <w:rtl/>
        </w:rPr>
        <w:lastRenderedPageBreak/>
        <w:t xml:space="preserve">עסקינן בסיוע ברמה נמוכה מאוד, שכן לא קיים תכנון מקדים לביצוע העיקרי של העבירות (והבנה של התוכנית העבריינית הנגזרת מכך), אלא אך לסיוען. הסנגור הציג פסיקה מטעמו והזכיר, כי הנאשם נעדר עבר פלילי ועובד לפרנסתו מגיל 16 בחברה של אביו. נוכח נתונים אלו והודאתו של הנאשם סבר הסנגור שיש להסתפק בימי מעצרו של הנאשם עד כה.     </w:t>
      </w:r>
    </w:p>
    <w:p w14:paraId="5396A0F5" w14:textId="77777777" w:rsidR="00030D7F" w:rsidRPr="00EE7A4E" w:rsidRDefault="00030D7F" w:rsidP="00030D7F">
      <w:pPr>
        <w:spacing w:line="360" w:lineRule="auto"/>
        <w:jc w:val="both"/>
        <w:rPr>
          <w:rFonts w:ascii="David" w:eastAsia="Calibri" w:hAnsi="David"/>
          <w:i/>
          <w:iCs/>
          <w:rtl/>
        </w:rPr>
      </w:pPr>
    </w:p>
    <w:p w14:paraId="54A9A740" w14:textId="77777777" w:rsidR="00030D7F" w:rsidRPr="00EE7A4E" w:rsidRDefault="00030D7F" w:rsidP="00030D7F">
      <w:pPr>
        <w:spacing w:line="360" w:lineRule="auto"/>
        <w:jc w:val="both"/>
        <w:rPr>
          <w:rFonts w:ascii="David" w:eastAsia="Calibri" w:hAnsi="David"/>
          <w:i/>
          <w:iCs/>
          <w:rtl/>
        </w:rPr>
      </w:pPr>
      <w:r w:rsidRPr="00EE7A4E">
        <w:rPr>
          <w:rFonts w:ascii="David" w:eastAsia="Calibri" w:hAnsi="David"/>
          <w:i/>
          <w:iCs/>
          <w:rtl/>
        </w:rPr>
        <w:t>דבריו של הנאשם</w:t>
      </w:r>
    </w:p>
    <w:p w14:paraId="0B8230B3" w14:textId="77777777" w:rsidR="00030D7F" w:rsidRPr="00EE7A4E" w:rsidRDefault="00030D7F" w:rsidP="00030D7F">
      <w:pPr>
        <w:spacing w:line="360" w:lineRule="auto"/>
        <w:jc w:val="both"/>
        <w:rPr>
          <w:rFonts w:ascii="David" w:eastAsia="Calibri" w:hAnsi="David"/>
          <w:i/>
          <w:iCs/>
          <w:rtl/>
        </w:rPr>
      </w:pPr>
    </w:p>
    <w:p w14:paraId="1C92EC77" w14:textId="77777777" w:rsidR="00030D7F" w:rsidRPr="00EE7A4E" w:rsidRDefault="00030D7F" w:rsidP="00030D7F">
      <w:pPr>
        <w:spacing w:line="360" w:lineRule="auto"/>
        <w:jc w:val="both"/>
        <w:rPr>
          <w:rFonts w:ascii="David" w:eastAsia="Calibri" w:hAnsi="David"/>
          <w:rtl/>
        </w:rPr>
      </w:pPr>
      <w:r w:rsidRPr="00EE7A4E">
        <w:rPr>
          <w:rFonts w:ascii="David" w:eastAsia="Calibri" w:hAnsi="David"/>
          <w:rtl/>
        </w:rPr>
        <w:t xml:space="preserve">הנאשם ציין, כי הוא מצטער על מה שקרה וציין כי מעשיו לא יישנו. </w:t>
      </w:r>
    </w:p>
    <w:p w14:paraId="4B8655DD" w14:textId="77777777" w:rsidR="00030D7F" w:rsidRPr="00EE7A4E" w:rsidRDefault="00030D7F" w:rsidP="00030D7F">
      <w:pPr>
        <w:spacing w:line="360" w:lineRule="auto"/>
        <w:jc w:val="both"/>
        <w:rPr>
          <w:rFonts w:ascii="David" w:eastAsia="Calibri" w:hAnsi="David"/>
          <w:b/>
          <w:bCs/>
          <w:u w:val="single"/>
          <w:rtl/>
        </w:rPr>
      </w:pPr>
    </w:p>
    <w:p w14:paraId="7B98E7CF" w14:textId="77777777" w:rsidR="00030D7F" w:rsidRPr="00EE7A4E" w:rsidRDefault="00030D7F" w:rsidP="00030D7F">
      <w:pPr>
        <w:spacing w:line="360" w:lineRule="auto"/>
        <w:jc w:val="both"/>
        <w:rPr>
          <w:rFonts w:ascii="David" w:eastAsia="Calibri" w:hAnsi="David"/>
          <w:b/>
          <w:bCs/>
          <w:u w:val="single"/>
          <w:rtl/>
        </w:rPr>
      </w:pPr>
      <w:r w:rsidRPr="00EE7A4E">
        <w:rPr>
          <w:rFonts w:ascii="David" w:eastAsia="Calibri" w:hAnsi="David"/>
          <w:b/>
          <w:bCs/>
          <w:u w:val="single"/>
          <w:rtl/>
        </w:rPr>
        <w:t>דיון והכרעה</w:t>
      </w:r>
    </w:p>
    <w:p w14:paraId="3401D8F3" w14:textId="77777777" w:rsidR="00030D7F" w:rsidRPr="00EE7A4E" w:rsidRDefault="00030D7F" w:rsidP="00030D7F">
      <w:pPr>
        <w:spacing w:line="360" w:lineRule="auto"/>
        <w:jc w:val="both"/>
        <w:rPr>
          <w:rFonts w:ascii="David" w:eastAsia="Calibri" w:hAnsi="David"/>
          <w:b/>
          <w:bCs/>
          <w:u w:val="single"/>
          <w:rtl/>
        </w:rPr>
      </w:pPr>
    </w:p>
    <w:p w14:paraId="45ECB9B8" w14:textId="77777777" w:rsidR="00030D7F" w:rsidRPr="00EE7A4E" w:rsidRDefault="00030D7F" w:rsidP="00030D7F">
      <w:pPr>
        <w:spacing w:line="360" w:lineRule="auto"/>
        <w:jc w:val="both"/>
        <w:rPr>
          <w:rFonts w:ascii="David" w:eastAsia="Calibri" w:hAnsi="David"/>
          <w:rtl/>
        </w:rPr>
      </w:pPr>
      <w:r w:rsidRPr="00EE7A4E">
        <w:rPr>
          <w:rFonts w:ascii="David" w:eastAsia="Calibri" w:hAnsi="David"/>
          <w:rtl/>
        </w:rPr>
        <w:t xml:space="preserve">האירוע, המגולל בכתב - האישום, שבעובדותיו הודה הנאשם, </w:t>
      </w:r>
      <w:r w:rsidRPr="00EE7A4E">
        <w:rPr>
          <w:rFonts w:ascii="David" w:eastAsia="Calibri" w:hAnsi="David"/>
          <w:b/>
          <w:bCs/>
          <w:rtl/>
        </w:rPr>
        <w:t>סיוע לנשיאתו, של נשק בלתי חוקי, הובלתו,</w:t>
      </w:r>
      <w:r w:rsidRPr="00EE7A4E">
        <w:rPr>
          <w:rFonts w:ascii="David" w:eastAsia="Calibri" w:hAnsi="David"/>
          <w:rtl/>
        </w:rPr>
        <w:t xml:space="preserve"> </w:t>
      </w:r>
      <w:r w:rsidRPr="00EE7A4E">
        <w:rPr>
          <w:rFonts w:ascii="David" w:eastAsia="Calibri" w:hAnsi="David"/>
          <w:b/>
          <w:bCs/>
          <w:rtl/>
        </w:rPr>
        <w:t xml:space="preserve">וסיוע לביצוע ירי </w:t>
      </w:r>
      <w:r w:rsidRPr="00EE7A4E">
        <w:rPr>
          <w:rFonts w:ascii="David" w:eastAsia="Calibri" w:hAnsi="David"/>
          <w:rtl/>
        </w:rPr>
        <w:t xml:space="preserve">מחייב תגובה עונשית הולמת. מדינה ריבונית ומתוקנת איננה יכולה לקבל תופעה שבמסגרתה מבוצע ירי בנשק שנישא שלא כדין, לעבר מקום ציבורי.  </w:t>
      </w:r>
    </w:p>
    <w:p w14:paraId="259DA0B6" w14:textId="77777777" w:rsidR="00030D7F" w:rsidRPr="00EE7A4E" w:rsidRDefault="00030D7F" w:rsidP="00030D7F">
      <w:pPr>
        <w:spacing w:line="360" w:lineRule="auto"/>
        <w:jc w:val="both"/>
        <w:rPr>
          <w:rFonts w:ascii="David" w:eastAsia="Calibri" w:hAnsi="David"/>
          <w:b/>
          <w:bCs/>
          <w:u w:val="single"/>
          <w:rtl/>
        </w:rPr>
      </w:pPr>
      <w:r w:rsidRPr="00EE7A4E">
        <w:rPr>
          <w:rFonts w:ascii="David" w:eastAsia="Calibri" w:hAnsi="David"/>
          <w:rtl/>
        </w:rPr>
        <w:t xml:space="preserve">ככלל, עת נפנים לבצע את מלאכת הענישה, העיקרון המנחה שנקבע במסגרת תורת הבניית שיקול-הדעת השיפוטי, הוא עקרון ההלימה: משמע, </w:t>
      </w:r>
      <w:r w:rsidRPr="00EE7A4E">
        <w:rPr>
          <w:rFonts w:ascii="David" w:eastAsia="Calibri" w:hAnsi="David"/>
          <w:u w:val="single"/>
          <w:rtl/>
        </w:rPr>
        <w:t>שימור יחס הולם בין חומרת מעשה העבירה בנסיבותיו ומידת אשמו של הנאשם ובין סוג העונש המוטל עליו ומידתו</w:t>
      </w:r>
      <w:r w:rsidRPr="00EE7A4E">
        <w:rPr>
          <w:rFonts w:ascii="David" w:eastAsia="Calibri" w:hAnsi="David"/>
          <w:rtl/>
        </w:rPr>
        <w:t xml:space="preserve">. על מנת לשמר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או של הגנה על הציבור, ייקבע העונש המתאים לנאשם בשים לב לנסיבותיו האישיות ולנתונים נוספים, הללו שאינם קשורים בביצוע העבירה. </w:t>
      </w:r>
    </w:p>
    <w:p w14:paraId="2B2B29EE" w14:textId="77777777" w:rsidR="00030D7F" w:rsidRPr="00EE7A4E" w:rsidRDefault="00030D7F" w:rsidP="00030D7F">
      <w:pPr>
        <w:spacing w:line="360" w:lineRule="auto"/>
        <w:jc w:val="both"/>
        <w:rPr>
          <w:rFonts w:ascii="David" w:eastAsia="Calibri" w:hAnsi="David"/>
          <w:b/>
          <w:bCs/>
          <w:u w:val="single"/>
          <w:rtl/>
        </w:rPr>
      </w:pPr>
    </w:p>
    <w:p w14:paraId="31F451B3" w14:textId="77777777" w:rsidR="00030D7F" w:rsidRPr="00EE7A4E" w:rsidRDefault="00030D7F" w:rsidP="00030D7F">
      <w:pPr>
        <w:spacing w:after="160" w:line="360" w:lineRule="auto"/>
        <w:jc w:val="both"/>
        <w:rPr>
          <w:rFonts w:ascii="David" w:eastAsia="Calibri" w:hAnsi="David"/>
          <w:rtl/>
        </w:rPr>
      </w:pPr>
      <w:r w:rsidRPr="00EE7A4E">
        <w:rPr>
          <w:rFonts w:ascii="David" w:eastAsia="Calibri" w:hAnsi="David"/>
          <w:rtl/>
        </w:rPr>
        <w:t>העבירות החמורות שאותן ביצע הנאשם מהוות "</w:t>
      </w:r>
      <w:r w:rsidRPr="00EE7A4E">
        <w:rPr>
          <w:rFonts w:ascii="David" w:eastAsia="Calibri" w:hAnsi="David"/>
          <w:b/>
          <w:bCs/>
          <w:rtl/>
        </w:rPr>
        <w:t>אירוע אחד"</w:t>
      </w:r>
      <w:r w:rsidRPr="00EE7A4E">
        <w:rPr>
          <w:rFonts w:ascii="David" w:eastAsia="Calibri" w:hAnsi="David"/>
          <w:rtl/>
        </w:rPr>
        <w:t>,</w:t>
      </w:r>
      <w:r w:rsidRPr="00EE7A4E">
        <w:rPr>
          <w:rFonts w:ascii="David" w:eastAsia="Calibri" w:hAnsi="David"/>
          <w:b/>
          <w:bCs/>
          <w:rtl/>
        </w:rPr>
        <w:t xml:space="preserve"> </w:t>
      </w:r>
      <w:r w:rsidRPr="00EE7A4E">
        <w:rPr>
          <w:rFonts w:ascii="David" w:eastAsia="Calibri" w:hAnsi="David"/>
          <w:rtl/>
        </w:rPr>
        <w:t xml:space="preserve">שכן בהחלט קיים בין אלה קשר הדוק - העבירות התרחשו כחלק בלתי נפרד מסיוע כולל לאחר (המבצע העיקרי) -  לירות אל עבר בית הקפה ולשאת את האקדח (ראו לעניין זה: </w:t>
      </w:r>
      <w:hyperlink r:id="rId23" w:history="1">
        <w:r w:rsidR="00A344FA" w:rsidRPr="00A344FA">
          <w:rPr>
            <w:rFonts w:ascii="David" w:eastAsia="Calibri" w:hAnsi="David"/>
            <w:color w:val="0000FF"/>
            <w:u w:val="single"/>
            <w:rtl/>
          </w:rPr>
          <w:t>ע"פ 4910/13</w:t>
        </w:r>
      </w:hyperlink>
      <w:r w:rsidRPr="00EE7A4E">
        <w:rPr>
          <w:rFonts w:ascii="David" w:eastAsia="Calibri" w:hAnsi="David"/>
          <w:rtl/>
        </w:rPr>
        <w:t xml:space="preserve"> </w:t>
      </w:r>
      <w:r w:rsidRPr="00EE7A4E">
        <w:rPr>
          <w:rFonts w:ascii="David" w:eastAsia="Calibri" w:hAnsi="David"/>
          <w:b/>
          <w:bCs/>
          <w:rtl/>
        </w:rPr>
        <w:t>ג'אבר נ' מדינת ישראל</w:t>
      </w:r>
      <w:r w:rsidRPr="00EE7A4E">
        <w:rPr>
          <w:rFonts w:ascii="David" w:eastAsia="Calibri" w:hAnsi="David"/>
          <w:rtl/>
        </w:rPr>
        <w:t>,</w:t>
      </w:r>
      <w:r w:rsidRPr="00EE7A4E">
        <w:rPr>
          <w:rFonts w:ascii="David" w:eastAsia="Calibri" w:hAnsi="David"/>
          <w:b/>
          <w:bCs/>
          <w:rtl/>
        </w:rPr>
        <w:t xml:space="preserve"> </w:t>
      </w:r>
      <w:r w:rsidRPr="00EE7A4E">
        <w:rPr>
          <w:rFonts w:ascii="David" w:eastAsia="Calibri" w:hAnsi="David"/>
          <w:rtl/>
        </w:rPr>
        <w:t xml:space="preserve">מפי כב' השופטת ברק-ארז (ניתן ביום 29.10.14); </w:t>
      </w:r>
      <w:hyperlink r:id="rId24" w:history="1">
        <w:r w:rsidR="00A344FA" w:rsidRPr="00A344FA">
          <w:rPr>
            <w:rFonts w:ascii="David" w:eastAsia="Calibri" w:hAnsi="David"/>
            <w:color w:val="0000FF"/>
            <w:u w:val="single"/>
            <w:rtl/>
          </w:rPr>
          <w:t>ע"פ 9308/12</w:t>
        </w:r>
      </w:hyperlink>
      <w:r w:rsidRPr="00EE7A4E">
        <w:rPr>
          <w:rFonts w:ascii="David" w:eastAsia="Calibri" w:hAnsi="David"/>
          <w:rtl/>
        </w:rPr>
        <w:t xml:space="preserve"> </w:t>
      </w:r>
      <w:r w:rsidRPr="00EE7A4E">
        <w:rPr>
          <w:rFonts w:ascii="David" w:eastAsia="Calibri" w:hAnsi="David"/>
          <w:b/>
          <w:bCs/>
          <w:rtl/>
        </w:rPr>
        <w:t>עיסא נ' מדינת ישראל,</w:t>
      </w:r>
      <w:r w:rsidRPr="00EE7A4E">
        <w:rPr>
          <w:rFonts w:ascii="David" w:eastAsia="Calibri" w:hAnsi="David"/>
          <w:rtl/>
        </w:rPr>
        <w:t xml:space="preserve"> (ניתן ביום 30.7.15). משכך, ייקבע מתחם עונש אחד הולם לכלל המעשים</w:t>
      </w:r>
      <w:r w:rsidRPr="00EE7A4E">
        <w:rPr>
          <w:rFonts w:ascii="Calibri" w:eastAsia="Calibri" w:hAnsi="Calibri"/>
          <w:rtl/>
        </w:rPr>
        <w:t xml:space="preserve"> (</w:t>
      </w:r>
      <w:hyperlink r:id="rId25" w:history="1">
        <w:r w:rsidR="009D0DEF" w:rsidRPr="009D0DEF">
          <w:rPr>
            <w:rStyle w:val="Hyperlink"/>
            <w:rFonts w:ascii="Calibri" w:eastAsia="Calibri" w:hAnsi="Calibri"/>
            <w:color w:val="0000FF"/>
            <w:rtl/>
          </w:rPr>
          <w:t>סעיף 40יג(א)</w:t>
        </w:r>
      </w:hyperlink>
      <w:r w:rsidRPr="00EE7A4E">
        <w:rPr>
          <w:rFonts w:ascii="Calibri" w:eastAsia="Calibri" w:hAnsi="Calibri"/>
          <w:rtl/>
        </w:rPr>
        <w:t xml:space="preserve"> לחוק).</w:t>
      </w:r>
      <w:r w:rsidRPr="00EE7A4E">
        <w:rPr>
          <w:rFonts w:ascii="David" w:eastAsia="Calibri" w:hAnsi="David"/>
          <w:rtl/>
        </w:rPr>
        <w:t xml:space="preserve"> ויודגש, על אף קביעה זאת, </w:t>
      </w:r>
      <w:r w:rsidRPr="00EE7A4E">
        <w:rPr>
          <w:rFonts w:ascii="Calibri" w:eastAsia="Calibri" w:hAnsi="Calibri"/>
          <w:rtl/>
        </w:rPr>
        <w:t xml:space="preserve">יישמר בגזירת העונש יחס הולם בין חומרת </w:t>
      </w:r>
      <w:r w:rsidRPr="00EE7A4E">
        <w:rPr>
          <w:rFonts w:ascii="Calibri" w:eastAsia="Calibri" w:hAnsi="Calibri"/>
          <w:u w:val="single"/>
          <w:rtl/>
        </w:rPr>
        <w:t>מכלול המעשים</w:t>
      </w:r>
      <w:r w:rsidRPr="00EE7A4E">
        <w:rPr>
          <w:rFonts w:ascii="Calibri" w:eastAsia="Calibri" w:hAnsi="Calibri"/>
          <w:rtl/>
        </w:rPr>
        <w:t xml:space="preserve"> ומידת אשמו של הנאשם לבין תקופת המאסר שאותה יהא עליו לרצות (</w:t>
      </w:r>
      <w:hyperlink r:id="rId26" w:history="1">
        <w:r w:rsidR="009D0DEF" w:rsidRPr="009D0DEF">
          <w:rPr>
            <w:rStyle w:val="Hyperlink"/>
            <w:rFonts w:ascii="Calibri" w:eastAsia="Calibri" w:hAnsi="Calibri"/>
            <w:color w:val="0000FF"/>
            <w:rtl/>
          </w:rPr>
          <w:t>סעיף 40יג(ג)</w:t>
        </w:r>
      </w:hyperlink>
      <w:r w:rsidRPr="00EE7A4E">
        <w:rPr>
          <w:rFonts w:ascii="Calibri" w:eastAsia="Calibri" w:hAnsi="Calibri"/>
          <w:rtl/>
        </w:rPr>
        <w:t xml:space="preserve"> לחוק). </w:t>
      </w:r>
    </w:p>
    <w:p w14:paraId="04EF0963" w14:textId="77777777" w:rsidR="00030D7F" w:rsidRPr="00EE7A4E" w:rsidRDefault="00030D7F" w:rsidP="00030D7F">
      <w:pPr>
        <w:spacing w:after="160" w:line="360" w:lineRule="auto"/>
        <w:jc w:val="both"/>
        <w:rPr>
          <w:rFonts w:ascii="David" w:eastAsia="Calibri" w:hAnsi="David"/>
          <w:rtl/>
        </w:rPr>
      </w:pPr>
      <w:r w:rsidRPr="00EE7A4E">
        <w:rPr>
          <w:rFonts w:ascii="David" w:eastAsia="Calibri" w:hAnsi="David"/>
          <w:rtl/>
        </w:rPr>
        <w:t xml:space="preserve">בכל הנוגע לערכים החברתיים המוגנים שנפגעו כפועל יוצא ממעשיו של נאשם, הרי שהדברים מובנים מאליהם. המסייע להוביל נשק בלא רשות על פי דין והמסייע לעשות בו שימוש פוגע בראש ובראשונה </w:t>
      </w:r>
      <w:r w:rsidRPr="00EE7A4E">
        <w:rPr>
          <w:rFonts w:ascii="David" w:eastAsia="Calibri" w:hAnsi="David"/>
          <w:b/>
          <w:bCs/>
          <w:rtl/>
        </w:rPr>
        <w:t>בביטחון המדינה ובמנגנוני שלטונה</w:t>
      </w:r>
      <w:r w:rsidRPr="00EE7A4E">
        <w:rPr>
          <w:rFonts w:ascii="David" w:eastAsia="Calibri" w:hAnsi="David"/>
          <w:rtl/>
        </w:rPr>
        <w:t>;</w:t>
      </w:r>
      <w:r w:rsidRPr="00EE7A4E">
        <w:rPr>
          <w:rFonts w:ascii="David" w:eastAsia="Calibri" w:hAnsi="David"/>
        </w:rPr>
        <w:t xml:space="preserve"> </w:t>
      </w:r>
      <w:r w:rsidRPr="00EE7A4E">
        <w:rPr>
          <w:rFonts w:ascii="David" w:eastAsia="Calibri" w:hAnsi="David"/>
          <w:b/>
          <w:bCs/>
          <w:rtl/>
        </w:rPr>
        <w:t>בשלום הציבור ובסדר הציבורי</w:t>
      </w:r>
      <w:r w:rsidRPr="00EE7A4E">
        <w:rPr>
          <w:rFonts w:ascii="David" w:eastAsia="Calibri" w:hAnsi="David"/>
          <w:rtl/>
        </w:rPr>
        <w:t xml:space="preserve">. הוא פוגע בביטחון הציבור </w:t>
      </w:r>
      <w:r w:rsidRPr="00EE7A4E">
        <w:rPr>
          <w:rFonts w:ascii="David" w:eastAsia="Calibri" w:hAnsi="David"/>
          <w:b/>
          <w:bCs/>
          <w:rtl/>
        </w:rPr>
        <w:t>וחושף אותו לאירועי טרור עוין כמו גם פלילי המבוצעים באמצעות נשק</w:t>
      </w:r>
      <w:r w:rsidRPr="00EE7A4E">
        <w:rPr>
          <w:rFonts w:ascii="David" w:eastAsia="Calibri" w:hAnsi="David"/>
          <w:rtl/>
        </w:rPr>
        <w:t xml:space="preserve"> </w:t>
      </w:r>
      <w:r w:rsidRPr="00EE7A4E">
        <w:rPr>
          <w:rFonts w:ascii="David" w:eastAsia="Calibri" w:hAnsi="David"/>
          <w:b/>
          <w:bCs/>
          <w:rtl/>
        </w:rPr>
        <w:t>המושג שלא כחוק.</w:t>
      </w:r>
      <w:r w:rsidRPr="00EE7A4E">
        <w:rPr>
          <w:rFonts w:ascii="David" w:eastAsia="Calibri" w:hAnsi="David"/>
          <w:rtl/>
        </w:rPr>
        <w:t xml:space="preserve"> הפגיעה בערכים אלו במקרה זה </w:t>
      </w:r>
      <w:r w:rsidRPr="00EE7A4E">
        <w:rPr>
          <w:rFonts w:ascii="David" w:eastAsia="Calibri" w:hAnsi="David"/>
          <w:b/>
          <w:bCs/>
          <w:rtl/>
        </w:rPr>
        <w:t xml:space="preserve">היא ממשית, </w:t>
      </w:r>
      <w:r w:rsidRPr="00EE7A4E">
        <w:rPr>
          <w:rFonts w:ascii="David" w:eastAsia="Calibri" w:hAnsi="David"/>
          <w:rtl/>
        </w:rPr>
        <w:t xml:space="preserve">אם כי ברי כי זו פחותה מעניינו של מי שמבצע עבירות אלו כמבצעם הישיר. </w:t>
      </w:r>
    </w:p>
    <w:p w14:paraId="6147C7C5" w14:textId="77777777" w:rsidR="00030D7F" w:rsidRPr="00EE7A4E" w:rsidRDefault="00030D7F" w:rsidP="00030D7F">
      <w:pPr>
        <w:overflowPunct w:val="0"/>
        <w:autoSpaceDE w:val="0"/>
        <w:autoSpaceDN w:val="0"/>
        <w:spacing w:line="360" w:lineRule="auto"/>
        <w:jc w:val="both"/>
        <w:rPr>
          <w:rtl/>
        </w:rPr>
      </w:pPr>
      <w:r w:rsidRPr="00EE7A4E">
        <w:rPr>
          <w:rtl/>
        </w:rPr>
        <w:t xml:space="preserve">מתאימים לעניין זה הדברים שנכתבו במסגרתו של </w:t>
      </w:r>
      <w:hyperlink r:id="rId27" w:history="1">
        <w:r w:rsidR="00A344FA" w:rsidRPr="00A344FA">
          <w:rPr>
            <w:color w:val="0000FF"/>
            <w:u w:val="single"/>
            <w:rtl/>
          </w:rPr>
          <w:t>ע"פ 5522/20</w:t>
        </w:r>
      </w:hyperlink>
      <w:r w:rsidRPr="00EE7A4E">
        <w:rPr>
          <w:rtl/>
        </w:rPr>
        <w:t xml:space="preserve"> </w:t>
      </w:r>
      <w:r w:rsidRPr="00EE7A4E">
        <w:rPr>
          <w:b/>
          <w:bCs/>
          <w:rtl/>
        </w:rPr>
        <w:t>חלייחל נ' מדינת ישראל</w:t>
      </w:r>
      <w:r w:rsidRPr="00EE7A4E">
        <w:rPr>
          <w:rtl/>
        </w:rPr>
        <w:t xml:space="preserve"> (ניתן ביום 24.2.21)  והנוגעים לעבירות שעניינן נשיאה או הובלה של כלי נשק, ולפיהם - </w:t>
      </w:r>
    </w:p>
    <w:p w14:paraId="19C7C23C" w14:textId="77777777" w:rsidR="00030D7F" w:rsidRPr="00EE7A4E" w:rsidRDefault="00030D7F" w:rsidP="00030D7F">
      <w:pPr>
        <w:overflowPunct w:val="0"/>
        <w:autoSpaceDE w:val="0"/>
        <w:autoSpaceDN w:val="0"/>
        <w:spacing w:line="360" w:lineRule="auto"/>
        <w:jc w:val="both"/>
        <w:rPr>
          <w:rtl/>
        </w:rPr>
      </w:pPr>
    </w:p>
    <w:p w14:paraId="1F734054" w14:textId="77777777" w:rsidR="00030D7F" w:rsidRPr="00EE7A4E" w:rsidRDefault="00030D7F" w:rsidP="00030D7F">
      <w:pPr>
        <w:spacing w:after="160" w:line="276" w:lineRule="auto"/>
        <w:ind w:left="935" w:right="851"/>
        <w:jc w:val="both"/>
        <w:rPr>
          <w:rFonts w:ascii="David" w:eastAsia="Calibri" w:hAnsi="David"/>
          <w:rtl/>
        </w:rPr>
      </w:pPr>
      <w:r w:rsidRPr="00EE7A4E">
        <w:rPr>
          <w:rFonts w:ascii="David" w:eastAsia="Calibri" w:hAnsi="David"/>
          <w:sz w:val="22"/>
          <w:rtl/>
        </w:rPr>
        <w:t xml:space="preserve"> "</w:t>
      </w:r>
      <w:r w:rsidRPr="00EE7A4E">
        <w:rPr>
          <w:rFonts w:ascii="Calibri Light" w:eastAsia="Calibri" w:hAnsi="Calibri Light" w:cs="Times New Roman"/>
          <w:sz w:val="22"/>
          <w:rtl/>
        </w:rPr>
        <w:t xml:space="preserve">סעיף </w:t>
      </w:r>
      <w:r w:rsidRPr="00EE7A4E">
        <w:rPr>
          <w:rFonts w:ascii="Calibri Light" w:eastAsia="Calibri" w:hAnsi="Calibri Light" w:cs="Calibri Light"/>
          <w:sz w:val="22"/>
          <w:rtl/>
        </w:rPr>
        <w:t>144(</w:t>
      </w:r>
      <w:r w:rsidRPr="00EE7A4E">
        <w:rPr>
          <w:rFonts w:ascii="Calibri Light" w:eastAsia="Calibri" w:hAnsi="Calibri Light" w:cs="Times New Roman"/>
          <w:sz w:val="22"/>
          <w:rtl/>
        </w:rPr>
        <w:t>ב</w:t>
      </w:r>
      <w:r w:rsidRPr="00EE7A4E">
        <w:rPr>
          <w:rFonts w:ascii="Calibri Light" w:eastAsia="Calibri" w:hAnsi="Calibri Light" w:cs="Calibri Light"/>
          <w:sz w:val="22"/>
          <w:rtl/>
        </w:rPr>
        <w:t xml:space="preserve">) </w:t>
      </w:r>
      <w:r w:rsidRPr="00EE7A4E">
        <w:rPr>
          <w:rFonts w:ascii="Calibri Light" w:eastAsia="Calibri" w:hAnsi="Calibri Light" w:cs="Times New Roman"/>
          <w:sz w:val="22"/>
          <w:rtl/>
        </w:rPr>
        <w:t>ל</w:t>
      </w:r>
      <w:hyperlink r:id="rId28" w:history="1">
        <w:r w:rsidR="00A344FA" w:rsidRPr="00A344FA">
          <w:rPr>
            <w:rFonts w:ascii="Calibri Light" w:eastAsia="Calibri" w:hAnsi="Calibri Light" w:cs="Times New Roman" w:hint="cs"/>
            <w:color w:val="0000FF"/>
            <w:sz w:val="22"/>
            <w:u w:val="single"/>
            <w:rtl/>
          </w:rPr>
          <w:t>חוק</w:t>
        </w:r>
        <w:r w:rsidR="00A344FA" w:rsidRPr="00A344FA">
          <w:rPr>
            <w:rFonts w:ascii="Calibri Light" w:eastAsia="Calibri" w:hAnsi="Calibri Light" w:cs="Times New Roman"/>
            <w:color w:val="0000FF"/>
            <w:sz w:val="22"/>
            <w:u w:val="single"/>
            <w:rtl/>
          </w:rPr>
          <w:t xml:space="preserve"> </w:t>
        </w:r>
        <w:r w:rsidR="00A344FA" w:rsidRPr="00A344FA">
          <w:rPr>
            <w:rFonts w:ascii="Calibri Light" w:eastAsia="Calibri" w:hAnsi="Calibri Light" w:cs="Times New Roman" w:hint="cs"/>
            <w:color w:val="0000FF"/>
            <w:sz w:val="22"/>
            <w:u w:val="single"/>
            <w:rtl/>
          </w:rPr>
          <w:t>העונשין</w:t>
        </w:r>
      </w:hyperlink>
      <w:r w:rsidRPr="00EE7A4E">
        <w:rPr>
          <w:rFonts w:ascii="Calibri Light" w:eastAsia="Calibri" w:hAnsi="Calibri Light" w:cs="Times New Roman"/>
          <w:sz w:val="22"/>
          <w:rtl/>
        </w:rPr>
        <w:t xml:space="preserve"> אוסר על נשיאה או הובלה של כלי</w:t>
      </w:r>
      <w:r w:rsidRPr="00EE7A4E">
        <w:rPr>
          <w:rFonts w:ascii="Calibri Light" w:eastAsia="Calibri" w:hAnsi="Calibri Light" w:cs="Calibri Light"/>
          <w:sz w:val="22"/>
          <w:rtl/>
        </w:rPr>
        <w:t>-</w:t>
      </w:r>
      <w:r w:rsidRPr="00EE7A4E">
        <w:rPr>
          <w:rFonts w:ascii="Calibri Light" w:eastAsia="Calibri" w:hAnsi="Calibri Light" w:cs="Times New Roman"/>
          <w:sz w:val="22"/>
          <w:rtl/>
        </w:rPr>
        <w:t>נשק</w:t>
      </w:r>
      <w:r w:rsidRPr="00EE7A4E">
        <w:rPr>
          <w:rFonts w:ascii="Calibri Light" w:eastAsia="Calibri" w:hAnsi="Calibri Light" w:cs="Calibri Light"/>
          <w:sz w:val="22"/>
          <w:rtl/>
        </w:rPr>
        <w:t xml:space="preserve">, </w:t>
      </w:r>
      <w:r w:rsidRPr="00EE7A4E">
        <w:rPr>
          <w:rFonts w:ascii="Calibri Light" w:eastAsia="Calibri" w:hAnsi="Calibri Light" w:cs="Calibri Light"/>
          <w:b/>
          <w:sz w:val="22"/>
          <w:rtl/>
        </w:rPr>
        <w:t>"</w:t>
      </w:r>
      <w:r w:rsidRPr="00EE7A4E">
        <w:rPr>
          <w:rFonts w:ascii="Calibri Light" w:eastAsia="Calibri" w:hAnsi="Calibri Light" w:cs="Times New Roman"/>
          <w:b/>
          <w:sz w:val="22"/>
          <w:rtl/>
        </w:rPr>
        <w:t>בלא רשות על פי דין</w:t>
      </w:r>
      <w:r w:rsidRPr="00EE7A4E">
        <w:rPr>
          <w:rFonts w:ascii="Calibri Light" w:eastAsia="Calibri" w:hAnsi="Calibri Light" w:cs="Calibri Light"/>
          <w:b/>
          <w:sz w:val="22"/>
          <w:rtl/>
        </w:rPr>
        <w:t>"</w:t>
      </w:r>
      <w:r w:rsidRPr="00EE7A4E">
        <w:rPr>
          <w:rFonts w:ascii="Calibri Light" w:eastAsia="Calibri" w:hAnsi="Calibri Light" w:cs="Calibri Light"/>
          <w:sz w:val="22"/>
          <w:rtl/>
        </w:rPr>
        <w:t xml:space="preserve">. </w:t>
      </w:r>
      <w:r w:rsidRPr="00EE7A4E">
        <w:rPr>
          <w:rFonts w:ascii="Calibri Light" w:eastAsia="Calibri" w:hAnsi="Calibri Light" w:cs="Times New Roman"/>
          <w:sz w:val="22"/>
          <w:rtl/>
        </w:rPr>
        <w:t>האיסור נועד להגן על ערך חיי האדם</w:t>
      </w:r>
      <w:r w:rsidRPr="00EE7A4E">
        <w:rPr>
          <w:rFonts w:ascii="Calibri Light" w:eastAsia="Calibri" w:hAnsi="Calibri Light" w:cs="Calibri Light"/>
          <w:sz w:val="22"/>
          <w:rtl/>
        </w:rPr>
        <w:t xml:space="preserve">, </w:t>
      </w:r>
      <w:r w:rsidRPr="00EE7A4E">
        <w:rPr>
          <w:rFonts w:ascii="Calibri Light" w:eastAsia="Calibri" w:hAnsi="Calibri Light" w:cs="Times New Roman"/>
          <w:sz w:val="22"/>
          <w:rtl/>
        </w:rPr>
        <w:t>שלמות גופו ונפשו</w:t>
      </w:r>
      <w:r w:rsidRPr="00EE7A4E">
        <w:rPr>
          <w:rFonts w:ascii="Calibri Light" w:eastAsia="Calibri" w:hAnsi="Calibri Light" w:cs="Calibri Light"/>
          <w:sz w:val="22"/>
          <w:rtl/>
        </w:rPr>
        <w:t xml:space="preserve">, </w:t>
      </w:r>
      <w:r w:rsidRPr="00EE7A4E">
        <w:rPr>
          <w:rFonts w:ascii="Calibri Light" w:eastAsia="Calibri" w:hAnsi="Calibri Light" w:cs="Times New Roman"/>
          <w:sz w:val="22"/>
          <w:rtl/>
        </w:rPr>
        <w:t>כמו גם לקדם את השמירה על הסדר הציבורי ואורח חיים תקין</w:t>
      </w:r>
      <w:r w:rsidRPr="00EE7A4E">
        <w:rPr>
          <w:rFonts w:ascii="Calibri Light" w:eastAsia="Calibri" w:hAnsi="Calibri Light" w:cs="Calibri Light"/>
          <w:sz w:val="22"/>
          <w:rtl/>
        </w:rPr>
        <w:t xml:space="preserve">, </w:t>
      </w:r>
      <w:r w:rsidRPr="00EE7A4E">
        <w:rPr>
          <w:rFonts w:ascii="Calibri Light" w:eastAsia="Calibri" w:hAnsi="Calibri Light" w:cs="Times New Roman"/>
          <w:sz w:val="22"/>
          <w:rtl/>
        </w:rPr>
        <w:t>שלו ובטוח</w:t>
      </w:r>
      <w:r w:rsidRPr="00EE7A4E">
        <w:rPr>
          <w:rFonts w:ascii="Calibri Light" w:eastAsia="Calibri" w:hAnsi="Calibri Light" w:cs="Calibri Light"/>
          <w:sz w:val="22"/>
          <w:rtl/>
        </w:rPr>
        <w:t xml:space="preserve">... </w:t>
      </w:r>
      <w:r w:rsidRPr="00EE7A4E">
        <w:rPr>
          <w:rFonts w:ascii="Calibri Light" w:eastAsia="Calibri" w:hAnsi="Calibri Light" w:cs="Times New Roman"/>
          <w:sz w:val="22"/>
          <w:rtl/>
        </w:rPr>
        <w:t>עבירה זו</w:t>
      </w:r>
      <w:r w:rsidRPr="00EE7A4E">
        <w:rPr>
          <w:rFonts w:ascii="Calibri Light" w:eastAsia="Calibri" w:hAnsi="Calibri Light" w:cs="Calibri Light"/>
          <w:sz w:val="22"/>
          <w:rtl/>
        </w:rPr>
        <w:t xml:space="preserve">, </w:t>
      </w:r>
      <w:r w:rsidRPr="00EE7A4E">
        <w:rPr>
          <w:rFonts w:ascii="Calibri Light" w:eastAsia="Calibri" w:hAnsi="Calibri Light" w:cs="Times New Roman"/>
          <w:sz w:val="22"/>
          <w:rtl/>
        </w:rPr>
        <w:t>כמו יתר עבירות הנשק</w:t>
      </w:r>
      <w:r w:rsidRPr="00EE7A4E">
        <w:rPr>
          <w:rFonts w:ascii="Calibri Light" w:eastAsia="Calibri" w:hAnsi="Calibri Light" w:cs="Calibri Light"/>
          <w:sz w:val="22"/>
          <w:rtl/>
        </w:rPr>
        <w:t xml:space="preserve">, </w:t>
      </w:r>
      <w:r w:rsidRPr="00EE7A4E">
        <w:rPr>
          <w:rFonts w:ascii="Calibri Light" w:eastAsia="Calibri" w:hAnsi="Calibri Light" w:cs="Times New Roman"/>
          <w:sz w:val="22"/>
          <w:rtl/>
        </w:rPr>
        <w:t>נועדה למנוע התנהגות מסוכנת</w:t>
      </w:r>
      <w:r w:rsidRPr="00EE7A4E">
        <w:rPr>
          <w:rFonts w:ascii="Calibri Light" w:eastAsia="Calibri" w:hAnsi="Calibri Light" w:cs="Calibri Light"/>
          <w:sz w:val="22"/>
          <w:rtl/>
        </w:rPr>
        <w:t xml:space="preserve">, </w:t>
      </w:r>
      <w:r w:rsidRPr="00EE7A4E">
        <w:rPr>
          <w:rFonts w:ascii="Calibri Light" w:eastAsia="Calibri" w:hAnsi="Calibri Light" w:cs="Times New Roman"/>
          <w:sz w:val="22"/>
          <w:rtl/>
        </w:rPr>
        <w:t>ולמזער את הפוטנציאל לגרימת נזקים חמורים</w:t>
      </w:r>
      <w:r w:rsidRPr="00EE7A4E">
        <w:rPr>
          <w:rFonts w:ascii="Calibri Light" w:eastAsia="Calibri" w:hAnsi="Calibri Light" w:cs="Calibri Light"/>
          <w:sz w:val="22"/>
          <w:rtl/>
        </w:rPr>
        <w:t xml:space="preserve">. </w:t>
      </w:r>
      <w:r w:rsidRPr="00EE7A4E">
        <w:rPr>
          <w:rFonts w:ascii="Calibri Light" w:eastAsia="Calibri" w:hAnsi="Calibri Light" w:cs="Times New Roman"/>
          <w:b/>
          <w:bCs/>
          <w:sz w:val="22"/>
          <w:rtl/>
        </w:rPr>
        <w:t>אכן</w:t>
      </w:r>
      <w:r w:rsidRPr="00EE7A4E">
        <w:rPr>
          <w:rFonts w:ascii="Calibri Light" w:eastAsia="Calibri" w:hAnsi="Calibri Light" w:cs="Calibri Light"/>
          <w:b/>
          <w:bCs/>
          <w:sz w:val="22"/>
          <w:rtl/>
        </w:rPr>
        <w:t xml:space="preserve">, </w:t>
      </w:r>
      <w:r w:rsidRPr="00EE7A4E">
        <w:rPr>
          <w:rFonts w:ascii="Calibri Light" w:eastAsia="Calibri" w:hAnsi="Calibri Light" w:cs="Times New Roman"/>
          <w:b/>
          <w:bCs/>
          <w:sz w:val="22"/>
          <w:rtl/>
        </w:rPr>
        <w:t>נשיאה והובלה של כלי</w:t>
      </w:r>
      <w:r w:rsidRPr="00EE7A4E">
        <w:rPr>
          <w:rFonts w:ascii="Calibri Light" w:eastAsia="Calibri" w:hAnsi="Calibri Light" w:cs="Calibri Light"/>
          <w:b/>
          <w:bCs/>
          <w:sz w:val="22"/>
          <w:rtl/>
        </w:rPr>
        <w:t>-</w:t>
      </w:r>
      <w:r w:rsidRPr="00EE7A4E">
        <w:rPr>
          <w:rFonts w:ascii="Calibri Light" w:eastAsia="Calibri" w:hAnsi="Calibri Light" w:cs="Times New Roman"/>
          <w:b/>
          <w:bCs/>
          <w:sz w:val="22"/>
          <w:rtl/>
        </w:rPr>
        <w:t>נשק</w:t>
      </w:r>
      <w:r w:rsidRPr="00EE7A4E">
        <w:rPr>
          <w:rFonts w:ascii="Calibri Light" w:eastAsia="Calibri" w:hAnsi="Calibri Light" w:cs="Calibri Light"/>
          <w:b/>
          <w:bCs/>
          <w:sz w:val="22"/>
          <w:rtl/>
        </w:rPr>
        <w:t xml:space="preserve">, </w:t>
      </w:r>
      <w:r w:rsidRPr="00EE7A4E">
        <w:rPr>
          <w:rFonts w:ascii="Calibri Light" w:eastAsia="Calibri" w:hAnsi="Calibri Light" w:cs="Times New Roman"/>
          <w:b/>
          <w:bCs/>
          <w:sz w:val="22"/>
          <w:rtl/>
        </w:rPr>
        <w:t>הריהי לעיתים רק הסנונית הראשונה</w:t>
      </w:r>
      <w:r w:rsidRPr="00EE7A4E">
        <w:rPr>
          <w:rFonts w:ascii="Calibri Light" w:eastAsia="Calibri" w:hAnsi="Calibri Light" w:cs="Calibri Light"/>
          <w:b/>
          <w:bCs/>
          <w:sz w:val="22"/>
          <w:rtl/>
        </w:rPr>
        <w:t xml:space="preserve">, </w:t>
      </w:r>
      <w:r w:rsidRPr="00EE7A4E">
        <w:rPr>
          <w:rFonts w:ascii="Calibri Light" w:eastAsia="Calibri" w:hAnsi="Calibri Light" w:cs="Times New Roman"/>
          <w:b/>
          <w:bCs/>
          <w:sz w:val="22"/>
          <w:rtl/>
        </w:rPr>
        <w:t>בואכה מעשים חמורים יותר</w:t>
      </w:r>
      <w:r w:rsidRPr="00EE7A4E">
        <w:rPr>
          <w:rFonts w:ascii="David" w:eastAsia="Calibri" w:hAnsi="David"/>
          <w:rtl/>
        </w:rPr>
        <w:t xml:space="preserve">..." (ההדגשה אינה במקור). </w:t>
      </w:r>
    </w:p>
    <w:p w14:paraId="2377A9C3" w14:textId="77777777" w:rsidR="00030D7F" w:rsidRPr="00EE7A4E" w:rsidRDefault="00030D7F" w:rsidP="00030D7F">
      <w:pPr>
        <w:spacing w:line="360" w:lineRule="auto"/>
        <w:ind w:right="-284"/>
        <w:jc w:val="both"/>
        <w:rPr>
          <w:rFonts w:ascii="David" w:eastAsia="Calibri" w:hAnsi="David"/>
          <w:rtl/>
        </w:rPr>
      </w:pPr>
      <w:r w:rsidRPr="00EE7A4E">
        <w:rPr>
          <w:rFonts w:ascii="Calibri" w:eastAsia="Calibri" w:hAnsi="Calibri"/>
          <w:rtl/>
        </w:rPr>
        <w:t>על מנת לשרטט כדבעי את מתחם העונש ההולם בעניינו של הנאשם עיינתי בפסיקה רחבה העוסקת בעבירות נשק (</w:t>
      </w:r>
      <w:r w:rsidRPr="00EE7A4E">
        <w:rPr>
          <w:rFonts w:ascii="Calibri" w:eastAsia="Calibri" w:hAnsi="Calibri"/>
          <w:b/>
          <w:bCs/>
          <w:rtl/>
        </w:rPr>
        <w:t>נשיאה והובלה</w:t>
      </w:r>
      <w:r w:rsidRPr="00EE7A4E">
        <w:rPr>
          <w:rFonts w:ascii="Calibri" w:eastAsia="Calibri" w:hAnsi="Calibri"/>
          <w:rtl/>
        </w:rPr>
        <w:t xml:space="preserve">) וכן </w:t>
      </w:r>
      <w:r w:rsidRPr="00EE7A4E">
        <w:rPr>
          <w:rFonts w:ascii="Calibri" w:eastAsia="Calibri" w:hAnsi="Calibri"/>
          <w:b/>
          <w:bCs/>
          <w:rtl/>
        </w:rPr>
        <w:t>בעבירות ירי מנשק חם</w:t>
      </w:r>
      <w:r w:rsidRPr="00EE7A4E">
        <w:rPr>
          <w:rFonts w:ascii="David" w:eastAsia="Calibri" w:hAnsi="David"/>
          <w:b/>
          <w:bCs/>
          <w:rtl/>
        </w:rPr>
        <w:t xml:space="preserve">, באזור מגורים, או במקום אחר שיש בירי בו כדי לסכן חיי אדם, </w:t>
      </w:r>
      <w:r w:rsidRPr="00EE7A4E">
        <w:rPr>
          <w:rFonts w:ascii="David" w:eastAsia="Calibri" w:hAnsi="David"/>
          <w:u w:val="single"/>
          <w:rtl/>
        </w:rPr>
        <w:t>תוך תשומת לב לכך שבנידון דידן הנאשם הורשע בעבירות סיוע לאלה</w:t>
      </w:r>
      <w:r w:rsidRPr="00EE7A4E">
        <w:rPr>
          <w:rFonts w:ascii="David" w:eastAsia="Calibri" w:hAnsi="David"/>
          <w:rtl/>
        </w:rPr>
        <w:t xml:space="preserve">. נמצאתי למד, כי בשנים האחרונות חלה מגמת החמרה בענישה, הבאה לידי ביטוי בפסיקת הערכאות השונות הנוגעת לעבירה אלו. </w:t>
      </w:r>
    </w:p>
    <w:p w14:paraId="40B8701D" w14:textId="77777777" w:rsidR="00030D7F" w:rsidRPr="00EE7A4E" w:rsidRDefault="00030D7F" w:rsidP="00030D7F">
      <w:pPr>
        <w:spacing w:line="360" w:lineRule="auto"/>
        <w:ind w:right="-284"/>
        <w:jc w:val="both"/>
        <w:rPr>
          <w:rFonts w:ascii="David" w:eastAsia="Calibri" w:hAnsi="David"/>
          <w:rtl/>
        </w:rPr>
      </w:pPr>
    </w:p>
    <w:p w14:paraId="7EB1CCF1" w14:textId="77777777" w:rsidR="00030D7F" w:rsidRPr="00EE7A4E" w:rsidRDefault="00030D7F" w:rsidP="00030D7F">
      <w:pPr>
        <w:spacing w:after="160" w:line="360" w:lineRule="auto"/>
        <w:ind w:right="-284"/>
        <w:jc w:val="both"/>
        <w:rPr>
          <w:rFonts w:ascii="David" w:eastAsia="Calibri" w:hAnsi="David"/>
          <w:rtl/>
        </w:rPr>
      </w:pPr>
      <w:r w:rsidRPr="00EE7A4E">
        <w:rPr>
          <w:rFonts w:ascii="David" w:eastAsia="Calibri" w:hAnsi="David"/>
          <w:rtl/>
        </w:rPr>
        <w:t xml:space="preserve">על דברים אלו יש להוסיף את עמדתו הנכוחה והבלתי מתפשרת של בית המשפט העליון, עליה חזר פעם אחר פעם בשנים האחרונות, בציינו כי נשק בלתי-חוקי, המוחזק בידיים בלתי-מוסמכות, עלול בסופו להגיע לכלל שימוש מסוכן, כפי שאכן קרה בנידון דידן. </w:t>
      </w:r>
    </w:p>
    <w:p w14:paraId="0610338A" w14:textId="77777777" w:rsidR="00030D7F" w:rsidRPr="00EE7A4E" w:rsidRDefault="00030D7F" w:rsidP="00030D7F">
      <w:pPr>
        <w:spacing w:after="160" w:line="360" w:lineRule="auto"/>
        <w:ind w:right="-284"/>
        <w:jc w:val="both"/>
        <w:rPr>
          <w:rFonts w:ascii="David" w:eastAsia="Calibri" w:hAnsi="David"/>
          <w:rtl/>
        </w:rPr>
      </w:pPr>
      <w:r w:rsidRPr="00EE7A4E">
        <w:rPr>
          <w:rFonts w:ascii="David" w:eastAsia="Calibri" w:hAnsi="David"/>
          <w:rtl/>
        </w:rPr>
        <w:t xml:space="preserve">ראו למשל הדברים שנכתבו במסגרתו של </w:t>
      </w:r>
      <w:hyperlink r:id="rId29" w:history="1">
        <w:r w:rsidR="00A344FA" w:rsidRPr="00A344FA">
          <w:rPr>
            <w:rFonts w:ascii="David" w:eastAsia="Calibri" w:hAnsi="David"/>
            <w:color w:val="0000FF"/>
            <w:u w:val="single"/>
            <w:rtl/>
          </w:rPr>
          <w:t>ע"פ 4406/19</w:t>
        </w:r>
      </w:hyperlink>
      <w:r w:rsidRPr="00EE7A4E">
        <w:rPr>
          <w:rFonts w:ascii="David" w:eastAsia="Calibri" w:hAnsi="David"/>
          <w:rtl/>
        </w:rPr>
        <w:t xml:space="preserve"> </w:t>
      </w:r>
      <w:r w:rsidRPr="00EE7A4E">
        <w:rPr>
          <w:rFonts w:ascii="David" w:eastAsia="Calibri" w:hAnsi="David"/>
          <w:b/>
          <w:bCs/>
          <w:rtl/>
        </w:rPr>
        <w:t>מדינת ישראל נ' סובח</w:t>
      </w:r>
      <w:r w:rsidRPr="00EE7A4E">
        <w:rPr>
          <w:rFonts w:ascii="David" w:eastAsia="Calibri" w:hAnsi="David"/>
          <w:rtl/>
        </w:rPr>
        <w:t xml:space="preserve">, פסקאות 17-16 (ניתן ביום 5.11.2019) ולפיהם - </w:t>
      </w:r>
    </w:p>
    <w:p w14:paraId="3695DD85" w14:textId="77777777" w:rsidR="00030D7F" w:rsidRPr="00EE7A4E" w:rsidRDefault="00030D7F" w:rsidP="00030D7F">
      <w:pPr>
        <w:spacing w:after="160" w:line="256" w:lineRule="auto"/>
        <w:ind w:left="793" w:right="851"/>
        <w:jc w:val="both"/>
        <w:rPr>
          <w:rFonts w:ascii="Miriam" w:eastAsia="Calibri" w:hAnsi="Miriam" w:cs="Miriam"/>
          <w:rtl/>
        </w:rPr>
      </w:pPr>
      <w:r w:rsidRPr="00EE7A4E">
        <w:rPr>
          <w:rFonts w:ascii="Miriam" w:eastAsia="Calibri" w:hAnsi="Miriam" w:cs="Miriam"/>
          <w:rtl/>
        </w:rPr>
        <w:t>"</w:t>
      </w:r>
      <w:r w:rsidRPr="00EE7A4E">
        <w:rPr>
          <w:rFonts w:ascii="Calibri Light" w:eastAsia="Calibri" w:hAnsi="Calibri Light" w:cs="Times New Roman"/>
          <w:rtl/>
        </w:rPr>
        <w:t>השימוש בנשק חם ככלי ליישוב סכסוכים הפך לרעה חולה</w:t>
      </w:r>
      <w:r w:rsidRPr="00EE7A4E">
        <w:rPr>
          <w:rFonts w:ascii="Calibri Light" w:eastAsia="Calibri" w:hAnsi="Calibri Light" w:cs="Calibri Light"/>
          <w:rtl/>
        </w:rPr>
        <w:t xml:space="preserve">, </w:t>
      </w:r>
      <w:r w:rsidRPr="00EE7A4E">
        <w:rPr>
          <w:rFonts w:ascii="Calibri Light" w:eastAsia="Calibri" w:hAnsi="Calibri Light" w:cs="Times New Roman"/>
          <w:rtl/>
        </w:rPr>
        <w:t>וכמעשה של יום ביומו גובה חיי אדם ולעיתים אף את חייהם של חפים מפשע אשר כל חטאם היה כי התהלכו באותה עת ברחובה של עיר</w:t>
      </w:r>
      <w:r w:rsidRPr="00EE7A4E">
        <w:rPr>
          <w:rFonts w:ascii="Calibri Light" w:eastAsia="Calibri" w:hAnsi="Calibri Light" w:cs="Calibri Light"/>
          <w:rtl/>
        </w:rPr>
        <w:t xml:space="preserve">. </w:t>
      </w:r>
      <w:r w:rsidRPr="00EE7A4E">
        <w:rPr>
          <w:rFonts w:ascii="Calibri Light" w:eastAsia="Calibri" w:hAnsi="Calibri Light" w:cs="Times New Roman"/>
          <w:rtl/>
        </w:rPr>
        <w:t xml:space="preserve">בשנים האחרונות אף חלה עליה מתמדת במספר אירועי הירי המדווחים למשטרה </w:t>
      </w:r>
      <w:r w:rsidRPr="00EE7A4E">
        <w:rPr>
          <w:rFonts w:ascii="Calibri Light" w:eastAsia="Calibri" w:hAnsi="Calibri Light" w:cs="Calibri Light"/>
          <w:rtl/>
        </w:rPr>
        <w:t>(</w:t>
      </w:r>
      <w:r w:rsidRPr="00EE7A4E">
        <w:rPr>
          <w:rFonts w:ascii="Calibri Light" w:eastAsia="Calibri" w:hAnsi="Calibri Light" w:cs="Times New Roman"/>
          <w:rtl/>
        </w:rPr>
        <w:t>ראו למשל</w:t>
      </w:r>
      <w:r w:rsidRPr="00EE7A4E">
        <w:rPr>
          <w:rFonts w:ascii="Calibri Light" w:eastAsia="Calibri" w:hAnsi="Calibri Light" w:cs="Calibri Light"/>
          <w:rtl/>
        </w:rPr>
        <w:t xml:space="preserve">: </w:t>
      </w:r>
      <w:r w:rsidRPr="00EE7A4E">
        <w:rPr>
          <w:rFonts w:ascii="Calibri Light" w:eastAsia="Calibri" w:hAnsi="Calibri Light" w:cs="Times New Roman"/>
          <w:rtl/>
        </w:rPr>
        <w:t>דו</w:t>
      </w:r>
      <w:r w:rsidRPr="00EE7A4E">
        <w:rPr>
          <w:rFonts w:ascii="Calibri Light" w:eastAsia="Calibri" w:hAnsi="Calibri Light" w:cs="Calibri Light"/>
          <w:rtl/>
        </w:rPr>
        <w:t>"</w:t>
      </w:r>
      <w:r w:rsidRPr="00EE7A4E">
        <w:rPr>
          <w:rFonts w:ascii="Calibri Light" w:eastAsia="Calibri" w:hAnsi="Calibri Light" w:cs="Times New Roman"/>
          <w:rtl/>
        </w:rPr>
        <w:t xml:space="preserve">ח מבקר המדינה התמודדות משטרת ישראל עם החזקת אמצעי לחימה לא חוקיים ואירועי ירי ביישובי החברה הערבית וביישובים מעורבים </w:t>
      </w:r>
      <w:r w:rsidRPr="00EE7A4E">
        <w:rPr>
          <w:rFonts w:ascii="Calibri Light" w:eastAsia="Calibri" w:hAnsi="Calibri Light" w:cs="Calibri Light"/>
          <w:rtl/>
        </w:rPr>
        <w:t>28 (2018)).</w:t>
      </w:r>
      <w:r w:rsidRPr="00EE7A4E">
        <w:rPr>
          <w:rFonts w:ascii="Calibri Light" w:eastAsia="Calibri" w:hAnsi="Calibri Light" w:cs="Times New Roman"/>
          <w:rtl/>
        </w:rPr>
        <w:t>על רקע המציאות אותה אנו חווים למרבה הצער מדי יום</w:t>
      </w:r>
      <w:r w:rsidRPr="00EE7A4E">
        <w:rPr>
          <w:rFonts w:ascii="Calibri Light" w:eastAsia="Calibri" w:hAnsi="Calibri Light" w:cs="Calibri Light"/>
          <w:rtl/>
        </w:rPr>
        <w:t xml:space="preserve">, </w:t>
      </w:r>
      <w:r w:rsidRPr="00EE7A4E">
        <w:rPr>
          <w:rFonts w:ascii="Calibri Light" w:eastAsia="Calibri" w:hAnsi="Calibri Light" w:cs="Times New Roman"/>
          <w:rtl/>
        </w:rPr>
        <w:t xml:space="preserve">אנו עדים לקריאה ציבורית נרגשת להגברת האכיפה כלפי עבירות נשק </w:t>
      </w:r>
      <w:r w:rsidRPr="00EE7A4E">
        <w:rPr>
          <w:rFonts w:ascii="Calibri Light" w:eastAsia="Calibri" w:hAnsi="Calibri Light" w:cs="Calibri Light"/>
          <w:rtl/>
        </w:rPr>
        <w:t xml:space="preserve">– </w:t>
      </w:r>
      <w:r w:rsidRPr="00EE7A4E">
        <w:rPr>
          <w:rFonts w:ascii="Calibri Light" w:eastAsia="Calibri" w:hAnsi="Calibri Light" w:cs="Times New Roman"/>
          <w:rtl/>
        </w:rPr>
        <w:t>ולהחמרה במדיניות הענישה הנוהגת</w:t>
      </w:r>
      <w:r w:rsidRPr="00EE7A4E">
        <w:rPr>
          <w:rFonts w:ascii="Calibri Light" w:eastAsia="Calibri" w:hAnsi="Calibri Light" w:cs="Calibri Light"/>
          <w:rtl/>
        </w:rPr>
        <w:t>.</w:t>
      </w:r>
    </w:p>
    <w:p w14:paraId="2E600D7C" w14:textId="77777777" w:rsidR="00030D7F" w:rsidRPr="00EE7A4E" w:rsidRDefault="00030D7F" w:rsidP="00030D7F">
      <w:pPr>
        <w:spacing w:after="160" w:line="256" w:lineRule="auto"/>
        <w:ind w:left="793" w:right="851"/>
        <w:jc w:val="both"/>
        <w:rPr>
          <w:rFonts w:ascii="Miriam" w:eastAsia="Calibri" w:hAnsi="Miriam" w:cs="Miriam"/>
          <w:rtl/>
        </w:rPr>
      </w:pPr>
      <w:r w:rsidRPr="00EE7A4E">
        <w:rPr>
          <w:rFonts w:ascii="Miriam" w:eastAsia="Calibri" w:hAnsi="Miriam" w:cs="Miriam"/>
          <w:rtl/>
        </w:rPr>
        <w:t>[...]</w:t>
      </w:r>
    </w:p>
    <w:p w14:paraId="35F2238A" w14:textId="77777777" w:rsidR="00030D7F" w:rsidRPr="00EE7A4E" w:rsidRDefault="00030D7F" w:rsidP="00030D7F">
      <w:pPr>
        <w:spacing w:after="160" w:line="256" w:lineRule="auto"/>
        <w:ind w:left="793" w:right="851"/>
        <w:jc w:val="both"/>
        <w:rPr>
          <w:rFonts w:ascii="Calibri Light" w:eastAsia="Calibri" w:hAnsi="Calibri Light" w:cs="Calibri Light"/>
          <w:rtl/>
        </w:rPr>
      </w:pPr>
      <w:r w:rsidRPr="00EE7A4E">
        <w:rPr>
          <w:rFonts w:ascii="Calibri Light" w:eastAsia="Calibri" w:hAnsi="Calibri Light" w:cs="Times New Roman"/>
          <w:rtl/>
        </w:rPr>
        <w:t>בהתאם לכך ולנוכח ריבוי מקרי הירי</w:t>
      </w:r>
      <w:r w:rsidRPr="00EE7A4E">
        <w:rPr>
          <w:rFonts w:ascii="Calibri Light" w:eastAsia="Calibri" w:hAnsi="Calibri Light" w:cs="Calibri Light"/>
          <w:rtl/>
        </w:rPr>
        <w:t xml:space="preserve">, </w:t>
      </w:r>
      <w:r w:rsidRPr="00EE7A4E">
        <w:rPr>
          <w:rFonts w:ascii="Calibri Light" w:eastAsia="Calibri" w:hAnsi="Calibri Light" w:cs="Times New Roman"/>
          <w:rtl/>
        </w:rPr>
        <w:t>יש</w:t>
      </w:r>
      <w:r w:rsidRPr="00EE7A4E">
        <w:rPr>
          <w:rFonts w:ascii="Calibri Light" w:eastAsia="Calibri" w:hAnsi="Calibri Light" w:cs="Calibri Light"/>
          <w:b/>
          <w:bCs/>
          <w:rtl/>
        </w:rPr>
        <w:t xml:space="preserve"> </w:t>
      </w:r>
      <w:r w:rsidRPr="00EE7A4E">
        <w:rPr>
          <w:rFonts w:ascii="Calibri Light" w:eastAsia="Calibri" w:hAnsi="Calibri Light" w:cs="Times New Roman"/>
          <w:rtl/>
        </w:rPr>
        <w:t>לנקוט במדיניות ענישה מחמירה כלפי ביצוע עבירות החזקת נשק שלא כדין</w:t>
      </w:r>
      <w:r w:rsidRPr="00EE7A4E">
        <w:rPr>
          <w:rFonts w:ascii="Calibri Light" w:eastAsia="Calibri" w:hAnsi="Calibri Light" w:cs="Calibri Light"/>
          <w:rtl/>
        </w:rPr>
        <w:t xml:space="preserve">, </w:t>
      </w:r>
      <w:r w:rsidRPr="00EE7A4E">
        <w:rPr>
          <w:rFonts w:ascii="Calibri Light" w:eastAsia="Calibri" w:hAnsi="Calibri Light" w:cs="Times New Roman"/>
          <w:rtl/>
        </w:rPr>
        <w:t>ועל אחת כמה וכמה שימוש בנשק חם ופציעתם של קורבנות שונים עקב כך</w:t>
      </w:r>
      <w:r w:rsidRPr="00EE7A4E">
        <w:rPr>
          <w:rFonts w:ascii="Calibri Light" w:eastAsia="Calibri" w:hAnsi="Calibri Light" w:cs="Calibri Light"/>
          <w:rtl/>
        </w:rPr>
        <w:t xml:space="preserve">. </w:t>
      </w:r>
      <w:r w:rsidRPr="00EE7A4E">
        <w:rPr>
          <w:rFonts w:ascii="Calibri Light" w:eastAsia="Calibri" w:hAnsi="Calibri Light" w:cs="Times New Roman"/>
          <w:rtl/>
        </w:rPr>
        <w:t>הצורך במדיניות ענישה מחמירה נחוץ במיוחד כאשר השימוש בנשק גורר פגיעה בגוף ובנפש</w:t>
      </w:r>
      <w:r w:rsidRPr="00EE7A4E">
        <w:rPr>
          <w:rFonts w:ascii="Calibri Light" w:eastAsia="Calibri" w:hAnsi="Calibri Light" w:cs="Calibri Light"/>
          <w:rtl/>
        </w:rPr>
        <w:t xml:space="preserve">, </w:t>
      </w:r>
      <w:r w:rsidRPr="00EE7A4E">
        <w:rPr>
          <w:rFonts w:ascii="Calibri Light" w:eastAsia="Calibri" w:hAnsi="Calibri Light" w:cs="Times New Roman"/>
          <w:rtl/>
        </w:rPr>
        <w:t xml:space="preserve">וכאשר מבצעי העבירות אינם מוסרים את כלי הנשק לידי רשויות החוק </w:t>
      </w:r>
      <w:r w:rsidRPr="00EE7A4E">
        <w:rPr>
          <w:rFonts w:ascii="Calibri Light" w:eastAsia="Calibri" w:hAnsi="Calibri Light" w:cs="Calibri Light"/>
          <w:rtl/>
        </w:rPr>
        <w:t xml:space="preserve">– </w:t>
      </w:r>
      <w:r w:rsidRPr="00EE7A4E">
        <w:rPr>
          <w:rFonts w:ascii="Calibri Light" w:eastAsia="Calibri" w:hAnsi="Calibri Light" w:cs="Times New Roman"/>
          <w:rtl/>
        </w:rPr>
        <w:t>ובכך מוסיפים לפגוע בביטחון הציבור וקיים חשש תמידי לשימוש עברייני חוזר בנשק זה</w:t>
      </w:r>
      <w:r w:rsidRPr="00EE7A4E">
        <w:rPr>
          <w:rFonts w:ascii="Calibri Light" w:eastAsia="Calibri" w:hAnsi="Calibri Light" w:cs="Calibri Light"/>
          <w:rtl/>
        </w:rPr>
        <w:t xml:space="preserve">, </w:t>
      </w:r>
      <w:r w:rsidRPr="00EE7A4E">
        <w:rPr>
          <w:rFonts w:ascii="Calibri Light" w:eastAsia="Calibri" w:hAnsi="Calibri Light" w:cs="Times New Roman"/>
          <w:rtl/>
        </w:rPr>
        <w:t>כמו גם להגעתו של נשק זה לגורמים עויינים ובכללם גורמי טרור</w:t>
      </w:r>
      <w:r w:rsidRPr="00EE7A4E">
        <w:rPr>
          <w:rFonts w:ascii="Calibri Light" w:eastAsia="Calibri" w:hAnsi="Calibri Light" w:cs="Calibri Light"/>
          <w:rtl/>
        </w:rPr>
        <w:t xml:space="preserve">. </w:t>
      </w:r>
      <w:r w:rsidRPr="00EE7A4E">
        <w:rPr>
          <w:rFonts w:ascii="Calibri Light" w:eastAsia="Calibri" w:hAnsi="Calibri Light" w:cs="Times New Roman"/>
          <w:rtl/>
        </w:rPr>
        <w:t>נמצא אפוא כי בנסיבות דהיום</w:t>
      </w:r>
      <w:r w:rsidRPr="00EE7A4E">
        <w:rPr>
          <w:rFonts w:ascii="Calibri Light" w:eastAsia="Calibri" w:hAnsi="Calibri Light" w:cs="Calibri Light"/>
          <w:rtl/>
        </w:rPr>
        <w:t xml:space="preserve">, </w:t>
      </w:r>
      <w:r w:rsidRPr="00EE7A4E">
        <w:rPr>
          <w:rFonts w:ascii="Calibri Light" w:eastAsia="Calibri" w:hAnsi="Calibri Light" w:cs="Times New Roman"/>
          <w:rtl/>
        </w:rPr>
        <w:t>ראוי ונכון להחמיר את מדיניות הענישה הנוהגת</w:t>
      </w:r>
      <w:r w:rsidRPr="00EE7A4E">
        <w:rPr>
          <w:rFonts w:ascii="Calibri Light" w:eastAsia="Calibri" w:hAnsi="Calibri Light" w:cs="Calibri Light"/>
          <w:rtl/>
        </w:rPr>
        <w:t xml:space="preserve">, </w:t>
      </w:r>
      <w:r w:rsidRPr="00EE7A4E">
        <w:rPr>
          <w:rFonts w:ascii="Calibri Light" w:eastAsia="Calibri" w:hAnsi="Calibri Light" w:cs="Times New Roman"/>
          <w:rtl/>
        </w:rPr>
        <w:t>זאת בין היתר על מנת להרתיע עבריינים פוטנציאליים משימוש בו כאמצעי ליישוב סכסוכים</w:t>
      </w:r>
      <w:r w:rsidRPr="00EE7A4E">
        <w:rPr>
          <w:rFonts w:ascii="Calibri Light" w:eastAsia="Calibri" w:hAnsi="Calibri Light" w:cs="Calibri Light"/>
          <w:rtl/>
        </w:rPr>
        <w:t xml:space="preserve">". </w:t>
      </w:r>
    </w:p>
    <w:p w14:paraId="254A48A4" w14:textId="77777777" w:rsidR="00030D7F" w:rsidRPr="00EE7A4E" w:rsidRDefault="00030D7F" w:rsidP="00030D7F">
      <w:pPr>
        <w:spacing w:after="160" w:line="256" w:lineRule="auto"/>
        <w:ind w:left="793" w:right="851"/>
        <w:jc w:val="both"/>
        <w:rPr>
          <w:rFonts w:ascii="Calibri Light" w:eastAsia="Calibri" w:hAnsi="Calibri Light" w:cs="Calibri Light"/>
          <w:rtl/>
        </w:rPr>
      </w:pPr>
    </w:p>
    <w:p w14:paraId="2DD17773" w14:textId="77777777" w:rsidR="00030D7F" w:rsidRPr="00EE7A4E" w:rsidRDefault="00030D7F" w:rsidP="00030D7F">
      <w:pPr>
        <w:spacing w:after="160" w:line="360" w:lineRule="auto"/>
        <w:ind w:right="-426"/>
        <w:jc w:val="both"/>
        <w:rPr>
          <w:rFonts w:ascii="Calibri" w:eastAsia="Calibri" w:hAnsi="Calibri"/>
          <w:rtl/>
        </w:rPr>
      </w:pPr>
      <w:r w:rsidRPr="00EE7A4E">
        <w:rPr>
          <w:rFonts w:ascii="David" w:eastAsia="Calibri" w:hAnsi="David"/>
          <w:rtl/>
        </w:rPr>
        <w:t xml:space="preserve">למותר לציין, כי </w:t>
      </w:r>
      <w:r w:rsidRPr="00EE7A4E">
        <w:rPr>
          <w:rFonts w:ascii="Calibri" w:eastAsia="Calibri" w:hAnsi="Calibri"/>
          <w:rtl/>
        </w:rPr>
        <w:t xml:space="preserve">משקל ניכר בקביעת העונש בעבירות של נשיאת נשק יש לתלות </w:t>
      </w:r>
      <w:r w:rsidRPr="00EE7A4E">
        <w:rPr>
          <w:rFonts w:ascii="Calibri" w:eastAsia="Calibri" w:hAnsi="Calibri"/>
          <w:u w:val="single"/>
          <w:rtl/>
        </w:rPr>
        <w:t>באופי הנשק</w:t>
      </w:r>
      <w:r w:rsidRPr="00EE7A4E">
        <w:rPr>
          <w:rFonts w:ascii="Calibri" w:eastAsia="Calibri" w:hAnsi="Calibri"/>
          <w:rtl/>
        </w:rPr>
        <w:t xml:space="preserve">, </w:t>
      </w:r>
      <w:r w:rsidRPr="00EE7A4E">
        <w:rPr>
          <w:rFonts w:ascii="Calibri" w:eastAsia="Calibri" w:hAnsi="Calibri"/>
          <w:u w:val="single"/>
          <w:rtl/>
        </w:rPr>
        <w:t>במידת קטלניותו</w:t>
      </w:r>
      <w:r w:rsidRPr="00EE7A4E">
        <w:rPr>
          <w:rFonts w:ascii="Calibri" w:eastAsia="Calibri" w:hAnsi="Calibri"/>
          <w:rtl/>
        </w:rPr>
        <w:t xml:space="preserve">, בכמות הנשקים המוחזקים, </w:t>
      </w:r>
      <w:r w:rsidRPr="00EE7A4E">
        <w:rPr>
          <w:rFonts w:ascii="Calibri" w:eastAsia="Calibri" w:hAnsi="Calibri"/>
          <w:u w:val="single"/>
          <w:rtl/>
        </w:rPr>
        <w:t>בתחמושת שנתפסה לצדו</w:t>
      </w:r>
      <w:r w:rsidRPr="00EE7A4E">
        <w:rPr>
          <w:rFonts w:ascii="Calibri" w:eastAsia="Calibri" w:hAnsi="Calibri"/>
          <w:rtl/>
        </w:rPr>
        <w:t xml:space="preserve"> וכיוצ"ב. למעשה, "</w:t>
      </w:r>
      <w:r w:rsidRPr="00EE7A4E">
        <w:rPr>
          <w:rFonts w:ascii="Calibri Light" w:eastAsia="Calibri" w:hAnsi="Calibri Light" w:cs="Times New Roman"/>
          <w:rtl/>
        </w:rPr>
        <w:t>כבכל עבירה</w:t>
      </w:r>
      <w:r w:rsidRPr="00EE7A4E">
        <w:rPr>
          <w:rFonts w:ascii="Calibri Light" w:eastAsia="Calibri" w:hAnsi="Calibri Light" w:cs="Calibri Light"/>
          <w:rtl/>
        </w:rPr>
        <w:t xml:space="preserve">, </w:t>
      </w:r>
      <w:r w:rsidRPr="00EE7A4E">
        <w:rPr>
          <w:rFonts w:ascii="Calibri Light" w:eastAsia="Calibri" w:hAnsi="Calibri Light" w:cs="Times New Roman"/>
          <w:rtl/>
        </w:rPr>
        <w:t>גם בעבירות נשק קיים מדרג של חומרה</w:t>
      </w:r>
      <w:r w:rsidRPr="00EE7A4E">
        <w:rPr>
          <w:rFonts w:ascii="Calibri Light" w:eastAsia="Calibri" w:hAnsi="Calibri Light" w:cs="Calibri Light"/>
          <w:rtl/>
        </w:rPr>
        <w:t xml:space="preserve">, </w:t>
      </w:r>
      <w:r w:rsidRPr="00EE7A4E">
        <w:rPr>
          <w:rFonts w:ascii="Calibri Light" w:eastAsia="Calibri" w:hAnsi="Calibri Light" w:cs="Times New Roman"/>
          <w:rtl/>
        </w:rPr>
        <w:t>ושומה על בית המשפט להביאו בחשבון בבואו לקבוע את מתחם העונש ההולם</w:t>
      </w:r>
      <w:r w:rsidRPr="00EE7A4E">
        <w:rPr>
          <w:rFonts w:ascii="Calibri" w:eastAsia="Calibri" w:hAnsi="Calibri" w:cs="Miriam"/>
          <w:rtl/>
        </w:rPr>
        <w:t>"</w:t>
      </w:r>
      <w:r w:rsidRPr="00EE7A4E">
        <w:rPr>
          <w:rFonts w:ascii="David" w:eastAsia="Calibri" w:hAnsi="David"/>
          <w:rtl/>
        </w:rPr>
        <w:t>(</w:t>
      </w:r>
      <w:hyperlink r:id="rId30" w:history="1">
        <w:r w:rsidR="00A344FA" w:rsidRPr="00A344FA">
          <w:rPr>
            <w:rFonts w:ascii="Calibri" w:eastAsia="Calibri" w:hAnsi="Calibri" w:hint="cs"/>
            <w:color w:val="0000FF"/>
            <w:u w:val="single"/>
            <w:rtl/>
          </w:rPr>
          <w:t>ע</w:t>
        </w:r>
        <w:r w:rsidR="00A344FA" w:rsidRPr="00A344FA">
          <w:rPr>
            <w:rFonts w:ascii="Calibri" w:eastAsia="Calibri" w:hAnsi="Calibri"/>
            <w:color w:val="0000FF"/>
            <w:u w:val="single"/>
            <w:rtl/>
          </w:rPr>
          <w:t>"</w:t>
        </w:r>
        <w:r w:rsidR="00A344FA" w:rsidRPr="00A344FA">
          <w:rPr>
            <w:rFonts w:ascii="Calibri" w:eastAsia="Calibri" w:hAnsi="Calibri" w:hint="cs"/>
            <w:color w:val="0000FF"/>
            <w:u w:val="single"/>
            <w:rtl/>
          </w:rPr>
          <w:t>פ</w:t>
        </w:r>
        <w:r w:rsidR="00A344FA" w:rsidRPr="00A344FA">
          <w:rPr>
            <w:rFonts w:ascii="Calibri" w:eastAsia="Calibri" w:hAnsi="Calibri"/>
            <w:color w:val="0000FF"/>
            <w:u w:val="single"/>
            <w:rtl/>
          </w:rPr>
          <w:t xml:space="preserve"> 9702/16</w:t>
        </w:r>
      </w:hyperlink>
      <w:r w:rsidRPr="00EE7A4E">
        <w:rPr>
          <w:rFonts w:ascii="Calibri" w:eastAsia="Calibri" w:hAnsi="Calibri"/>
          <w:rtl/>
        </w:rPr>
        <w:t xml:space="preserve"> </w:t>
      </w:r>
      <w:r w:rsidRPr="00EE7A4E">
        <w:rPr>
          <w:rFonts w:ascii="Calibri" w:eastAsia="Calibri" w:hAnsi="Calibri"/>
          <w:b/>
          <w:bCs/>
          <w:rtl/>
        </w:rPr>
        <w:t>אלוליאיה נ' מדינת ישראל</w:t>
      </w:r>
      <w:r w:rsidRPr="00EE7A4E">
        <w:rPr>
          <w:rFonts w:ascii="Calibri" w:eastAsia="Calibri" w:hAnsi="Calibri"/>
          <w:rtl/>
        </w:rPr>
        <w:t xml:space="preserve">, פסקה 8, ניתן ביום 13.9.17) (ראו בנוסף לעניין זה: </w:t>
      </w:r>
      <w:hyperlink r:id="rId31" w:history="1">
        <w:r w:rsidR="00A344FA" w:rsidRPr="00A344FA">
          <w:rPr>
            <w:rFonts w:ascii="Calibri" w:eastAsia="Calibri" w:hAnsi="Calibri" w:hint="cs"/>
            <w:color w:val="0000FF"/>
            <w:u w:val="single"/>
            <w:rtl/>
          </w:rPr>
          <w:t>ע</w:t>
        </w:r>
        <w:r w:rsidR="00A344FA" w:rsidRPr="00A344FA">
          <w:rPr>
            <w:rFonts w:ascii="Calibri" w:eastAsia="Calibri" w:hAnsi="Calibri"/>
            <w:color w:val="0000FF"/>
            <w:u w:val="single"/>
            <w:rtl/>
          </w:rPr>
          <w:t>"</w:t>
        </w:r>
        <w:r w:rsidR="00A344FA" w:rsidRPr="00A344FA">
          <w:rPr>
            <w:rFonts w:ascii="Calibri" w:eastAsia="Calibri" w:hAnsi="Calibri" w:hint="cs"/>
            <w:color w:val="0000FF"/>
            <w:u w:val="single"/>
            <w:rtl/>
          </w:rPr>
          <w:t>פ</w:t>
        </w:r>
        <w:r w:rsidR="00A344FA" w:rsidRPr="00A344FA">
          <w:rPr>
            <w:rFonts w:ascii="Calibri" w:eastAsia="Calibri" w:hAnsi="Calibri"/>
            <w:color w:val="0000FF"/>
            <w:u w:val="single"/>
            <w:rtl/>
          </w:rPr>
          <w:t xml:space="preserve">  4059/17</w:t>
        </w:r>
      </w:hyperlink>
      <w:r w:rsidRPr="00EE7A4E">
        <w:rPr>
          <w:rFonts w:ascii="Calibri" w:eastAsia="Calibri" w:hAnsi="Calibri"/>
          <w:rtl/>
        </w:rPr>
        <w:t xml:space="preserve"> </w:t>
      </w:r>
      <w:r w:rsidRPr="00EE7A4E">
        <w:rPr>
          <w:rFonts w:ascii="Calibri" w:eastAsia="Calibri" w:hAnsi="Calibri"/>
          <w:b/>
          <w:bCs/>
          <w:rtl/>
        </w:rPr>
        <w:t>סלמה נ' מדינת ישראל</w:t>
      </w:r>
      <w:r w:rsidRPr="00EE7A4E">
        <w:rPr>
          <w:rFonts w:ascii="Calibri" w:eastAsia="Calibri" w:hAnsi="Calibri"/>
          <w:rtl/>
        </w:rPr>
        <w:t>, פסקה 5,  ניתן ביום 24.4.18)</w:t>
      </w:r>
      <w:r w:rsidRPr="00EE7A4E">
        <w:rPr>
          <w:rFonts w:ascii="Calibri" w:eastAsia="Calibri" w:hAnsi="Calibri" w:cs="Miriam"/>
          <w:rtl/>
        </w:rPr>
        <w:t xml:space="preserve">.  </w:t>
      </w:r>
      <w:r w:rsidRPr="00EE7A4E">
        <w:rPr>
          <w:rFonts w:ascii="Calibri" w:eastAsia="Calibri" w:hAnsi="Calibri"/>
          <w:rtl/>
        </w:rPr>
        <w:t xml:space="preserve">  </w:t>
      </w:r>
    </w:p>
    <w:p w14:paraId="57E02F46" w14:textId="77777777" w:rsidR="00030D7F" w:rsidRPr="00EE7A4E" w:rsidRDefault="00030D7F" w:rsidP="00030D7F">
      <w:pPr>
        <w:spacing w:line="360" w:lineRule="auto"/>
        <w:ind w:right="-284"/>
        <w:jc w:val="both"/>
        <w:rPr>
          <w:rFonts w:ascii="David" w:eastAsia="Calibri" w:hAnsi="David"/>
          <w:b/>
          <w:bCs/>
          <w:u w:val="single"/>
          <w:rtl/>
        </w:rPr>
      </w:pPr>
    </w:p>
    <w:p w14:paraId="4E82689F" w14:textId="77777777" w:rsidR="00030D7F" w:rsidRPr="00EE7A4E" w:rsidRDefault="00030D7F" w:rsidP="00030D7F">
      <w:pPr>
        <w:spacing w:after="160" w:line="360" w:lineRule="auto"/>
        <w:ind w:right="-284"/>
        <w:jc w:val="both"/>
        <w:rPr>
          <w:rFonts w:ascii="David" w:eastAsia="Calibri" w:hAnsi="David"/>
          <w:rtl/>
        </w:rPr>
      </w:pPr>
      <w:r w:rsidRPr="00EE7A4E">
        <w:rPr>
          <w:rFonts w:ascii="David" w:eastAsia="Calibri" w:hAnsi="David"/>
          <w:u w:val="single"/>
          <w:rtl/>
        </w:rPr>
        <w:t>ככלל, מדיניות הענישה הנוהגת הכללית לעבירות שעניינן נשיאה והובלה של נשק שלא כדין</w:t>
      </w:r>
      <w:r w:rsidRPr="00EE7A4E">
        <w:rPr>
          <w:rFonts w:ascii="David" w:eastAsia="Calibri" w:hAnsi="David"/>
          <w:rtl/>
        </w:rPr>
        <w:t xml:space="preserve"> באה לידי ביטוי במסגרתו של </w:t>
      </w:r>
      <w:hyperlink r:id="rId32" w:history="1">
        <w:r w:rsidR="00A344FA" w:rsidRPr="00A344FA">
          <w:rPr>
            <w:rFonts w:ascii="David" w:eastAsia="Calibri" w:hAnsi="David"/>
            <w:color w:val="0000FF"/>
            <w:u w:val="single"/>
            <w:rtl/>
          </w:rPr>
          <w:t>ע"פ 5602/22</w:t>
        </w:r>
      </w:hyperlink>
      <w:r w:rsidRPr="00EE7A4E">
        <w:rPr>
          <w:rFonts w:ascii="David" w:eastAsia="Calibri" w:hAnsi="David"/>
          <w:rtl/>
        </w:rPr>
        <w:t xml:space="preserve"> </w:t>
      </w:r>
      <w:r w:rsidRPr="00EE7A4E">
        <w:rPr>
          <w:rFonts w:ascii="David" w:eastAsia="Calibri" w:hAnsi="David"/>
          <w:b/>
          <w:bCs/>
          <w:rtl/>
        </w:rPr>
        <w:t>מדינת ישראל נ' פלוני</w:t>
      </w:r>
      <w:r w:rsidRPr="00EE7A4E">
        <w:rPr>
          <w:rFonts w:ascii="David" w:eastAsia="Calibri" w:hAnsi="David"/>
          <w:rtl/>
        </w:rPr>
        <w:t xml:space="preserve">, ניתן ביום  </w:t>
      </w:r>
      <w:r w:rsidRPr="00EE7A4E">
        <w:rPr>
          <w:rFonts w:ascii="Calibri" w:eastAsia="Calibri" w:hAnsi="Calibri"/>
          <w:rtl/>
        </w:rPr>
        <w:t xml:space="preserve">14.9.22, שם נקבע, כי </w:t>
      </w:r>
      <w:r w:rsidRPr="00EE7A4E">
        <w:rPr>
          <w:rFonts w:ascii="David" w:eastAsia="Calibri" w:hAnsi="David"/>
          <w:rtl/>
        </w:rPr>
        <w:t>מתחם הענישה הרגיל שראוי לקבוע לנאשם בגיר בגין נשיאה בלתי חוקית של נשק חם במרחב הציבורי (</w:t>
      </w:r>
      <w:r w:rsidRPr="00EE7A4E">
        <w:rPr>
          <w:rFonts w:ascii="David" w:eastAsia="Calibri" w:hAnsi="David"/>
          <w:u w:val="single"/>
          <w:rtl/>
        </w:rPr>
        <w:t>בגין עבירה מוגמרת בניגוד לסיוע לה</w:t>
      </w:r>
      <w:r w:rsidRPr="00EE7A4E">
        <w:rPr>
          <w:rFonts w:ascii="David" w:eastAsia="Calibri" w:hAnsi="David"/>
          <w:rtl/>
        </w:rPr>
        <w:t xml:space="preserve">) </w:t>
      </w:r>
      <w:r w:rsidRPr="00EE7A4E">
        <w:rPr>
          <w:rFonts w:ascii="David" w:eastAsia="Calibri" w:hAnsi="David"/>
          <w:b/>
          <w:bCs/>
          <w:rtl/>
        </w:rPr>
        <w:t>נע בין 30 ל-42 חודשי מאסר בין סורג ובריח</w:t>
      </w:r>
      <w:r w:rsidRPr="00EE7A4E">
        <w:rPr>
          <w:rFonts w:ascii="David" w:eastAsia="Calibri" w:hAnsi="David"/>
          <w:rtl/>
        </w:rPr>
        <w:t>.</w:t>
      </w:r>
      <w:r w:rsidRPr="00EE7A4E">
        <w:rPr>
          <w:rFonts w:ascii="Calibri" w:eastAsia="Calibri" w:hAnsi="Calibri"/>
          <w:rtl/>
        </w:rPr>
        <w:t xml:space="preserve">{עוד ראו - </w:t>
      </w:r>
      <w:hyperlink r:id="rId33" w:history="1">
        <w:r w:rsidR="00A344FA" w:rsidRPr="00A344FA">
          <w:rPr>
            <w:rFonts w:ascii="Calibri" w:eastAsia="Calibri" w:hAnsi="Calibri" w:hint="cs"/>
            <w:color w:val="0000FF"/>
            <w:u w:val="single"/>
            <w:rtl/>
          </w:rPr>
          <w:t>ע</w:t>
        </w:r>
        <w:r w:rsidR="00A344FA" w:rsidRPr="00A344FA">
          <w:rPr>
            <w:rFonts w:ascii="Calibri" w:eastAsia="Calibri" w:hAnsi="Calibri"/>
            <w:color w:val="0000FF"/>
            <w:u w:val="single"/>
            <w:rtl/>
          </w:rPr>
          <w:t>"</w:t>
        </w:r>
        <w:r w:rsidR="00A344FA" w:rsidRPr="00A344FA">
          <w:rPr>
            <w:rFonts w:ascii="Calibri" w:eastAsia="Calibri" w:hAnsi="Calibri" w:hint="cs"/>
            <w:color w:val="0000FF"/>
            <w:u w:val="single"/>
            <w:rtl/>
          </w:rPr>
          <w:t>פ</w:t>
        </w:r>
        <w:r w:rsidR="00A344FA" w:rsidRPr="00A344FA">
          <w:rPr>
            <w:rFonts w:ascii="Calibri" w:eastAsia="Calibri" w:hAnsi="Calibri"/>
            <w:color w:val="0000FF"/>
            <w:u w:val="single"/>
            <w:rtl/>
          </w:rPr>
          <w:t xml:space="preserve"> 4077/22</w:t>
        </w:r>
      </w:hyperlink>
      <w:r w:rsidRPr="00EE7A4E">
        <w:rPr>
          <w:rFonts w:ascii="Calibri" w:eastAsia="Calibri" w:hAnsi="Calibri"/>
          <w:rtl/>
        </w:rPr>
        <w:t xml:space="preserve"> </w:t>
      </w:r>
      <w:r w:rsidRPr="00EE7A4E">
        <w:rPr>
          <w:rFonts w:ascii="Calibri" w:eastAsia="Calibri" w:hAnsi="Calibri"/>
          <w:b/>
          <w:bCs/>
          <w:rtl/>
        </w:rPr>
        <w:t>מדינת ישראל נ' פלוני</w:t>
      </w:r>
      <w:r w:rsidRPr="00EE7A4E">
        <w:rPr>
          <w:rFonts w:ascii="Calibri" w:eastAsia="Calibri" w:hAnsi="Calibri"/>
          <w:rtl/>
        </w:rPr>
        <w:t xml:space="preserve">, ניתן ביום 28.7.22; </w:t>
      </w:r>
      <w:hyperlink r:id="rId34" w:history="1">
        <w:r w:rsidR="00A344FA" w:rsidRPr="00A344FA">
          <w:rPr>
            <w:rFonts w:ascii="Calibri" w:eastAsia="Calibri" w:hAnsi="Calibri" w:hint="cs"/>
            <w:color w:val="0000FF"/>
            <w:u w:val="single"/>
            <w:rtl/>
          </w:rPr>
          <w:t>ע</w:t>
        </w:r>
        <w:r w:rsidR="00A344FA" w:rsidRPr="00A344FA">
          <w:rPr>
            <w:rFonts w:ascii="Calibri" w:eastAsia="Calibri" w:hAnsi="Calibri"/>
            <w:color w:val="0000FF"/>
            <w:u w:val="single"/>
            <w:rtl/>
          </w:rPr>
          <w:t>"</w:t>
        </w:r>
        <w:r w:rsidR="00A344FA" w:rsidRPr="00A344FA">
          <w:rPr>
            <w:rFonts w:ascii="Calibri" w:eastAsia="Calibri" w:hAnsi="Calibri" w:hint="cs"/>
            <w:color w:val="0000FF"/>
            <w:u w:val="single"/>
            <w:rtl/>
          </w:rPr>
          <w:t>פ</w:t>
        </w:r>
        <w:r w:rsidR="00A344FA" w:rsidRPr="00A344FA">
          <w:rPr>
            <w:rFonts w:ascii="Calibri" w:eastAsia="Calibri" w:hAnsi="Calibri"/>
            <w:color w:val="0000FF"/>
            <w:u w:val="single"/>
            <w:rtl/>
          </w:rPr>
          <w:t xml:space="preserve"> 9228/23</w:t>
        </w:r>
      </w:hyperlink>
      <w:r w:rsidRPr="00EE7A4E">
        <w:rPr>
          <w:rFonts w:ascii="Calibri" w:eastAsia="Calibri" w:hAnsi="Calibri"/>
          <w:rtl/>
        </w:rPr>
        <w:t xml:space="preserve"> </w:t>
      </w:r>
      <w:r w:rsidRPr="00EE7A4E">
        <w:rPr>
          <w:rFonts w:ascii="Calibri" w:eastAsia="Calibri" w:hAnsi="Calibri"/>
          <w:b/>
          <w:bCs/>
          <w:rtl/>
        </w:rPr>
        <w:t>אגבאריה נ' מדינת ישראל</w:t>
      </w:r>
      <w:r w:rsidRPr="00EE7A4E">
        <w:rPr>
          <w:rFonts w:ascii="Calibri" w:eastAsia="Calibri" w:hAnsi="Calibri"/>
          <w:rtl/>
        </w:rPr>
        <w:t xml:space="preserve">, ניתן ביום 26.5.24}.    </w:t>
      </w:r>
      <w:r w:rsidRPr="00EE7A4E">
        <w:rPr>
          <w:rFonts w:ascii="Calibri" w:eastAsia="Calibri" w:hAnsi="Calibri"/>
        </w:rPr>
        <w:t xml:space="preserve">  </w:t>
      </w:r>
    </w:p>
    <w:p w14:paraId="7BF46D95" w14:textId="77777777" w:rsidR="00030D7F" w:rsidRPr="00EE7A4E" w:rsidRDefault="00030D7F" w:rsidP="00030D7F">
      <w:pPr>
        <w:spacing w:line="360" w:lineRule="auto"/>
        <w:ind w:right="-426"/>
        <w:jc w:val="both"/>
        <w:rPr>
          <w:rFonts w:ascii="David" w:eastAsia="Calibri" w:hAnsi="David"/>
          <w:rtl/>
        </w:rPr>
      </w:pPr>
    </w:p>
    <w:p w14:paraId="6B1CD474" w14:textId="77777777" w:rsidR="00030D7F" w:rsidRPr="00EE7A4E" w:rsidRDefault="00030D7F" w:rsidP="00030D7F">
      <w:pPr>
        <w:spacing w:after="160" w:line="360" w:lineRule="auto"/>
        <w:ind w:right="-426"/>
        <w:jc w:val="both"/>
        <w:rPr>
          <w:rFonts w:ascii="David" w:eastAsia="Calibri" w:hAnsi="David"/>
          <w:rtl/>
        </w:rPr>
      </w:pPr>
      <w:r w:rsidRPr="00EE7A4E">
        <w:rPr>
          <w:rFonts w:ascii="David" w:eastAsia="Calibri" w:hAnsi="David"/>
          <w:rtl/>
        </w:rPr>
        <w:t xml:space="preserve">בל נשכח, כי במסגרתו של אירוע זה אין עבירת הנשק עומדת לבדה, אלא בצירוף </w:t>
      </w:r>
      <w:r w:rsidRPr="00EE7A4E">
        <w:rPr>
          <w:rFonts w:ascii="David" w:eastAsia="Calibri" w:hAnsi="David"/>
          <w:u w:val="single"/>
          <w:rtl/>
        </w:rPr>
        <w:t>לעבירת סיוע לירי מנשק חם באזור מגורים</w:t>
      </w:r>
      <w:r w:rsidRPr="00EE7A4E">
        <w:rPr>
          <w:rFonts w:ascii="David" w:eastAsia="Calibri" w:hAnsi="David"/>
          <w:rtl/>
        </w:rPr>
        <w:t xml:space="preserve">. ראו לעניין זה למשל: </w:t>
      </w:r>
      <w:hyperlink r:id="rId35" w:history="1">
        <w:r w:rsidR="00A344FA" w:rsidRPr="00A344FA">
          <w:rPr>
            <w:rFonts w:ascii="David" w:eastAsia="Calibri" w:hAnsi="David"/>
            <w:color w:val="0000FF"/>
            <w:u w:val="single"/>
            <w:rtl/>
          </w:rPr>
          <w:t>ע"פ 6753/23</w:t>
        </w:r>
      </w:hyperlink>
      <w:r w:rsidRPr="00EE7A4E">
        <w:rPr>
          <w:rFonts w:ascii="David" w:eastAsia="Calibri" w:hAnsi="David"/>
          <w:rtl/>
        </w:rPr>
        <w:t xml:space="preserve"> </w:t>
      </w:r>
      <w:r w:rsidRPr="00EE7A4E">
        <w:rPr>
          <w:rFonts w:ascii="David" w:eastAsia="Calibri" w:hAnsi="David"/>
          <w:b/>
          <w:bCs/>
          <w:rtl/>
        </w:rPr>
        <w:t>נזאר נ' מדינת ישראל</w:t>
      </w:r>
      <w:r w:rsidRPr="00EE7A4E">
        <w:rPr>
          <w:rFonts w:ascii="David" w:eastAsia="Calibri" w:hAnsi="David"/>
        </w:rPr>
        <w:t xml:space="preserve"> </w:t>
      </w:r>
      <w:r w:rsidRPr="00EE7A4E">
        <w:rPr>
          <w:rFonts w:ascii="David" w:eastAsia="Calibri" w:hAnsi="David"/>
          <w:rtl/>
        </w:rPr>
        <w:t>(ניתן ביום 1.4.24)</w:t>
      </w:r>
      <w:r w:rsidRPr="00EE7A4E">
        <w:rPr>
          <w:rFonts w:ascii="David" w:eastAsia="Calibri" w:hAnsi="David"/>
        </w:rPr>
        <w:t xml:space="preserve"> </w:t>
      </w:r>
      <w:r w:rsidRPr="00EE7A4E">
        <w:rPr>
          <w:rFonts w:ascii="David" w:eastAsia="Calibri" w:hAnsi="David"/>
          <w:rtl/>
        </w:rPr>
        <w:t xml:space="preserve">- במסגרתו הושתו 45 חודשי מאסר לריצוי בפועל; </w:t>
      </w:r>
      <w:hyperlink r:id="rId36" w:history="1">
        <w:r w:rsidR="00A344FA" w:rsidRPr="00A344FA">
          <w:rPr>
            <w:rFonts w:ascii="David" w:eastAsia="Calibri" w:hAnsi="David"/>
            <w:color w:val="0000FF"/>
            <w:u w:val="single"/>
            <w:rtl/>
          </w:rPr>
          <w:t>ע"פ 8322/21</w:t>
        </w:r>
      </w:hyperlink>
      <w:r w:rsidRPr="00EE7A4E">
        <w:rPr>
          <w:rFonts w:ascii="David" w:eastAsia="Calibri" w:hAnsi="David"/>
          <w:rtl/>
        </w:rPr>
        <w:t xml:space="preserve"> </w:t>
      </w:r>
      <w:r w:rsidRPr="00EE7A4E">
        <w:rPr>
          <w:rFonts w:ascii="David" w:eastAsia="Calibri" w:hAnsi="David"/>
          <w:b/>
          <w:bCs/>
          <w:rtl/>
        </w:rPr>
        <w:t>דחלה נ' מדינת ישראל</w:t>
      </w:r>
      <w:r w:rsidRPr="00EE7A4E">
        <w:rPr>
          <w:rFonts w:ascii="David" w:eastAsia="Calibri" w:hAnsi="David"/>
          <w:rtl/>
        </w:rPr>
        <w:t xml:space="preserve"> (ניתן ביום 13.4.22)</w:t>
      </w:r>
      <w:r w:rsidRPr="00EE7A4E">
        <w:rPr>
          <w:rFonts w:ascii="David" w:eastAsia="Calibri" w:hAnsi="David"/>
        </w:rPr>
        <w:t xml:space="preserve"> </w:t>
      </w:r>
      <w:r w:rsidRPr="00EE7A4E">
        <w:rPr>
          <w:rFonts w:ascii="David" w:eastAsia="Calibri" w:hAnsi="David"/>
          <w:rtl/>
        </w:rPr>
        <w:t xml:space="preserve">- במסגרתו הושתו 36 חודשי מאסר לריצוי בפועל; </w:t>
      </w:r>
      <w:hyperlink r:id="rId37" w:history="1">
        <w:r w:rsidR="00A344FA" w:rsidRPr="00A344FA">
          <w:rPr>
            <w:rFonts w:ascii="David" w:eastAsia="Calibri" w:hAnsi="David"/>
            <w:color w:val="0000FF"/>
            <w:u w:val="single"/>
            <w:rtl/>
          </w:rPr>
          <w:t>ע"פ 9830/17</w:t>
        </w:r>
      </w:hyperlink>
      <w:r w:rsidRPr="00EE7A4E">
        <w:rPr>
          <w:rFonts w:ascii="David" w:eastAsia="Calibri" w:hAnsi="David"/>
          <w:rtl/>
        </w:rPr>
        <w:t xml:space="preserve"> </w:t>
      </w:r>
      <w:r w:rsidRPr="00EE7A4E">
        <w:rPr>
          <w:rFonts w:ascii="David" w:eastAsia="Calibri" w:hAnsi="David"/>
          <w:b/>
          <w:bCs/>
          <w:rtl/>
        </w:rPr>
        <w:t>חמודה נ' מדינת ישראל</w:t>
      </w:r>
      <w:r w:rsidRPr="00EE7A4E">
        <w:rPr>
          <w:rFonts w:ascii="David" w:eastAsia="Calibri" w:hAnsi="David"/>
          <w:rtl/>
        </w:rPr>
        <w:t xml:space="preserve"> (ניתן ביום 8.3.18) - במסגרתו הושתו 30 חודשים לריצוי בפועל; </w:t>
      </w:r>
      <w:hyperlink r:id="rId38" w:history="1">
        <w:r w:rsidR="00A344FA" w:rsidRPr="00A344FA">
          <w:rPr>
            <w:rFonts w:ascii="David" w:eastAsia="Calibri" w:hAnsi="David"/>
            <w:color w:val="0000FF"/>
            <w:u w:val="single"/>
            <w:rtl/>
          </w:rPr>
          <w:t>ע"פ 1509/20</w:t>
        </w:r>
      </w:hyperlink>
      <w:r w:rsidRPr="00EE7A4E">
        <w:rPr>
          <w:rFonts w:ascii="David" w:eastAsia="Calibri" w:hAnsi="David"/>
          <w:rtl/>
        </w:rPr>
        <w:t xml:space="preserve"> </w:t>
      </w:r>
      <w:r w:rsidRPr="00EE7A4E">
        <w:rPr>
          <w:rFonts w:ascii="David" w:eastAsia="Calibri" w:hAnsi="David"/>
          <w:b/>
          <w:bCs/>
          <w:rtl/>
        </w:rPr>
        <w:t>מדינת ישראל נ' נבארי</w:t>
      </w:r>
      <w:r w:rsidRPr="00EE7A4E">
        <w:rPr>
          <w:rFonts w:ascii="David" w:eastAsia="Calibri" w:hAnsi="David"/>
          <w:rtl/>
        </w:rPr>
        <w:t xml:space="preserve"> (ניתן ביום 2.7.20) - במסגרתו הושתו 36 חודשי מאסר לריצוי בפועל; </w:t>
      </w:r>
      <w:hyperlink r:id="rId39" w:history="1">
        <w:r w:rsidR="00A344FA" w:rsidRPr="00A344FA">
          <w:rPr>
            <w:rFonts w:ascii="David" w:eastAsia="Calibri" w:hAnsi="David"/>
            <w:color w:val="0000FF"/>
            <w:u w:val="single"/>
            <w:rtl/>
          </w:rPr>
          <w:t>ע"פ 1244/15</w:t>
        </w:r>
      </w:hyperlink>
      <w:r w:rsidRPr="00EE7A4E">
        <w:rPr>
          <w:rFonts w:ascii="David" w:eastAsia="Calibri" w:hAnsi="David"/>
          <w:rtl/>
        </w:rPr>
        <w:t xml:space="preserve"> </w:t>
      </w:r>
      <w:r w:rsidRPr="00EE7A4E">
        <w:rPr>
          <w:rFonts w:ascii="David" w:eastAsia="Calibri" w:hAnsi="David"/>
          <w:b/>
          <w:bCs/>
          <w:rtl/>
        </w:rPr>
        <w:t>אבו עאמר נ' מדינת ישראל</w:t>
      </w:r>
      <w:r w:rsidRPr="00EE7A4E">
        <w:rPr>
          <w:rFonts w:ascii="David" w:eastAsia="Calibri" w:hAnsi="David"/>
          <w:rtl/>
        </w:rPr>
        <w:t xml:space="preserve"> (ניתן ביום 18.4.16) - במסגרתו הושתו 44 חודשי מאסר לריצוי בפועל.  </w:t>
      </w:r>
      <w:r w:rsidRPr="00EE7A4E">
        <w:rPr>
          <w:rFonts w:ascii="David" w:eastAsia="Calibri" w:hAnsi="David"/>
        </w:rPr>
        <w:t xml:space="preserve"> </w:t>
      </w:r>
    </w:p>
    <w:p w14:paraId="4C0F5290" w14:textId="77777777" w:rsidR="00030D7F" w:rsidRPr="00EE7A4E" w:rsidRDefault="00030D7F" w:rsidP="00030D7F">
      <w:pPr>
        <w:spacing w:after="160" w:line="360" w:lineRule="auto"/>
        <w:ind w:right="-426"/>
        <w:jc w:val="both"/>
        <w:rPr>
          <w:rFonts w:ascii="David" w:eastAsia="Calibri" w:hAnsi="David"/>
          <w:rtl/>
        </w:rPr>
      </w:pPr>
      <w:r w:rsidRPr="00EE7A4E">
        <w:rPr>
          <w:rFonts w:ascii="David" w:eastAsia="Calibri" w:hAnsi="David"/>
          <w:rtl/>
        </w:rPr>
        <w:t xml:space="preserve">בשלב זה, יש להתייחס אל </w:t>
      </w:r>
      <w:r w:rsidRPr="00EE7A4E">
        <w:rPr>
          <w:rFonts w:ascii="David" w:eastAsia="Calibri" w:hAnsi="David"/>
          <w:b/>
          <w:bCs/>
          <w:rtl/>
        </w:rPr>
        <w:t xml:space="preserve">הנסיבות הקשורות לביצוע העבירה </w:t>
      </w:r>
      <w:r w:rsidRPr="00EE7A4E">
        <w:rPr>
          <w:rFonts w:ascii="David" w:eastAsia="Calibri" w:hAnsi="David"/>
          <w:rtl/>
        </w:rPr>
        <w:t xml:space="preserve">(אלו המצוינות </w:t>
      </w:r>
      <w:hyperlink r:id="rId40" w:history="1">
        <w:r w:rsidR="009D0DEF" w:rsidRPr="009D0DEF">
          <w:rPr>
            <w:rStyle w:val="Hyperlink"/>
            <w:rFonts w:ascii="David" w:eastAsia="Calibri" w:hAnsi="David"/>
            <w:color w:val="0000FF"/>
            <w:rtl/>
          </w:rPr>
          <w:t>בסעיף 40ט</w:t>
        </w:r>
      </w:hyperlink>
      <w:r w:rsidRPr="00EE7A4E">
        <w:rPr>
          <w:rFonts w:ascii="David" w:eastAsia="Calibri" w:hAnsi="David"/>
          <w:rtl/>
        </w:rPr>
        <w:t xml:space="preserve"> לחוק). </w:t>
      </w:r>
    </w:p>
    <w:p w14:paraId="02DF31DD" w14:textId="77777777" w:rsidR="00030D7F" w:rsidRPr="00EE7A4E" w:rsidRDefault="00030D7F" w:rsidP="00030D7F">
      <w:pPr>
        <w:spacing w:line="360" w:lineRule="auto"/>
        <w:ind w:right="-567"/>
        <w:jc w:val="both"/>
        <w:rPr>
          <w:rFonts w:ascii="David" w:eastAsia="Calibri" w:hAnsi="David"/>
          <w:rtl/>
        </w:rPr>
      </w:pPr>
      <w:r w:rsidRPr="00EE7A4E">
        <w:rPr>
          <w:rFonts w:ascii="David" w:eastAsia="Calibri" w:hAnsi="David"/>
          <w:rtl/>
        </w:rPr>
        <w:t>חלקו של הנאשם בביצוען של העבירות אינו בלעדי; הוא אינו מצוי במעגל הפנימי של ביצוען, אלא בחלקו החיצוני, כמסייע לביצוע העבירות. הסיבות לביצוען, כפי שצוין בעובדות כתב האישום נותרו עלומות. הנאשם סייע לנשיאת אקדח טעון, על כל המשמעויות המסוכנות הנלוות לכך. חמור מכך, באקדח זה נעשה בגדרו של האירוע ירי באזור מגורים, בסיועו של הנאשם. הנזק שעלול היה להיגרם באירוע מסוכן זה, יכול היה לעלות בחיי אדם. למרבה המזל לא נגרמו נזקים נוספים (מלבד אלו שנגרמו לגופו של מבצע העבירות האחר). אין בנמצא סייג כלשהו לאחריות פלילית העומד לזכותו של הנאשם. הנאשם הבין את מעשיו ויכול והיה צריך להימנע מביצועם.</w:t>
      </w:r>
    </w:p>
    <w:p w14:paraId="47888CB4" w14:textId="77777777" w:rsidR="00030D7F" w:rsidRPr="00EE7A4E" w:rsidRDefault="00030D7F" w:rsidP="00030D7F">
      <w:pPr>
        <w:spacing w:after="160" w:line="360" w:lineRule="auto"/>
        <w:ind w:right="-426"/>
        <w:jc w:val="both"/>
        <w:rPr>
          <w:rFonts w:ascii="David" w:eastAsia="Calibri" w:hAnsi="David"/>
          <w:rtl/>
        </w:rPr>
      </w:pPr>
    </w:p>
    <w:p w14:paraId="5C8AAFAE" w14:textId="77777777" w:rsidR="00030D7F" w:rsidRPr="00EE7A4E" w:rsidRDefault="00030D7F" w:rsidP="00030D7F">
      <w:pPr>
        <w:spacing w:after="160" w:line="360" w:lineRule="auto"/>
        <w:ind w:right="-567"/>
        <w:jc w:val="both"/>
        <w:rPr>
          <w:rFonts w:ascii="David" w:eastAsia="Calibri" w:hAnsi="David"/>
          <w:rtl/>
        </w:rPr>
      </w:pPr>
      <w:r w:rsidRPr="00EE7A4E">
        <w:rPr>
          <w:rFonts w:ascii="David" w:eastAsia="Calibri" w:hAnsi="David"/>
          <w:rtl/>
        </w:rPr>
        <w:t>לאור כל המקובץ, מצאתי לנכון לקבוע</w:t>
      </w:r>
      <w:r w:rsidRPr="00EE7A4E">
        <w:rPr>
          <w:rFonts w:ascii="David" w:eastAsia="Calibri" w:hAnsi="David"/>
          <w:b/>
          <w:bCs/>
          <w:rtl/>
        </w:rPr>
        <w:t xml:space="preserve"> מתחם ענישה בעניינו של הנאשם אשר נע בין 19 חודשי מאסר לבין 36  חודשי מאסר לריצוי בפועל, </w:t>
      </w:r>
      <w:r w:rsidRPr="00EE7A4E">
        <w:rPr>
          <w:rFonts w:ascii="David" w:eastAsia="Calibri" w:hAnsi="David"/>
          <w:rtl/>
        </w:rPr>
        <w:t xml:space="preserve">לצד עונשים נלווים.  </w:t>
      </w:r>
    </w:p>
    <w:p w14:paraId="4F829255" w14:textId="77777777" w:rsidR="00030D7F" w:rsidRPr="00EE7A4E" w:rsidRDefault="00030D7F" w:rsidP="00030D7F">
      <w:pPr>
        <w:overflowPunct w:val="0"/>
        <w:autoSpaceDE w:val="0"/>
        <w:autoSpaceDN w:val="0"/>
        <w:spacing w:line="360" w:lineRule="auto"/>
        <w:ind w:right="-567"/>
        <w:jc w:val="both"/>
        <w:rPr>
          <w:rFonts w:ascii="David" w:hAnsi="David"/>
          <w:rtl/>
        </w:rPr>
      </w:pPr>
      <w:r w:rsidRPr="00EE7A4E">
        <w:rPr>
          <w:rFonts w:ascii="David" w:hAnsi="David"/>
          <w:rtl/>
        </w:rPr>
        <w:t xml:space="preserve">מכאן, ראוי לבחון מהו העונש המתאים לנאשם בשים לב </w:t>
      </w:r>
      <w:r w:rsidRPr="00EE7A4E">
        <w:rPr>
          <w:rFonts w:ascii="David" w:hAnsi="David"/>
          <w:b/>
          <w:bCs/>
          <w:rtl/>
        </w:rPr>
        <w:t xml:space="preserve">לנסיבות שאינן קשורות בביצוע העבירה </w:t>
      </w:r>
      <w:r w:rsidRPr="00EE7A4E">
        <w:rPr>
          <w:rFonts w:ascii="David" w:hAnsi="David"/>
          <w:rtl/>
        </w:rPr>
        <w:t>(</w:t>
      </w:r>
      <w:hyperlink r:id="rId41" w:history="1">
        <w:r w:rsidR="009D0DEF" w:rsidRPr="009D0DEF">
          <w:rPr>
            <w:rStyle w:val="Hyperlink"/>
            <w:rFonts w:ascii="David" w:hAnsi="David"/>
            <w:color w:val="0000FF"/>
            <w:rtl/>
          </w:rPr>
          <w:t>סעיף 40יא</w:t>
        </w:r>
      </w:hyperlink>
      <w:r w:rsidRPr="00EE7A4E">
        <w:rPr>
          <w:rFonts w:ascii="David" w:hAnsi="David"/>
          <w:rtl/>
        </w:rPr>
        <w:t xml:space="preserve"> לחוק).</w:t>
      </w:r>
      <w:r w:rsidRPr="00EE7A4E">
        <w:rPr>
          <w:rFonts w:ascii="David" w:hAnsi="David"/>
          <w:b/>
          <w:bCs/>
          <w:rtl/>
        </w:rPr>
        <w:t xml:space="preserve"> </w:t>
      </w:r>
    </w:p>
    <w:p w14:paraId="5F34A4D6" w14:textId="77777777" w:rsidR="00030D7F" w:rsidRPr="00EE7A4E" w:rsidRDefault="00030D7F" w:rsidP="00030D7F">
      <w:pPr>
        <w:overflowPunct w:val="0"/>
        <w:autoSpaceDE w:val="0"/>
        <w:autoSpaceDN w:val="0"/>
        <w:spacing w:line="360" w:lineRule="auto"/>
        <w:ind w:right="-567"/>
        <w:jc w:val="both"/>
        <w:rPr>
          <w:rFonts w:ascii="David" w:hAnsi="David"/>
          <w:highlight w:val="yellow"/>
          <w:rtl/>
        </w:rPr>
      </w:pPr>
    </w:p>
    <w:p w14:paraId="01A49D68" w14:textId="77777777" w:rsidR="00030D7F" w:rsidRPr="00EE7A4E" w:rsidRDefault="00030D7F" w:rsidP="00030D7F">
      <w:pPr>
        <w:spacing w:line="360" w:lineRule="auto"/>
        <w:ind w:right="-567"/>
        <w:jc w:val="both"/>
        <w:rPr>
          <w:rFonts w:ascii="David" w:eastAsia="Calibri" w:hAnsi="David"/>
          <w:rtl/>
        </w:rPr>
      </w:pPr>
      <w:r w:rsidRPr="00EE7A4E">
        <w:rPr>
          <w:rFonts w:ascii="David" w:eastAsia="Calibri" w:hAnsi="David"/>
          <w:rtl/>
        </w:rPr>
        <w:t xml:space="preserve">אכן יש לזקוף לזכותו של הנאשם את </w:t>
      </w:r>
      <w:r w:rsidRPr="00EE7A4E">
        <w:rPr>
          <w:rFonts w:ascii="David" w:eastAsia="Calibri" w:hAnsi="David"/>
          <w:b/>
          <w:bCs/>
          <w:rtl/>
        </w:rPr>
        <w:t>החיסכון המשמעותי בזמן שיפוטי יקר, הנגזר מהודאתו ומנטילת האחריות שביצע</w:t>
      </w:r>
      <w:r w:rsidRPr="00EE7A4E">
        <w:rPr>
          <w:rFonts w:ascii="David" w:eastAsia="Calibri" w:hAnsi="David"/>
          <w:rtl/>
        </w:rPr>
        <w:t>.</w:t>
      </w:r>
      <w:r w:rsidRPr="00EE7A4E">
        <w:rPr>
          <w:rFonts w:ascii="David" w:eastAsia="Calibri" w:hAnsi="David"/>
          <w:b/>
          <w:bCs/>
          <w:rtl/>
        </w:rPr>
        <w:t xml:space="preserve"> עברו הפלילי נקי. </w:t>
      </w:r>
      <w:r w:rsidRPr="00EE7A4E">
        <w:rPr>
          <w:rFonts w:ascii="David" w:eastAsia="Calibri" w:hAnsi="David"/>
          <w:rtl/>
        </w:rPr>
        <w:t xml:space="preserve">ברי, כי </w:t>
      </w:r>
      <w:r w:rsidRPr="00EE7A4E">
        <w:rPr>
          <w:rFonts w:ascii="David" w:eastAsia="Calibri" w:hAnsi="David"/>
          <w:b/>
          <w:bCs/>
          <w:rtl/>
        </w:rPr>
        <w:t xml:space="preserve">עונש מאסר ממושך יפגע בנאשם ובמשפחתו. אין בנמצא המלצה שיקומית בעניינו.  </w:t>
      </w:r>
    </w:p>
    <w:p w14:paraId="23375555" w14:textId="77777777" w:rsidR="00030D7F" w:rsidRPr="00EE7A4E" w:rsidRDefault="00030D7F" w:rsidP="00030D7F">
      <w:pPr>
        <w:spacing w:line="360" w:lineRule="auto"/>
        <w:ind w:right="-567"/>
        <w:jc w:val="both"/>
        <w:rPr>
          <w:rFonts w:ascii="David" w:eastAsia="Calibri" w:hAnsi="David"/>
          <w:b/>
          <w:bCs/>
          <w:rtl/>
        </w:rPr>
      </w:pPr>
    </w:p>
    <w:p w14:paraId="1CD15A5A" w14:textId="77777777" w:rsidR="00030D7F" w:rsidRPr="00EE7A4E" w:rsidRDefault="00030D7F" w:rsidP="00030D7F">
      <w:pPr>
        <w:overflowPunct w:val="0"/>
        <w:autoSpaceDE w:val="0"/>
        <w:autoSpaceDN w:val="0"/>
        <w:spacing w:line="360" w:lineRule="auto"/>
        <w:ind w:right="-567"/>
        <w:jc w:val="both"/>
        <w:rPr>
          <w:rFonts w:ascii="David" w:hAnsi="David"/>
          <w:rtl/>
        </w:rPr>
      </w:pPr>
      <w:r w:rsidRPr="00EE7A4E">
        <w:rPr>
          <w:rFonts w:ascii="David" w:eastAsia="Calibri" w:hAnsi="David"/>
          <w:rtl/>
        </w:rPr>
        <w:t xml:space="preserve">עוד סברתי כי בכגון דא בהחלט יש מקום להכליל בגדרי מתחם הענישה את השיקול שעניינו </w:t>
      </w:r>
      <w:r w:rsidRPr="00EE7A4E">
        <w:rPr>
          <w:rFonts w:ascii="David" w:eastAsia="Calibri" w:hAnsi="David"/>
          <w:b/>
          <w:bCs/>
          <w:rtl/>
        </w:rPr>
        <w:t>בהרתעת הרבים</w:t>
      </w:r>
      <w:r w:rsidRPr="00EE7A4E">
        <w:rPr>
          <w:rFonts w:ascii="David" w:eastAsia="Calibri" w:hAnsi="David"/>
          <w:rtl/>
        </w:rPr>
        <w:t xml:space="preserve"> (בהתאם </w:t>
      </w:r>
      <w:hyperlink r:id="rId42" w:history="1">
        <w:r w:rsidR="009D0DEF" w:rsidRPr="009D0DEF">
          <w:rPr>
            <w:rStyle w:val="Hyperlink"/>
            <w:rFonts w:ascii="David" w:eastAsia="Calibri" w:hAnsi="David"/>
            <w:color w:val="0000FF"/>
            <w:rtl/>
          </w:rPr>
          <w:t>לסעיף 40ז</w:t>
        </w:r>
      </w:hyperlink>
      <w:r w:rsidRPr="00EE7A4E">
        <w:rPr>
          <w:rFonts w:ascii="David" w:eastAsia="Calibri" w:hAnsi="David"/>
          <w:rtl/>
        </w:rPr>
        <w:t xml:space="preserve"> לחוק);</w:t>
      </w:r>
      <w:r w:rsidRPr="00EE7A4E">
        <w:rPr>
          <w:rFonts w:ascii="David" w:eastAsia="Calibri" w:hAnsi="David"/>
        </w:rPr>
        <w:t xml:space="preserve"> </w:t>
      </w:r>
      <w:r w:rsidRPr="00EE7A4E">
        <w:rPr>
          <w:rFonts w:ascii="David" w:eastAsia="Calibri" w:hAnsi="David"/>
          <w:rtl/>
        </w:rPr>
        <w:t xml:space="preserve">תוך העברת מסר לציבור הרחב שהתנהגות דומה אינה מקובלת במחוזותינו.  </w:t>
      </w:r>
    </w:p>
    <w:p w14:paraId="2683DDB7" w14:textId="77777777" w:rsidR="00030D7F" w:rsidRPr="00EE7A4E" w:rsidRDefault="00030D7F" w:rsidP="00030D7F">
      <w:pPr>
        <w:spacing w:after="160" w:line="256" w:lineRule="auto"/>
        <w:ind w:right="-567"/>
        <w:rPr>
          <w:rFonts w:ascii="Calibri" w:eastAsia="Calibri" w:hAnsi="Calibri" w:cs="Arial"/>
          <w:sz w:val="22"/>
          <w:szCs w:val="22"/>
          <w:rtl/>
        </w:rPr>
      </w:pPr>
    </w:p>
    <w:p w14:paraId="2BDD7B5A" w14:textId="77777777" w:rsidR="00030D7F" w:rsidRPr="00EE7A4E" w:rsidRDefault="00030D7F" w:rsidP="00030D7F">
      <w:pPr>
        <w:spacing w:line="360" w:lineRule="auto"/>
        <w:ind w:right="-567"/>
        <w:jc w:val="both"/>
        <w:rPr>
          <w:rFonts w:ascii="David" w:eastAsia="Calibri" w:hAnsi="David"/>
          <w:rtl/>
        </w:rPr>
      </w:pPr>
      <w:r w:rsidRPr="00EE7A4E">
        <w:rPr>
          <w:rFonts w:ascii="David" w:eastAsia="Calibri" w:hAnsi="David"/>
          <w:rtl/>
        </w:rPr>
        <w:t>לאחר ששקלתי את כל השיקולים הדרושים לכך, מצאתי לנכון להטיל על הנאשם את העונשים הבאים:</w:t>
      </w:r>
    </w:p>
    <w:p w14:paraId="6AD200ED" w14:textId="77777777" w:rsidR="00030D7F" w:rsidRPr="00EE7A4E" w:rsidRDefault="00030D7F" w:rsidP="00030D7F">
      <w:pPr>
        <w:spacing w:line="360" w:lineRule="auto"/>
        <w:ind w:right="-567"/>
        <w:jc w:val="both"/>
        <w:rPr>
          <w:rFonts w:ascii="David" w:eastAsia="Calibri" w:hAnsi="David"/>
          <w:rtl/>
        </w:rPr>
      </w:pPr>
    </w:p>
    <w:p w14:paraId="157A6266" w14:textId="77777777" w:rsidR="00030D7F" w:rsidRPr="00EE7A4E" w:rsidRDefault="00030D7F" w:rsidP="00030D7F">
      <w:pPr>
        <w:numPr>
          <w:ilvl w:val="0"/>
          <w:numId w:val="1"/>
        </w:numPr>
        <w:overflowPunct w:val="0"/>
        <w:autoSpaceDE w:val="0"/>
        <w:autoSpaceDN w:val="0"/>
        <w:spacing w:after="160" w:line="360" w:lineRule="auto"/>
        <w:jc w:val="both"/>
        <w:rPr>
          <w:rFonts w:ascii="David" w:hAnsi="David"/>
          <w:b/>
          <w:bCs/>
          <w:rtl/>
        </w:rPr>
      </w:pPr>
      <w:r w:rsidRPr="00EE7A4E">
        <w:rPr>
          <w:rFonts w:ascii="David" w:hAnsi="David"/>
          <w:b/>
          <w:bCs/>
          <w:rtl/>
        </w:rPr>
        <w:t>20 חודשי מאסר לריצוי בפועל מיום מעצרו.</w:t>
      </w:r>
    </w:p>
    <w:p w14:paraId="131D9A48" w14:textId="77777777" w:rsidR="00030D7F" w:rsidRPr="00EE7A4E" w:rsidRDefault="00030D7F" w:rsidP="00030D7F">
      <w:pPr>
        <w:numPr>
          <w:ilvl w:val="0"/>
          <w:numId w:val="1"/>
        </w:numPr>
        <w:overflowPunct w:val="0"/>
        <w:autoSpaceDE w:val="0"/>
        <w:autoSpaceDN w:val="0"/>
        <w:spacing w:after="160" w:line="360" w:lineRule="auto"/>
        <w:jc w:val="both"/>
        <w:rPr>
          <w:rFonts w:ascii="David" w:hAnsi="David"/>
        </w:rPr>
      </w:pPr>
      <w:r w:rsidRPr="00EE7A4E">
        <w:rPr>
          <w:rFonts w:ascii="David" w:hAnsi="David"/>
          <w:rtl/>
        </w:rPr>
        <w:t>6 חודשי מאסר על תנאי שלא יעבור במשך 3 שנים עבירות בנשק</w:t>
      </w:r>
      <w:r w:rsidRPr="00EE7A4E">
        <w:rPr>
          <w:rtl/>
        </w:rPr>
        <w:t xml:space="preserve"> לפי </w:t>
      </w:r>
      <w:hyperlink r:id="rId43" w:history="1">
        <w:r w:rsidR="009D0DEF" w:rsidRPr="009D0DEF">
          <w:rPr>
            <w:rStyle w:val="Hyperlink"/>
            <w:color w:val="0000FF"/>
            <w:rtl/>
          </w:rPr>
          <w:t>סעיף 144</w:t>
        </w:r>
      </w:hyperlink>
      <w:r w:rsidRPr="00EE7A4E">
        <w:rPr>
          <w:rtl/>
        </w:rPr>
        <w:t xml:space="preserve"> ל</w:t>
      </w:r>
      <w:hyperlink r:id="rId44" w:history="1">
        <w:r w:rsidR="00A344FA" w:rsidRPr="00A344FA">
          <w:rPr>
            <w:color w:val="0000FF"/>
            <w:u w:val="single"/>
            <w:rtl/>
          </w:rPr>
          <w:t>חוק העונשין</w:t>
        </w:r>
      </w:hyperlink>
      <w:r w:rsidRPr="00EE7A4E">
        <w:rPr>
          <w:rtl/>
        </w:rPr>
        <w:t xml:space="preserve"> או עבירה לפי </w:t>
      </w:r>
      <w:hyperlink r:id="rId45" w:history="1">
        <w:r w:rsidR="009D0DEF" w:rsidRPr="009D0DEF">
          <w:rPr>
            <w:rStyle w:val="Hyperlink"/>
            <w:color w:val="0000FF"/>
            <w:rtl/>
          </w:rPr>
          <w:t>סעיף 340א</w:t>
        </w:r>
      </w:hyperlink>
      <w:r w:rsidRPr="00EE7A4E">
        <w:rPr>
          <w:rtl/>
        </w:rPr>
        <w:t xml:space="preserve"> לחוק. </w:t>
      </w:r>
    </w:p>
    <w:p w14:paraId="71B46A9C" w14:textId="77777777" w:rsidR="00030D7F" w:rsidRPr="00EE7A4E" w:rsidRDefault="00030D7F" w:rsidP="00030D7F">
      <w:pPr>
        <w:overflowPunct w:val="0"/>
        <w:autoSpaceDE w:val="0"/>
        <w:autoSpaceDN w:val="0"/>
        <w:spacing w:line="360" w:lineRule="auto"/>
        <w:jc w:val="both"/>
        <w:rPr>
          <w:rFonts w:ascii="David" w:hAnsi="David"/>
          <w:b/>
          <w:bCs/>
        </w:rPr>
      </w:pPr>
    </w:p>
    <w:p w14:paraId="316AD431" w14:textId="77777777" w:rsidR="00030D7F" w:rsidRPr="00EE7A4E" w:rsidRDefault="00030D7F" w:rsidP="00030D7F">
      <w:pPr>
        <w:overflowPunct w:val="0"/>
        <w:autoSpaceDE w:val="0"/>
        <w:autoSpaceDN w:val="0"/>
        <w:spacing w:line="360" w:lineRule="auto"/>
        <w:jc w:val="both"/>
        <w:rPr>
          <w:rFonts w:ascii="David" w:hAnsi="David"/>
          <w:b/>
          <w:bCs/>
          <w:rtl/>
        </w:rPr>
      </w:pPr>
      <w:r w:rsidRPr="00EE7A4E">
        <w:rPr>
          <w:rFonts w:ascii="David" w:hAnsi="David"/>
          <w:b/>
          <w:bCs/>
          <w:rtl/>
        </w:rPr>
        <w:t>זכות ערעור כחוק</w:t>
      </w:r>
    </w:p>
    <w:p w14:paraId="6A5B1678" w14:textId="77777777" w:rsidR="00030D7F" w:rsidRPr="00EE7A4E" w:rsidRDefault="00030D7F" w:rsidP="00030D7F">
      <w:pPr>
        <w:overflowPunct w:val="0"/>
        <w:autoSpaceDE w:val="0"/>
        <w:autoSpaceDN w:val="0"/>
        <w:spacing w:line="360" w:lineRule="auto"/>
        <w:ind w:left="1543"/>
        <w:jc w:val="both"/>
        <w:rPr>
          <w:rFonts w:ascii="David" w:hAnsi="David"/>
        </w:rPr>
      </w:pPr>
    </w:p>
    <w:p w14:paraId="4379DC0D" w14:textId="77777777" w:rsidR="00030D7F" w:rsidRPr="00A344FA" w:rsidRDefault="00A344FA" w:rsidP="00030D7F">
      <w:pPr>
        <w:spacing w:line="360" w:lineRule="auto"/>
        <w:jc w:val="both"/>
        <w:rPr>
          <w:color w:val="FFFFFF"/>
          <w:sz w:val="2"/>
          <w:szCs w:val="2"/>
          <w:rtl/>
        </w:rPr>
      </w:pPr>
      <w:r w:rsidRPr="00A344FA">
        <w:rPr>
          <w:color w:val="FFFFFF"/>
          <w:sz w:val="2"/>
          <w:szCs w:val="2"/>
          <w:rtl/>
        </w:rPr>
        <w:t>5129371</w:t>
      </w:r>
    </w:p>
    <w:p w14:paraId="34FBAC20" w14:textId="77777777" w:rsidR="00030D7F" w:rsidRDefault="00A344FA" w:rsidP="00030D7F">
      <w:pPr>
        <w:rPr>
          <w:rFonts w:cs="FrankRuehl"/>
          <w:sz w:val="28"/>
          <w:szCs w:val="28"/>
          <w:rtl/>
        </w:rPr>
      </w:pPr>
      <w:bookmarkStart w:id="7" w:name="Nitan"/>
      <w:r w:rsidRPr="00A344FA">
        <w:rPr>
          <w:rFonts w:ascii="Arial" w:hAnsi="Arial"/>
          <w:color w:val="FFFFFF"/>
          <w:sz w:val="2"/>
          <w:szCs w:val="2"/>
          <w:rtl/>
        </w:rPr>
        <w:t>54678313</w:t>
      </w:r>
      <w:r>
        <w:rPr>
          <w:rFonts w:ascii="Arial" w:hAnsi="Arial"/>
          <w:rtl/>
        </w:rPr>
        <w:t xml:space="preserve">ניתן היום,  ד' ניסן תשפ"ה, 02 אפריל 2025, במעמד הצדדים. </w:t>
      </w:r>
      <w:bookmarkEnd w:id="7"/>
    </w:p>
    <w:p w14:paraId="36071374" w14:textId="77777777" w:rsidR="00030D7F" w:rsidRDefault="00030D7F" w:rsidP="00A344F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8821C16" w14:textId="77777777" w:rsidR="00030D7F" w:rsidRDefault="00030D7F" w:rsidP="00030D7F">
      <w:pPr>
        <w:jc w:val="center"/>
        <w:rPr>
          <w:rFonts w:ascii="Arial" w:hAnsi="Arial" w:cs="FrankRuehl"/>
          <w:sz w:val="28"/>
          <w:szCs w:val="28"/>
          <w:rtl/>
        </w:rPr>
      </w:pPr>
    </w:p>
    <w:p w14:paraId="427C54C1" w14:textId="77777777" w:rsidR="00030D7F" w:rsidRDefault="00030D7F" w:rsidP="00030D7F">
      <w:pPr>
        <w:rPr>
          <w:rFonts w:cs="FrankRuehl"/>
          <w:sz w:val="28"/>
          <w:szCs w:val="28"/>
          <w:rtl/>
        </w:rPr>
      </w:pPr>
    </w:p>
    <w:p w14:paraId="36CC4502" w14:textId="77777777" w:rsidR="00030D7F" w:rsidRDefault="00030D7F" w:rsidP="00030D7F">
      <w:pPr>
        <w:pStyle w:val="a3"/>
        <w:jc w:val="center"/>
        <w:rPr>
          <w:rtl/>
        </w:rPr>
      </w:pPr>
    </w:p>
    <w:p w14:paraId="55802FD9" w14:textId="77777777" w:rsidR="00933B67" w:rsidRPr="00A344FA" w:rsidRDefault="00933B67" w:rsidP="00A344FA">
      <w:pPr>
        <w:keepNext/>
        <w:rPr>
          <w:rFonts w:ascii="David" w:hAnsi="David"/>
          <w:color w:val="000000"/>
          <w:sz w:val="22"/>
          <w:szCs w:val="22"/>
          <w:rtl/>
        </w:rPr>
      </w:pPr>
    </w:p>
    <w:p w14:paraId="31B874AB" w14:textId="77777777" w:rsidR="00A344FA" w:rsidRPr="00A344FA" w:rsidRDefault="00A344FA" w:rsidP="00A344FA">
      <w:pPr>
        <w:keepNext/>
        <w:rPr>
          <w:rFonts w:ascii="David" w:hAnsi="David"/>
          <w:color w:val="000000"/>
          <w:sz w:val="22"/>
          <w:szCs w:val="22"/>
          <w:rtl/>
        </w:rPr>
      </w:pPr>
      <w:r w:rsidRPr="00A344FA">
        <w:rPr>
          <w:rFonts w:ascii="David" w:hAnsi="David"/>
          <w:color w:val="000000"/>
          <w:sz w:val="22"/>
          <w:szCs w:val="22"/>
          <w:rtl/>
        </w:rPr>
        <w:t>אבי לוי 54678313</w:t>
      </w:r>
    </w:p>
    <w:p w14:paraId="0C609FFD" w14:textId="77777777" w:rsidR="00A344FA" w:rsidRDefault="00A344FA" w:rsidP="00A344FA">
      <w:r w:rsidRPr="00A344FA">
        <w:rPr>
          <w:color w:val="000000"/>
          <w:rtl/>
        </w:rPr>
        <w:t>נוסח מסמך זה כפוף לשינויי ניסוח ועריכה</w:t>
      </w:r>
    </w:p>
    <w:p w14:paraId="71E6548B" w14:textId="77777777" w:rsidR="00A344FA" w:rsidRDefault="00A344FA" w:rsidP="00A344FA">
      <w:pPr>
        <w:rPr>
          <w:rtl/>
        </w:rPr>
      </w:pPr>
    </w:p>
    <w:p w14:paraId="2C465C12" w14:textId="77777777" w:rsidR="00A344FA" w:rsidRDefault="00A344FA" w:rsidP="00A344FA">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2246F6E2" w14:textId="77777777" w:rsidR="00A344FA" w:rsidRPr="00A344FA" w:rsidRDefault="00A344FA" w:rsidP="00A344FA">
      <w:pPr>
        <w:jc w:val="center"/>
        <w:rPr>
          <w:color w:val="0000FF"/>
          <w:u w:val="single"/>
        </w:rPr>
      </w:pPr>
    </w:p>
    <w:sectPr w:rsidR="00A344FA" w:rsidRPr="00A344FA" w:rsidSect="00A344FA">
      <w:headerReference w:type="even" r:id="rId47"/>
      <w:headerReference w:type="default" r:id="rId48"/>
      <w:footerReference w:type="even" r:id="rId49"/>
      <w:footerReference w:type="default" r:id="rId50"/>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8F693" w14:textId="77777777" w:rsidR="008B1C9A" w:rsidRDefault="008B1C9A" w:rsidP="002C1ADD">
      <w:r>
        <w:separator/>
      </w:r>
    </w:p>
  </w:endnote>
  <w:endnote w:type="continuationSeparator" w:id="0">
    <w:p w14:paraId="0148AE92" w14:textId="77777777" w:rsidR="008B1C9A" w:rsidRDefault="008B1C9A" w:rsidP="002C1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CB865" w14:textId="77777777" w:rsidR="00A344FA" w:rsidRDefault="00A344FA" w:rsidP="00A344F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6AE757" w14:textId="77777777" w:rsidR="00435C7C" w:rsidRPr="00A344FA" w:rsidRDefault="00A344FA" w:rsidP="00A344F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FA636" w14:textId="77777777" w:rsidR="00A344FA" w:rsidRDefault="00A344FA" w:rsidP="00A344F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4690">
      <w:rPr>
        <w:rFonts w:ascii="FrankRuehl" w:hAnsi="FrankRuehl" w:cs="FrankRuehl"/>
        <w:noProof/>
        <w:rtl/>
      </w:rPr>
      <w:t>1</w:t>
    </w:r>
    <w:r>
      <w:rPr>
        <w:rFonts w:ascii="FrankRuehl" w:hAnsi="FrankRuehl" w:cs="FrankRuehl"/>
        <w:rtl/>
      </w:rPr>
      <w:fldChar w:fldCharType="end"/>
    </w:r>
  </w:p>
  <w:p w14:paraId="01384528" w14:textId="77777777" w:rsidR="00435C7C" w:rsidRPr="00A344FA" w:rsidRDefault="00A344FA" w:rsidP="00A344F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1F0BB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BE839" w14:textId="77777777" w:rsidR="008B1C9A" w:rsidRDefault="008B1C9A" w:rsidP="002C1ADD">
      <w:r>
        <w:separator/>
      </w:r>
    </w:p>
  </w:footnote>
  <w:footnote w:type="continuationSeparator" w:id="0">
    <w:p w14:paraId="7A434982" w14:textId="77777777" w:rsidR="008B1C9A" w:rsidRDefault="008B1C9A" w:rsidP="002C1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06036" w14:textId="77777777" w:rsidR="00A344FA" w:rsidRPr="00A344FA" w:rsidRDefault="00A344FA" w:rsidP="00A344F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30744-08-24</w:t>
    </w:r>
    <w:r>
      <w:rPr>
        <w:rFonts w:ascii="David" w:hAnsi="David"/>
        <w:color w:val="000000"/>
        <w:sz w:val="22"/>
        <w:szCs w:val="22"/>
        <w:rtl/>
      </w:rPr>
      <w:tab/>
      <w:t xml:space="preserve"> מדינת ישראל נ' עמאר מג'דוב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F8761" w14:textId="77777777" w:rsidR="00A344FA" w:rsidRPr="00A344FA" w:rsidRDefault="00A344FA" w:rsidP="00A344F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30744-08-24</w:t>
    </w:r>
    <w:r>
      <w:rPr>
        <w:rFonts w:ascii="David" w:hAnsi="David"/>
        <w:color w:val="000000"/>
        <w:sz w:val="22"/>
        <w:szCs w:val="22"/>
        <w:rtl/>
      </w:rPr>
      <w:tab/>
      <w:t xml:space="preserve"> מדינת ישראל נ' עמאר מג'דוב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675F0"/>
    <w:multiLevelType w:val="hybridMultilevel"/>
    <w:tmpl w:val="F3D4C91A"/>
    <w:lvl w:ilvl="0" w:tplc="04090013">
      <w:start w:val="1"/>
      <w:numFmt w:val="hebrew1"/>
      <w:lvlText w:val="%1."/>
      <w:lvlJc w:val="center"/>
      <w:pPr>
        <w:ind w:left="1543" w:hanging="360"/>
      </w:pPr>
    </w:lvl>
    <w:lvl w:ilvl="1" w:tplc="04090019">
      <w:start w:val="1"/>
      <w:numFmt w:val="lowerLetter"/>
      <w:lvlText w:val="%2."/>
      <w:lvlJc w:val="left"/>
      <w:pPr>
        <w:ind w:left="2263" w:hanging="360"/>
      </w:pPr>
    </w:lvl>
    <w:lvl w:ilvl="2" w:tplc="0409001B">
      <w:start w:val="1"/>
      <w:numFmt w:val="lowerRoman"/>
      <w:lvlText w:val="%3."/>
      <w:lvlJc w:val="right"/>
      <w:pPr>
        <w:ind w:left="2983" w:hanging="180"/>
      </w:pPr>
    </w:lvl>
    <w:lvl w:ilvl="3" w:tplc="0409000F">
      <w:start w:val="1"/>
      <w:numFmt w:val="decimal"/>
      <w:lvlText w:val="%4."/>
      <w:lvlJc w:val="left"/>
      <w:pPr>
        <w:ind w:left="3703" w:hanging="360"/>
      </w:pPr>
    </w:lvl>
    <w:lvl w:ilvl="4" w:tplc="04090019">
      <w:start w:val="1"/>
      <w:numFmt w:val="lowerLetter"/>
      <w:lvlText w:val="%5."/>
      <w:lvlJc w:val="left"/>
      <w:pPr>
        <w:ind w:left="4423" w:hanging="360"/>
      </w:pPr>
    </w:lvl>
    <w:lvl w:ilvl="5" w:tplc="0409001B">
      <w:start w:val="1"/>
      <w:numFmt w:val="lowerRoman"/>
      <w:lvlText w:val="%6."/>
      <w:lvlJc w:val="right"/>
      <w:pPr>
        <w:ind w:left="5143" w:hanging="180"/>
      </w:pPr>
    </w:lvl>
    <w:lvl w:ilvl="6" w:tplc="0409000F">
      <w:start w:val="1"/>
      <w:numFmt w:val="decimal"/>
      <w:lvlText w:val="%7."/>
      <w:lvlJc w:val="left"/>
      <w:pPr>
        <w:ind w:left="5863" w:hanging="360"/>
      </w:pPr>
    </w:lvl>
    <w:lvl w:ilvl="7" w:tplc="04090019">
      <w:start w:val="1"/>
      <w:numFmt w:val="lowerLetter"/>
      <w:lvlText w:val="%8."/>
      <w:lvlJc w:val="left"/>
      <w:pPr>
        <w:ind w:left="6583" w:hanging="360"/>
      </w:pPr>
    </w:lvl>
    <w:lvl w:ilvl="8" w:tplc="0409001B">
      <w:start w:val="1"/>
      <w:numFmt w:val="lowerRoman"/>
      <w:lvlText w:val="%9."/>
      <w:lvlJc w:val="right"/>
      <w:pPr>
        <w:ind w:left="7303" w:hanging="180"/>
      </w:pPr>
    </w:lvl>
  </w:abstractNum>
  <w:num w:numId="1" w16cid:durableId="21023340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0D7F"/>
    <w:rsid w:val="00030D7F"/>
    <w:rsid w:val="002C1ADD"/>
    <w:rsid w:val="003C4690"/>
    <w:rsid w:val="00435C7C"/>
    <w:rsid w:val="00797F30"/>
    <w:rsid w:val="008B1C9A"/>
    <w:rsid w:val="00933B67"/>
    <w:rsid w:val="009D0DEF"/>
    <w:rsid w:val="00A344FA"/>
    <w:rsid w:val="00A912ED"/>
    <w:rsid w:val="00B703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FFC67C"/>
  <w15:chartTrackingRefBased/>
  <w15:docId w15:val="{152804A0-D52B-4A45-9714-3757C185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0D7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30D7F"/>
    <w:pPr>
      <w:tabs>
        <w:tab w:val="center" w:pos="4153"/>
        <w:tab w:val="right" w:pos="8306"/>
      </w:tabs>
    </w:pPr>
  </w:style>
  <w:style w:type="character" w:customStyle="1" w:styleId="a4">
    <w:name w:val="כותרת עליונה תו"/>
    <w:link w:val="a3"/>
    <w:rsid w:val="00030D7F"/>
    <w:rPr>
      <w:rFonts w:ascii="Times New Roman" w:eastAsia="Times New Roman" w:hAnsi="Times New Roman" w:cs="David"/>
      <w:sz w:val="24"/>
      <w:szCs w:val="24"/>
    </w:rPr>
  </w:style>
  <w:style w:type="paragraph" w:styleId="a5">
    <w:name w:val="footer"/>
    <w:basedOn w:val="a"/>
    <w:link w:val="a6"/>
    <w:rsid w:val="00030D7F"/>
    <w:pPr>
      <w:tabs>
        <w:tab w:val="center" w:pos="4153"/>
        <w:tab w:val="right" w:pos="8306"/>
      </w:tabs>
    </w:pPr>
  </w:style>
  <w:style w:type="character" w:customStyle="1" w:styleId="a6">
    <w:name w:val="כותרת תחתונה תו"/>
    <w:link w:val="a5"/>
    <w:rsid w:val="00030D7F"/>
    <w:rPr>
      <w:rFonts w:ascii="Times New Roman" w:eastAsia="Times New Roman" w:hAnsi="Times New Roman" w:cs="David"/>
      <w:sz w:val="24"/>
      <w:szCs w:val="24"/>
    </w:rPr>
  </w:style>
  <w:style w:type="table" w:styleId="a7">
    <w:name w:val="Table Grid"/>
    <w:basedOn w:val="a1"/>
    <w:rsid w:val="00030D7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30D7F"/>
  </w:style>
  <w:style w:type="character" w:styleId="Hyperlink">
    <w:name w:val="Hyperlink"/>
    <w:rsid w:val="00A344F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0301/40jc.c" TargetMode="External"/><Relationship Id="rId39" Type="http://schemas.openxmlformats.org/officeDocument/2006/relationships/hyperlink" Target="http://www.nevo.co.il/case/20033653" TargetMode="External"/><Relationship Id="rId21" Type="http://schemas.openxmlformats.org/officeDocument/2006/relationships/hyperlink" Target="http://www.nevo.co.il/law/70301/340a.b.1" TargetMode="External"/><Relationship Id="rId34" Type="http://schemas.openxmlformats.org/officeDocument/2006/relationships/hyperlink" Target="http://www.nevo.co.il/case/30315066" TargetMode="External"/><Relationship Id="rId42" Type="http://schemas.openxmlformats.org/officeDocument/2006/relationships/hyperlink" Target="http://www.nevo.co.il/law/70301/40g"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a" TargetMode="External"/><Relationship Id="rId29" Type="http://schemas.openxmlformats.org/officeDocument/2006/relationships/hyperlink" Target="http://www.nevo.co.il/case/25824863" TargetMode="External"/><Relationship Id="rId11" Type="http://schemas.openxmlformats.org/officeDocument/2006/relationships/hyperlink" Target="http://www.nevo.co.il/law/70301/144" TargetMode="External"/><Relationship Id="rId24" Type="http://schemas.openxmlformats.org/officeDocument/2006/relationships/hyperlink" Target="http://www.nevo.co.il/case/5576587" TargetMode="External"/><Relationship Id="rId32" Type="http://schemas.openxmlformats.org/officeDocument/2006/relationships/hyperlink" Target="http://www.nevo.co.il/case/28883087" TargetMode="External"/><Relationship Id="rId37" Type="http://schemas.openxmlformats.org/officeDocument/2006/relationships/hyperlink" Target="http://www.nevo.co.il/case/23509035" TargetMode="External"/><Relationship Id="rId40" Type="http://schemas.openxmlformats.org/officeDocument/2006/relationships/hyperlink" Target="http://www.nevo.co.il/law/70301/40i" TargetMode="External"/><Relationship Id="rId45" Type="http://schemas.openxmlformats.org/officeDocument/2006/relationships/hyperlink" Target="http://www.nevo.co.il/law/70301/340a" TargetMode="Externa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8152125" TargetMode="External"/><Relationship Id="rId49" Type="http://schemas.openxmlformats.org/officeDocument/2006/relationships/footer" Target="footer1.xml"/><Relationship Id="rId10" Type="http://schemas.openxmlformats.org/officeDocument/2006/relationships/hyperlink" Target="http://www.nevo.co.il/law/70301/40i" TargetMode="External"/><Relationship Id="rId19" Type="http://schemas.openxmlformats.org/officeDocument/2006/relationships/hyperlink" Target="http://www.nevo.co.il/law/70301/31" TargetMode="External"/><Relationship Id="rId31" Type="http://schemas.openxmlformats.org/officeDocument/2006/relationships/hyperlink" Target="http://www.nevo.co.il/case/22690203" TargetMode="External"/><Relationship Id="rId44" Type="http://schemas.openxmlformats.org/officeDocument/2006/relationships/hyperlink" Target="http://www.nevo.co.il/law/7030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g"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law/70301/31" TargetMode="External"/><Relationship Id="rId27" Type="http://schemas.openxmlformats.org/officeDocument/2006/relationships/hyperlink" Target="http://www.nevo.co.il/case/26905927" TargetMode="External"/><Relationship Id="rId30" Type="http://schemas.openxmlformats.org/officeDocument/2006/relationships/hyperlink" Target="http://www.nevo.co.il/case/21771409" TargetMode="External"/><Relationship Id="rId35" Type="http://schemas.openxmlformats.org/officeDocument/2006/relationships/hyperlink" Target="http://www.nevo.co.il/case/30019073" TargetMode="External"/><Relationship Id="rId43" Type="http://schemas.openxmlformats.org/officeDocument/2006/relationships/hyperlink" Target="http://www.nevo.co.il/law/70301/144" TargetMode="External"/><Relationship Id="rId48" Type="http://schemas.openxmlformats.org/officeDocument/2006/relationships/header" Target="header2.xml"/><Relationship Id="rId8" Type="http://schemas.openxmlformats.org/officeDocument/2006/relationships/hyperlink" Target="http://www.nevo.co.il/law/70301/31"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jc.c" TargetMode="External"/><Relationship Id="rId25" Type="http://schemas.openxmlformats.org/officeDocument/2006/relationships/hyperlink" Target="http://www.nevo.co.il/law/70301/40jc.a" TargetMode="External"/><Relationship Id="rId33" Type="http://schemas.openxmlformats.org/officeDocument/2006/relationships/hyperlink" Target="http://www.nevo.co.il/case/28697227" TargetMode="External"/><Relationship Id="rId38" Type="http://schemas.openxmlformats.org/officeDocument/2006/relationships/hyperlink" Target="http://www.nevo.co.il/case/26492590"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2263</Words>
  <Characters>11319</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13555</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86</vt:i4>
      </vt:variant>
      <vt:variant>
        <vt:i4>114</vt:i4>
      </vt:variant>
      <vt:variant>
        <vt:i4>0</vt:i4>
      </vt:variant>
      <vt:variant>
        <vt:i4>5</vt:i4>
      </vt:variant>
      <vt:variant>
        <vt:lpwstr>http://www.nevo.co.il/law/70301/340a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6357092</vt:i4>
      </vt:variant>
      <vt:variant>
        <vt:i4>108</vt:i4>
      </vt:variant>
      <vt:variant>
        <vt:i4>0</vt:i4>
      </vt:variant>
      <vt:variant>
        <vt:i4>5</vt:i4>
      </vt:variant>
      <vt:variant>
        <vt:lpwstr>http://www.nevo.co.il/law/70301/144</vt:lpwstr>
      </vt:variant>
      <vt:variant>
        <vt:lpwstr/>
      </vt:variant>
      <vt:variant>
        <vt:i4>6619233</vt:i4>
      </vt:variant>
      <vt:variant>
        <vt:i4>105</vt:i4>
      </vt:variant>
      <vt:variant>
        <vt:i4>0</vt:i4>
      </vt:variant>
      <vt:variant>
        <vt:i4>5</vt:i4>
      </vt:variant>
      <vt:variant>
        <vt:lpwstr>http://www.nevo.co.il/law/70301/40g</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6619233</vt:i4>
      </vt:variant>
      <vt:variant>
        <vt:i4>99</vt:i4>
      </vt:variant>
      <vt:variant>
        <vt:i4>0</vt:i4>
      </vt:variant>
      <vt:variant>
        <vt:i4>5</vt:i4>
      </vt:variant>
      <vt:variant>
        <vt:lpwstr>http://www.nevo.co.il/law/70301/40i</vt:lpwstr>
      </vt:variant>
      <vt:variant>
        <vt:lpwstr/>
      </vt:variant>
      <vt:variant>
        <vt:i4>3407985</vt:i4>
      </vt:variant>
      <vt:variant>
        <vt:i4>96</vt:i4>
      </vt:variant>
      <vt:variant>
        <vt:i4>0</vt:i4>
      </vt:variant>
      <vt:variant>
        <vt:i4>5</vt:i4>
      </vt:variant>
      <vt:variant>
        <vt:lpwstr>http://www.nevo.co.il/case/20033653</vt:lpwstr>
      </vt:variant>
      <vt:variant>
        <vt:lpwstr/>
      </vt:variant>
      <vt:variant>
        <vt:i4>3997822</vt:i4>
      </vt:variant>
      <vt:variant>
        <vt:i4>93</vt:i4>
      </vt:variant>
      <vt:variant>
        <vt:i4>0</vt:i4>
      </vt:variant>
      <vt:variant>
        <vt:i4>5</vt:i4>
      </vt:variant>
      <vt:variant>
        <vt:lpwstr>http://www.nevo.co.il/case/26492590</vt:lpwstr>
      </vt:variant>
      <vt:variant>
        <vt:lpwstr/>
      </vt:variant>
      <vt:variant>
        <vt:i4>3997815</vt:i4>
      </vt:variant>
      <vt:variant>
        <vt:i4>90</vt:i4>
      </vt:variant>
      <vt:variant>
        <vt:i4>0</vt:i4>
      </vt:variant>
      <vt:variant>
        <vt:i4>5</vt:i4>
      </vt:variant>
      <vt:variant>
        <vt:lpwstr>http://www.nevo.co.il/case/23509035</vt:lpwstr>
      </vt:variant>
      <vt:variant>
        <vt:lpwstr/>
      </vt:variant>
      <vt:variant>
        <vt:i4>3342456</vt:i4>
      </vt:variant>
      <vt:variant>
        <vt:i4>87</vt:i4>
      </vt:variant>
      <vt:variant>
        <vt:i4>0</vt:i4>
      </vt:variant>
      <vt:variant>
        <vt:i4>5</vt:i4>
      </vt:variant>
      <vt:variant>
        <vt:lpwstr>http://www.nevo.co.il/case/28152125</vt:lpwstr>
      </vt:variant>
      <vt:variant>
        <vt:lpwstr/>
      </vt:variant>
      <vt:variant>
        <vt:i4>3997813</vt:i4>
      </vt:variant>
      <vt:variant>
        <vt:i4>84</vt:i4>
      </vt:variant>
      <vt:variant>
        <vt:i4>0</vt:i4>
      </vt:variant>
      <vt:variant>
        <vt:i4>5</vt:i4>
      </vt:variant>
      <vt:variant>
        <vt:lpwstr>http://www.nevo.co.il/case/30019073</vt:lpwstr>
      </vt:variant>
      <vt:variant>
        <vt:lpwstr/>
      </vt:variant>
      <vt:variant>
        <vt:i4>3342453</vt:i4>
      </vt:variant>
      <vt:variant>
        <vt:i4>81</vt:i4>
      </vt:variant>
      <vt:variant>
        <vt:i4>0</vt:i4>
      </vt:variant>
      <vt:variant>
        <vt:i4>5</vt:i4>
      </vt:variant>
      <vt:variant>
        <vt:lpwstr>http://www.nevo.co.il/case/30315066</vt:lpwstr>
      </vt:variant>
      <vt:variant>
        <vt:lpwstr/>
      </vt:variant>
      <vt:variant>
        <vt:i4>3211383</vt:i4>
      </vt:variant>
      <vt:variant>
        <vt:i4>78</vt:i4>
      </vt:variant>
      <vt:variant>
        <vt:i4>0</vt:i4>
      </vt:variant>
      <vt:variant>
        <vt:i4>5</vt:i4>
      </vt:variant>
      <vt:variant>
        <vt:lpwstr>http://www.nevo.co.il/case/28697227</vt:lpwstr>
      </vt:variant>
      <vt:variant>
        <vt:lpwstr/>
      </vt:variant>
      <vt:variant>
        <vt:i4>3211380</vt:i4>
      </vt:variant>
      <vt:variant>
        <vt:i4>75</vt:i4>
      </vt:variant>
      <vt:variant>
        <vt:i4>0</vt:i4>
      </vt:variant>
      <vt:variant>
        <vt:i4>5</vt:i4>
      </vt:variant>
      <vt:variant>
        <vt:lpwstr>http://www.nevo.co.il/case/28883087</vt:lpwstr>
      </vt:variant>
      <vt:variant>
        <vt:lpwstr/>
      </vt:variant>
      <vt:variant>
        <vt:i4>3407997</vt:i4>
      </vt:variant>
      <vt:variant>
        <vt:i4>72</vt:i4>
      </vt:variant>
      <vt:variant>
        <vt:i4>0</vt:i4>
      </vt:variant>
      <vt:variant>
        <vt:i4>5</vt:i4>
      </vt:variant>
      <vt:variant>
        <vt:lpwstr>http://www.nevo.co.il/case/22690203</vt:lpwstr>
      </vt:variant>
      <vt:variant>
        <vt:lpwstr/>
      </vt:variant>
      <vt:variant>
        <vt:i4>3407990</vt:i4>
      </vt:variant>
      <vt:variant>
        <vt:i4>69</vt:i4>
      </vt:variant>
      <vt:variant>
        <vt:i4>0</vt:i4>
      </vt:variant>
      <vt:variant>
        <vt:i4>5</vt:i4>
      </vt:variant>
      <vt:variant>
        <vt:lpwstr>http://www.nevo.co.il/case/21771409</vt:lpwstr>
      </vt:variant>
      <vt:variant>
        <vt:lpwstr/>
      </vt:variant>
      <vt:variant>
        <vt:i4>3670139</vt:i4>
      </vt:variant>
      <vt:variant>
        <vt:i4>66</vt:i4>
      </vt:variant>
      <vt:variant>
        <vt:i4>0</vt:i4>
      </vt:variant>
      <vt:variant>
        <vt:i4>5</vt:i4>
      </vt:variant>
      <vt:variant>
        <vt:lpwstr>http://www.nevo.co.il/case/25824863</vt:lpwstr>
      </vt:variant>
      <vt:variant>
        <vt:lpwstr/>
      </vt:variant>
      <vt:variant>
        <vt:i4>7995492</vt:i4>
      </vt:variant>
      <vt:variant>
        <vt:i4>63</vt:i4>
      </vt:variant>
      <vt:variant>
        <vt:i4>0</vt:i4>
      </vt:variant>
      <vt:variant>
        <vt:i4>5</vt:i4>
      </vt:variant>
      <vt:variant>
        <vt:lpwstr>http://www.nevo.co.il/law/70301</vt:lpwstr>
      </vt:variant>
      <vt:variant>
        <vt:lpwstr/>
      </vt:variant>
      <vt:variant>
        <vt:i4>3932283</vt:i4>
      </vt:variant>
      <vt:variant>
        <vt:i4>60</vt:i4>
      </vt:variant>
      <vt:variant>
        <vt:i4>0</vt:i4>
      </vt:variant>
      <vt:variant>
        <vt:i4>5</vt:i4>
      </vt:variant>
      <vt:variant>
        <vt:lpwstr>http://www.nevo.co.il/case/26905927</vt:lpwstr>
      </vt:variant>
      <vt:variant>
        <vt:lpwstr/>
      </vt:variant>
      <vt:variant>
        <vt:i4>6619173</vt:i4>
      </vt:variant>
      <vt:variant>
        <vt:i4>57</vt:i4>
      </vt:variant>
      <vt:variant>
        <vt:i4>0</vt:i4>
      </vt:variant>
      <vt:variant>
        <vt:i4>5</vt:i4>
      </vt:variant>
      <vt:variant>
        <vt:lpwstr>http://www.nevo.co.il/law/70301/40jc.c</vt:lpwstr>
      </vt:variant>
      <vt:variant>
        <vt:lpwstr/>
      </vt:variant>
      <vt:variant>
        <vt:i4>6750245</vt:i4>
      </vt:variant>
      <vt:variant>
        <vt:i4>54</vt:i4>
      </vt:variant>
      <vt:variant>
        <vt:i4>0</vt:i4>
      </vt:variant>
      <vt:variant>
        <vt:i4>5</vt:i4>
      </vt:variant>
      <vt:variant>
        <vt:lpwstr>http://www.nevo.co.il/law/70301/40jc.a</vt:lpwstr>
      </vt:variant>
      <vt:variant>
        <vt:lpwstr/>
      </vt:variant>
      <vt:variant>
        <vt:i4>3145855</vt:i4>
      </vt:variant>
      <vt:variant>
        <vt:i4>51</vt:i4>
      </vt:variant>
      <vt:variant>
        <vt:i4>0</vt:i4>
      </vt:variant>
      <vt:variant>
        <vt:i4>5</vt:i4>
      </vt:variant>
      <vt:variant>
        <vt:lpwstr>http://www.nevo.co.il/case/5576587</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5439574</vt:i4>
      </vt:variant>
      <vt:variant>
        <vt:i4>42</vt:i4>
      </vt:variant>
      <vt:variant>
        <vt:i4>0</vt:i4>
      </vt:variant>
      <vt:variant>
        <vt:i4>5</vt:i4>
      </vt:variant>
      <vt:variant>
        <vt:lpwstr>http://www.nevo.co.il/law/70301/340a.b.1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6619173</vt:i4>
      </vt:variant>
      <vt:variant>
        <vt:i4>30</vt:i4>
      </vt:variant>
      <vt:variant>
        <vt:i4>0</vt:i4>
      </vt:variant>
      <vt:variant>
        <vt:i4>5</vt:i4>
      </vt:variant>
      <vt:variant>
        <vt:lpwstr>http://www.nevo.co.il/law/70301/40jc.c</vt:lpwstr>
      </vt:variant>
      <vt:variant>
        <vt:lpwstr/>
      </vt:variant>
      <vt:variant>
        <vt:i4>6750245</vt:i4>
      </vt:variant>
      <vt:variant>
        <vt:i4>27</vt:i4>
      </vt:variant>
      <vt:variant>
        <vt:i4>0</vt:i4>
      </vt:variant>
      <vt:variant>
        <vt:i4>5</vt:i4>
      </vt:variant>
      <vt:variant>
        <vt:lpwstr>http://www.nevo.co.il/law/70301/40jc.a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86</vt:i4>
      </vt:variant>
      <vt:variant>
        <vt:i4>18</vt:i4>
      </vt:variant>
      <vt:variant>
        <vt:i4>0</vt:i4>
      </vt:variant>
      <vt:variant>
        <vt:i4>5</vt:i4>
      </vt:variant>
      <vt:variant>
        <vt:lpwstr>http://www.nevo.co.il/law/70301/340a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2025-04-25T11:03:00Z</dcterms:created>
  <dcterms:modified xsi:type="dcterms:W3CDTF">2025-04-25T11:03:00Z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30744</vt:lpwstr>
  </property>
  <property fmtid="{D5CDD505-2E9C-101B-9397-08002B2CF9AE}" pid="6" name="NEWPARTB">
    <vt:lpwstr>08</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עמאר מג'דוב</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20250402</vt:lpwstr>
  </property>
  <property fmtid="{D5CDD505-2E9C-101B-9397-08002B2CF9AE}" pid="13" name="TYPE_N_DATE">
    <vt:lpwstr>39020250402</vt:lpwstr>
  </property>
  <property fmtid="{D5CDD505-2E9C-101B-9397-08002B2CF9AE}" pid="14" name="CASESLISTTMP1">
    <vt:lpwstr>13093721;5576587;26905927;25824863;21771409;22690203;28883087;28697227;30315066;30019073;28152125;23509035;26492590;20033653</vt:lpwstr>
  </property>
  <property fmtid="{D5CDD505-2E9C-101B-9397-08002B2CF9AE}" pid="15" name="WORDNUMPAGES">
    <vt:lpwstr>6</vt:lpwstr>
  </property>
  <property fmtid="{D5CDD505-2E9C-101B-9397-08002B2CF9AE}" pid="16" name="TYPE_ABS_DATE">
    <vt:lpwstr>390020250402</vt:lpwstr>
  </property>
  <property fmtid="{D5CDD505-2E9C-101B-9397-08002B2CF9AE}" pid="17" name="ISABSTRACT">
    <vt:lpwstr>Y</vt:lpwstr>
  </property>
  <property fmtid="{D5CDD505-2E9C-101B-9397-08002B2CF9AE}" pid="18" name="LAWLISTTMP1">
    <vt:lpwstr>70301/144.b;031:2;340a.b.1;40jc.a;40jc.c;040i;40ja;040g;144;340a</vt:lpwstr>
  </property>
</Properties>
</file>