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601C80" w:rsidRPr="0005499E" w14:paraId="1E130A06" w14:textId="77777777" w:rsidTr="00EA0815">
        <w:trPr>
          <w:trHeight w:hRule="exact" w:val="418"/>
          <w:jc w:val="center"/>
        </w:trPr>
        <w:tc>
          <w:tcPr>
            <w:tcW w:w="8721" w:type="dxa"/>
            <w:gridSpan w:val="2"/>
          </w:tcPr>
          <w:p w14:paraId="2A6C76B7" w14:textId="77777777" w:rsidR="00601C80" w:rsidRPr="0005499E" w:rsidRDefault="00601C80" w:rsidP="003E720F">
            <w:pPr>
              <w:pStyle w:val="a3"/>
              <w:jc w:val="center"/>
              <w:rPr>
                <w:rFonts w:ascii="Tahoma" w:hAnsi="Tahoma" w:cs="Tahoma"/>
                <w:color w:val="000080"/>
                <w:rtl/>
              </w:rPr>
            </w:pPr>
            <w:r w:rsidRPr="0005499E">
              <w:rPr>
                <w:rFonts w:ascii="Tahoma" w:hAnsi="Tahoma" w:cs="Tahoma"/>
                <w:b/>
                <w:bCs/>
                <w:color w:val="000080"/>
                <w:rtl/>
              </w:rPr>
              <w:t>בית המשפט המחוזי בחיפה</w:t>
            </w:r>
          </w:p>
        </w:tc>
      </w:tr>
      <w:tr w:rsidR="00601C80" w:rsidRPr="0005499E" w14:paraId="2E4AA921" w14:textId="77777777" w:rsidTr="00EA0815">
        <w:trPr>
          <w:trHeight w:val="337"/>
          <w:jc w:val="center"/>
        </w:trPr>
        <w:tc>
          <w:tcPr>
            <w:tcW w:w="5061" w:type="dxa"/>
          </w:tcPr>
          <w:p w14:paraId="5B743CDA" w14:textId="77777777" w:rsidR="00601C80" w:rsidRPr="0005499E" w:rsidRDefault="00601C80" w:rsidP="003E720F">
            <w:pPr>
              <w:rPr>
                <w:rFonts w:cs="FrankRuehl"/>
                <w:sz w:val="28"/>
                <w:szCs w:val="28"/>
                <w:rtl/>
              </w:rPr>
            </w:pPr>
            <w:r w:rsidRPr="0005499E">
              <w:rPr>
                <w:b/>
                <w:bCs/>
                <w:sz w:val="26"/>
                <w:szCs w:val="26"/>
                <w:rtl/>
              </w:rPr>
              <w:t>ת"פ</w:t>
            </w:r>
            <w:r w:rsidRPr="0005499E">
              <w:rPr>
                <w:rFonts w:cs="FrankRuehl" w:hint="cs"/>
                <w:sz w:val="28"/>
                <w:szCs w:val="28"/>
                <w:rtl/>
              </w:rPr>
              <w:t xml:space="preserve"> </w:t>
            </w:r>
            <w:r w:rsidRPr="0005499E">
              <w:rPr>
                <w:b/>
                <w:bCs/>
                <w:sz w:val="26"/>
                <w:szCs w:val="26"/>
                <w:rtl/>
              </w:rPr>
              <w:t>45008-08-24</w:t>
            </w:r>
            <w:r w:rsidRPr="0005499E">
              <w:rPr>
                <w:rFonts w:cs="FrankRuehl" w:hint="cs"/>
                <w:sz w:val="28"/>
                <w:szCs w:val="28"/>
                <w:rtl/>
              </w:rPr>
              <w:t xml:space="preserve"> </w:t>
            </w:r>
            <w:r w:rsidRPr="0005499E">
              <w:rPr>
                <w:b/>
                <w:bCs/>
                <w:sz w:val="26"/>
                <w:szCs w:val="26"/>
                <w:rtl/>
              </w:rPr>
              <w:t>מדינת ישראל נ' תורכמאן(עציר)</w:t>
            </w:r>
          </w:p>
          <w:p w14:paraId="154F6BA3" w14:textId="77777777" w:rsidR="00601C80" w:rsidRPr="0005499E" w:rsidRDefault="00601C80" w:rsidP="003E720F">
            <w:pPr>
              <w:pStyle w:val="a3"/>
              <w:rPr>
                <w:rFonts w:cs="FrankRuehl"/>
                <w:sz w:val="28"/>
                <w:szCs w:val="28"/>
                <w:rtl/>
              </w:rPr>
            </w:pPr>
          </w:p>
        </w:tc>
        <w:tc>
          <w:tcPr>
            <w:tcW w:w="3660" w:type="dxa"/>
          </w:tcPr>
          <w:p w14:paraId="22E10A08" w14:textId="77777777" w:rsidR="00601C80" w:rsidRPr="0005499E" w:rsidRDefault="00601C80" w:rsidP="003E720F">
            <w:pPr>
              <w:pStyle w:val="a3"/>
              <w:jc w:val="right"/>
              <w:rPr>
                <w:rFonts w:cs="FrankRuehl"/>
                <w:sz w:val="28"/>
                <w:szCs w:val="28"/>
                <w:rtl/>
              </w:rPr>
            </w:pPr>
          </w:p>
        </w:tc>
      </w:tr>
    </w:tbl>
    <w:p w14:paraId="014710C3" w14:textId="77777777" w:rsidR="00601C80" w:rsidRPr="0005499E" w:rsidRDefault="00601C80" w:rsidP="00601C80">
      <w:pPr>
        <w:pStyle w:val="a3"/>
        <w:rPr>
          <w:rtl/>
        </w:rPr>
      </w:pPr>
      <w:r w:rsidRPr="0005499E">
        <w:rPr>
          <w:rFonts w:hint="cs"/>
          <w:rtl/>
        </w:rPr>
        <w:t xml:space="preserve"> </w:t>
      </w:r>
    </w:p>
    <w:p w14:paraId="1E5ABE0B" w14:textId="77777777" w:rsidR="00601C80" w:rsidRPr="0005499E" w:rsidRDefault="00601C80" w:rsidP="00601C80">
      <w:pPr>
        <w:rPr>
          <w:rtl/>
        </w:rPr>
      </w:pPr>
    </w:p>
    <w:p w14:paraId="1A395E20" w14:textId="77777777" w:rsidR="00601C80" w:rsidRPr="0005499E" w:rsidRDefault="00601C80" w:rsidP="00601C8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01C80" w:rsidRPr="0005499E" w14:paraId="6527E1F7" w14:textId="77777777" w:rsidTr="00601C80">
        <w:trPr>
          <w:trHeight w:val="295"/>
          <w:jc w:val="center"/>
        </w:trPr>
        <w:tc>
          <w:tcPr>
            <w:tcW w:w="923" w:type="dxa"/>
            <w:tcBorders>
              <w:top w:val="nil"/>
              <w:left w:val="nil"/>
              <w:bottom w:val="nil"/>
              <w:right w:val="nil"/>
            </w:tcBorders>
            <w:shd w:val="clear" w:color="auto" w:fill="auto"/>
          </w:tcPr>
          <w:p w14:paraId="25DCC476" w14:textId="77777777" w:rsidR="00601C80" w:rsidRPr="0005499E" w:rsidRDefault="00601C80" w:rsidP="00601C80">
            <w:pPr>
              <w:jc w:val="both"/>
              <w:rPr>
                <w:rFonts w:ascii="David" w:hAnsi="David"/>
                <w:b/>
                <w:bCs/>
                <w:sz w:val="26"/>
                <w:szCs w:val="26"/>
              </w:rPr>
            </w:pPr>
            <w:r w:rsidRPr="0005499E">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2169A1FF" w14:textId="77777777" w:rsidR="00601C80" w:rsidRPr="0005499E" w:rsidRDefault="00601C80" w:rsidP="00601C80">
            <w:pPr>
              <w:jc w:val="both"/>
              <w:rPr>
                <w:rFonts w:ascii="David" w:hAnsi="David"/>
                <w:b/>
                <w:bCs/>
                <w:sz w:val="26"/>
                <w:szCs w:val="26"/>
                <w:rtl/>
              </w:rPr>
            </w:pPr>
            <w:r w:rsidRPr="0005499E">
              <w:rPr>
                <w:rFonts w:ascii="David" w:hAnsi="David"/>
                <w:b/>
                <w:bCs/>
                <w:sz w:val="26"/>
                <w:szCs w:val="26"/>
                <w:rtl/>
              </w:rPr>
              <w:t>כב' הנשיא, השופט אבי לוי</w:t>
            </w:r>
          </w:p>
          <w:p w14:paraId="6C787B87" w14:textId="77777777" w:rsidR="00601C80" w:rsidRPr="0005499E" w:rsidRDefault="00601C80" w:rsidP="00601C80">
            <w:pPr>
              <w:jc w:val="both"/>
              <w:rPr>
                <w:rFonts w:ascii="David" w:hAnsi="David"/>
                <w:b/>
                <w:bCs/>
                <w:sz w:val="26"/>
                <w:szCs w:val="26"/>
              </w:rPr>
            </w:pPr>
          </w:p>
        </w:tc>
      </w:tr>
      <w:tr w:rsidR="00601C80" w:rsidRPr="0005499E" w14:paraId="7D0F6728" w14:textId="77777777" w:rsidTr="00601C80">
        <w:trPr>
          <w:trHeight w:val="355"/>
          <w:jc w:val="center"/>
        </w:trPr>
        <w:tc>
          <w:tcPr>
            <w:tcW w:w="923" w:type="dxa"/>
            <w:tcBorders>
              <w:top w:val="nil"/>
              <w:left w:val="nil"/>
              <w:bottom w:val="nil"/>
              <w:right w:val="nil"/>
            </w:tcBorders>
            <w:shd w:val="clear" w:color="auto" w:fill="auto"/>
          </w:tcPr>
          <w:p w14:paraId="4614A2F6" w14:textId="77777777" w:rsidR="00601C80" w:rsidRPr="0005499E" w:rsidRDefault="00601C80" w:rsidP="00601C80">
            <w:pPr>
              <w:jc w:val="both"/>
              <w:rPr>
                <w:rFonts w:ascii="David" w:hAnsi="David"/>
                <w:b/>
                <w:bCs/>
                <w:sz w:val="26"/>
                <w:szCs w:val="26"/>
              </w:rPr>
            </w:pPr>
            <w:bookmarkStart w:id="0" w:name="FirstAppellant"/>
            <w:bookmarkStart w:id="1" w:name="LastJudge"/>
            <w:bookmarkEnd w:id="1"/>
            <w:r w:rsidRPr="0005499E">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20BC963B" w14:textId="77777777" w:rsidR="00601C80" w:rsidRPr="0005499E" w:rsidRDefault="00601C80" w:rsidP="003E720F">
            <w:pPr>
              <w:rPr>
                <w:rFonts w:ascii="David" w:hAnsi="David"/>
                <w:b/>
                <w:bCs/>
                <w:sz w:val="26"/>
                <w:szCs w:val="26"/>
              </w:rPr>
            </w:pPr>
            <w:r w:rsidRPr="0005499E">
              <w:rPr>
                <w:rFonts w:ascii="David" w:hAnsi="David" w:hint="cs"/>
                <w:b/>
                <w:bCs/>
                <w:sz w:val="26"/>
                <w:szCs w:val="26"/>
                <w:rtl/>
              </w:rPr>
              <w:t>המאשימה</w:t>
            </w:r>
          </w:p>
        </w:tc>
        <w:tc>
          <w:tcPr>
            <w:tcW w:w="3771" w:type="dxa"/>
            <w:tcBorders>
              <w:top w:val="nil"/>
              <w:left w:val="nil"/>
              <w:bottom w:val="nil"/>
              <w:right w:val="nil"/>
            </w:tcBorders>
            <w:shd w:val="clear" w:color="auto" w:fill="auto"/>
          </w:tcPr>
          <w:p w14:paraId="7DDC0742" w14:textId="77777777" w:rsidR="00601C80" w:rsidRPr="0005499E" w:rsidRDefault="00601C80" w:rsidP="00601C80">
            <w:pPr>
              <w:jc w:val="both"/>
              <w:rPr>
                <w:rFonts w:ascii="David" w:hAnsi="David"/>
                <w:b/>
                <w:bCs/>
                <w:sz w:val="26"/>
                <w:szCs w:val="26"/>
              </w:rPr>
            </w:pPr>
            <w:r w:rsidRPr="0005499E">
              <w:rPr>
                <w:rFonts w:ascii="David" w:hAnsi="David" w:hint="cs"/>
                <w:b/>
                <w:bCs/>
                <w:sz w:val="26"/>
                <w:szCs w:val="26"/>
                <w:rtl/>
              </w:rPr>
              <w:t xml:space="preserve">מדינת ישראל </w:t>
            </w:r>
          </w:p>
        </w:tc>
      </w:tr>
      <w:bookmarkEnd w:id="0"/>
      <w:tr w:rsidR="00601C80" w:rsidRPr="0005499E" w14:paraId="7A1E03CD" w14:textId="77777777" w:rsidTr="00601C80">
        <w:trPr>
          <w:trHeight w:val="355"/>
          <w:jc w:val="center"/>
        </w:trPr>
        <w:tc>
          <w:tcPr>
            <w:tcW w:w="923" w:type="dxa"/>
            <w:tcBorders>
              <w:top w:val="nil"/>
              <w:left w:val="nil"/>
              <w:bottom w:val="nil"/>
              <w:right w:val="nil"/>
            </w:tcBorders>
            <w:shd w:val="clear" w:color="auto" w:fill="auto"/>
          </w:tcPr>
          <w:p w14:paraId="52F57738" w14:textId="77777777" w:rsidR="00601C80" w:rsidRPr="0005499E" w:rsidRDefault="00601C80" w:rsidP="00601C80">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2DEB8BC4" w14:textId="77777777" w:rsidR="00601C80" w:rsidRPr="0005499E" w:rsidRDefault="00601C80" w:rsidP="00601C80">
            <w:pPr>
              <w:jc w:val="center"/>
              <w:rPr>
                <w:rFonts w:ascii="David" w:hAnsi="David"/>
                <w:b/>
                <w:bCs/>
                <w:sz w:val="26"/>
                <w:szCs w:val="26"/>
                <w:rtl/>
              </w:rPr>
            </w:pPr>
          </w:p>
          <w:p w14:paraId="405DB1AC" w14:textId="77777777" w:rsidR="00601C80" w:rsidRPr="0005499E" w:rsidRDefault="00601C80" w:rsidP="00601C80">
            <w:pPr>
              <w:jc w:val="center"/>
              <w:rPr>
                <w:rFonts w:ascii="David" w:hAnsi="David"/>
                <w:b/>
                <w:bCs/>
                <w:sz w:val="26"/>
                <w:szCs w:val="26"/>
                <w:rtl/>
              </w:rPr>
            </w:pPr>
            <w:r w:rsidRPr="0005499E">
              <w:rPr>
                <w:rFonts w:ascii="David" w:hAnsi="David"/>
                <w:b/>
                <w:bCs/>
                <w:sz w:val="26"/>
                <w:szCs w:val="26"/>
                <w:rtl/>
              </w:rPr>
              <w:t>נגד</w:t>
            </w:r>
          </w:p>
          <w:p w14:paraId="6575FAA9" w14:textId="77777777" w:rsidR="00601C80" w:rsidRPr="0005499E" w:rsidRDefault="00601C80" w:rsidP="00601C80">
            <w:pPr>
              <w:jc w:val="both"/>
              <w:rPr>
                <w:rFonts w:ascii="David" w:hAnsi="David"/>
                <w:b/>
                <w:bCs/>
                <w:sz w:val="26"/>
                <w:szCs w:val="26"/>
              </w:rPr>
            </w:pPr>
          </w:p>
        </w:tc>
      </w:tr>
      <w:tr w:rsidR="00601C80" w:rsidRPr="0005499E" w14:paraId="0C9F6DF5" w14:textId="77777777" w:rsidTr="00601C80">
        <w:trPr>
          <w:trHeight w:val="355"/>
          <w:jc w:val="center"/>
        </w:trPr>
        <w:tc>
          <w:tcPr>
            <w:tcW w:w="923" w:type="dxa"/>
            <w:tcBorders>
              <w:top w:val="nil"/>
              <w:left w:val="nil"/>
              <w:bottom w:val="nil"/>
              <w:right w:val="nil"/>
            </w:tcBorders>
            <w:shd w:val="clear" w:color="auto" w:fill="auto"/>
          </w:tcPr>
          <w:p w14:paraId="6C84CA94" w14:textId="77777777" w:rsidR="00601C80" w:rsidRPr="0005499E" w:rsidRDefault="00601C80" w:rsidP="00601C80">
            <w:pPr>
              <w:jc w:val="both"/>
              <w:rPr>
                <w:rFonts w:ascii="David" w:hAnsi="David"/>
                <w:b/>
                <w:bCs/>
                <w:sz w:val="26"/>
                <w:szCs w:val="26"/>
                <w:rtl/>
              </w:rPr>
            </w:pPr>
          </w:p>
        </w:tc>
        <w:tc>
          <w:tcPr>
            <w:tcW w:w="4126" w:type="dxa"/>
            <w:tcBorders>
              <w:top w:val="nil"/>
              <w:left w:val="nil"/>
              <w:bottom w:val="nil"/>
              <w:right w:val="nil"/>
            </w:tcBorders>
            <w:shd w:val="clear" w:color="auto" w:fill="auto"/>
          </w:tcPr>
          <w:p w14:paraId="3D5C7A64" w14:textId="77777777" w:rsidR="00601C80" w:rsidRPr="0005499E" w:rsidRDefault="00601C80" w:rsidP="00601C80">
            <w:pPr>
              <w:jc w:val="both"/>
              <w:rPr>
                <w:rFonts w:ascii="David" w:hAnsi="David"/>
                <w:b/>
                <w:bCs/>
                <w:sz w:val="26"/>
                <w:szCs w:val="26"/>
                <w:rtl/>
              </w:rPr>
            </w:pPr>
            <w:r w:rsidRPr="0005499E">
              <w:rPr>
                <w:rFonts w:ascii="David" w:hAnsi="David" w:hint="cs"/>
                <w:b/>
                <w:bCs/>
                <w:sz w:val="26"/>
                <w:szCs w:val="26"/>
                <w:rtl/>
              </w:rPr>
              <w:t>הנאשם</w:t>
            </w:r>
          </w:p>
        </w:tc>
        <w:tc>
          <w:tcPr>
            <w:tcW w:w="3771" w:type="dxa"/>
            <w:tcBorders>
              <w:top w:val="nil"/>
              <w:left w:val="nil"/>
              <w:bottom w:val="nil"/>
              <w:right w:val="nil"/>
            </w:tcBorders>
            <w:shd w:val="clear" w:color="auto" w:fill="auto"/>
          </w:tcPr>
          <w:p w14:paraId="1FD01417" w14:textId="77777777" w:rsidR="00601C80" w:rsidRPr="0005499E" w:rsidRDefault="00601C80" w:rsidP="00601C80">
            <w:pPr>
              <w:jc w:val="both"/>
              <w:rPr>
                <w:rFonts w:ascii="David" w:hAnsi="David"/>
                <w:b/>
                <w:bCs/>
                <w:sz w:val="26"/>
                <w:szCs w:val="26"/>
              </w:rPr>
            </w:pPr>
            <w:r w:rsidRPr="0005499E">
              <w:rPr>
                <w:rFonts w:ascii="David" w:hAnsi="David"/>
                <w:b/>
                <w:bCs/>
                <w:sz w:val="26"/>
                <w:szCs w:val="26"/>
                <w:rtl/>
              </w:rPr>
              <w:t>סולימאן תורכמאן (עציר)</w:t>
            </w:r>
          </w:p>
        </w:tc>
      </w:tr>
    </w:tbl>
    <w:p w14:paraId="5B49FAF0" w14:textId="77777777" w:rsidR="0005499E" w:rsidRPr="0005499E" w:rsidRDefault="0005499E" w:rsidP="0005499E">
      <w:pPr>
        <w:spacing w:before="120" w:after="120" w:line="240" w:lineRule="exact"/>
        <w:ind w:left="283" w:hanging="283"/>
        <w:jc w:val="both"/>
        <w:rPr>
          <w:rFonts w:ascii="FrankRuehl" w:hAnsi="FrankRuehl" w:cs="FrankRuehl"/>
          <w:rtl/>
        </w:rPr>
      </w:pPr>
    </w:p>
    <w:p w14:paraId="402CA619" w14:textId="77777777" w:rsidR="0005499E" w:rsidRPr="0005499E" w:rsidRDefault="0005499E" w:rsidP="0005499E">
      <w:pPr>
        <w:rPr>
          <w:rtl/>
        </w:rPr>
      </w:pPr>
    </w:p>
    <w:p w14:paraId="0BECEFEA" w14:textId="77777777" w:rsidR="00EA0815" w:rsidRPr="00EA0815" w:rsidRDefault="00EA0815" w:rsidP="00EA0815">
      <w:pPr>
        <w:spacing w:before="120" w:after="120" w:line="240" w:lineRule="exact"/>
        <w:ind w:left="283" w:hanging="283"/>
        <w:jc w:val="both"/>
        <w:rPr>
          <w:rFonts w:ascii="FrankRuehl" w:hAnsi="FrankRuehl" w:cs="FrankRuehl"/>
          <w:rtl/>
        </w:rPr>
      </w:pPr>
      <w:bookmarkStart w:id="2" w:name="LawTable"/>
      <w:bookmarkEnd w:id="2"/>
    </w:p>
    <w:p w14:paraId="1BBCADE4" w14:textId="77777777" w:rsidR="00EA0815" w:rsidRPr="00EA0815" w:rsidRDefault="00EA0815" w:rsidP="00EA0815">
      <w:pPr>
        <w:spacing w:before="120" w:after="120" w:line="240" w:lineRule="exact"/>
        <w:ind w:left="283" w:hanging="283"/>
        <w:jc w:val="both"/>
        <w:rPr>
          <w:rFonts w:ascii="FrankRuehl" w:hAnsi="FrankRuehl" w:cs="FrankRuehl"/>
          <w:rtl/>
        </w:rPr>
      </w:pPr>
      <w:r w:rsidRPr="00EA0815">
        <w:rPr>
          <w:rFonts w:ascii="FrankRuehl" w:hAnsi="FrankRuehl" w:cs="FrankRuehl"/>
          <w:rtl/>
        </w:rPr>
        <w:t xml:space="preserve">חקיקה שאוזכרה: </w:t>
      </w:r>
    </w:p>
    <w:p w14:paraId="3067BB0D" w14:textId="77777777" w:rsidR="00EA0815" w:rsidRPr="00EA0815" w:rsidRDefault="00EA0815" w:rsidP="00EA0815">
      <w:pPr>
        <w:spacing w:before="120" w:after="120" w:line="240" w:lineRule="exact"/>
        <w:ind w:left="283" w:hanging="283"/>
        <w:jc w:val="both"/>
        <w:rPr>
          <w:rFonts w:ascii="FrankRuehl" w:hAnsi="FrankRuehl" w:cs="FrankRuehl"/>
          <w:color w:val="0000FF"/>
          <w:rtl/>
        </w:rPr>
      </w:pPr>
      <w:hyperlink r:id="rId7" w:history="1">
        <w:r w:rsidRPr="00EA0815">
          <w:rPr>
            <w:rStyle w:val="Hyperlink"/>
            <w:rFonts w:ascii="FrankRuehl" w:hAnsi="FrankRuehl" w:cs="FrankRuehl"/>
            <w:u w:val="none"/>
            <w:rtl/>
          </w:rPr>
          <w:t>חוק העונשין, תשל"ז-1977</w:t>
        </w:r>
      </w:hyperlink>
      <w:r w:rsidRPr="00EA0815">
        <w:rPr>
          <w:rFonts w:ascii="FrankRuehl" w:hAnsi="FrankRuehl" w:cs="FrankRuehl"/>
          <w:color w:val="0000FF"/>
          <w:rtl/>
        </w:rPr>
        <w:t xml:space="preserve">: סע'  </w:t>
      </w:r>
      <w:hyperlink r:id="rId8" w:history="1">
        <w:r w:rsidRPr="00EA0815">
          <w:rPr>
            <w:rStyle w:val="Hyperlink"/>
            <w:rFonts w:ascii="FrankRuehl" w:hAnsi="FrankRuehl" w:cs="FrankRuehl"/>
            <w:u w:val="none"/>
          </w:rPr>
          <w:t>144</w:t>
        </w:r>
      </w:hyperlink>
      <w:r w:rsidRPr="00EA0815">
        <w:rPr>
          <w:rFonts w:ascii="FrankRuehl" w:hAnsi="FrankRuehl" w:cs="FrankRuehl"/>
          <w:color w:val="0000FF"/>
          <w:rtl/>
        </w:rPr>
        <w:t xml:space="preserve">, </w:t>
      </w:r>
      <w:hyperlink r:id="rId9" w:history="1">
        <w:r w:rsidRPr="00EA0815">
          <w:rPr>
            <w:rStyle w:val="Hyperlink"/>
            <w:rFonts w:ascii="FrankRuehl" w:hAnsi="FrankRuehl" w:cs="FrankRuehl"/>
            <w:u w:val="none"/>
          </w:rPr>
          <w:t>144</w:t>
        </w:r>
      </w:hyperlink>
      <w:r w:rsidRPr="00EA0815">
        <w:rPr>
          <w:rFonts w:ascii="FrankRuehl" w:hAnsi="FrankRuehl" w:cs="FrankRuehl"/>
          <w:color w:val="0000FF"/>
          <w:rtl/>
        </w:rPr>
        <w:t xml:space="preserve">(א), </w:t>
      </w:r>
      <w:hyperlink r:id="rId10" w:history="1">
        <w:r w:rsidRPr="00EA0815">
          <w:rPr>
            <w:rStyle w:val="Hyperlink"/>
            <w:rFonts w:ascii="FrankRuehl" w:hAnsi="FrankRuehl" w:cs="FrankRuehl"/>
            <w:u w:val="none"/>
          </w:rPr>
          <w:t>144</w:t>
        </w:r>
      </w:hyperlink>
      <w:r w:rsidRPr="00EA0815">
        <w:rPr>
          <w:rFonts w:ascii="FrankRuehl" w:hAnsi="FrankRuehl" w:cs="FrankRuehl"/>
          <w:color w:val="0000FF"/>
          <w:rtl/>
        </w:rPr>
        <w:t>(ז)</w:t>
      </w:r>
    </w:p>
    <w:p w14:paraId="167FB68B" w14:textId="77777777" w:rsidR="00601C80" w:rsidRPr="00EA0815" w:rsidRDefault="00601C80" w:rsidP="00EA0815">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01C80" w14:paraId="0BEB67D5" w14:textId="77777777" w:rsidTr="00601C80">
        <w:trPr>
          <w:trHeight w:val="355"/>
          <w:jc w:val="center"/>
        </w:trPr>
        <w:tc>
          <w:tcPr>
            <w:tcW w:w="8820" w:type="dxa"/>
            <w:tcBorders>
              <w:top w:val="nil"/>
              <w:left w:val="nil"/>
              <w:bottom w:val="nil"/>
              <w:right w:val="nil"/>
            </w:tcBorders>
            <w:shd w:val="clear" w:color="auto" w:fill="auto"/>
          </w:tcPr>
          <w:p w14:paraId="3C8ABDA6" w14:textId="77777777" w:rsidR="0005499E" w:rsidRPr="0005499E" w:rsidRDefault="0005499E" w:rsidP="0005499E">
            <w:pPr>
              <w:jc w:val="center"/>
              <w:rPr>
                <w:rFonts w:ascii="Arial" w:hAnsi="Arial"/>
                <w:b/>
                <w:bCs/>
                <w:sz w:val="28"/>
                <w:szCs w:val="28"/>
                <w:u w:val="single"/>
                <w:rtl/>
              </w:rPr>
            </w:pPr>
            <w:bookmarkStart w:id="4" w:name="PsakDin" w:colFirst="0" w:colLast="0"/>
            <w:r w:rsidRPr="0005499E">
              <w:rPr>
                <w:rFonts w:ascii="Arial" w:hAnsi="Arial"/>
                <w:b/>
                <w:bCs/>
                <w:sz w:val="28"/>
                <w:szCs w:val="28"/>
                <w:u w:val="single"/>
                <w:rtl/>
              </w:rPr>
              <w:t>גזר דין</w:t>
            </w:r>
          </w:p>
          <w:p w14:paraId="319A6A43" w14:textId="77777777" w:rsidR="00601C80" w:rsidRPr="0005499E" w:rsidRDefault="00601C80" w:rsidP="0005499E">
            <w:pPr>
              <w:jc w:val="center"/>
              <w:rPr>
                <w:rFonts w:ascii="Arial" w:hAnsi="Arial"/>
                <w:bCs/>
                <w:sz w:val="28"/>
                <w:szCs w:val="28"/>
                <w:u w:val="single"/>
                <w:rtl/>
              </w:rPr>
            </w:pPr>
          </w:p>
        </w:tc>
      </w:tr>
      <w:bookmarkEnd w:id="4"/>
    </w:tbl>
    <w:p w14:paraId="60FB0189" w14:textId="77777777" w:rsidR="00601C80" w:rsidRPr="00B05847" w:rsidRDefault="00601C80" w:rsidP="00601C80">
      <w:pPr>
        <w:spacing w:line="360" w:lineRule="auto"/>
        <w:jc w:val="both"/>
        <w:rPr>
          <w:rFonts w:ascii="Arial" w:hAnsi="Arial"/>
          <w:rtl/>
        </w:rPr>
      </w:pPr>
    </w:p>
    <w:p w14:paraId="1876D697" w14:textId="77777777" w:rsidR="00601C80" w:rsidRPr="00C64882" w:rsidRDefault="00601C80" w:rsidP="00601C80">
      <w:pPr>
        <w:spacing w:before="240" w:after="160" w:line="360" w:lineRule="auto"/>
        <w:jc w:val="both"/>
        <w:rPr>
          <w:rFonts w:ascii="David" w:eastAsia="Calibri" w:hAnsi="David"/>
          <w:rtl/>
        </w:rPr>
      </w:pPr>
      <w:bookmarkStart w:id="5" w:name="ABSTRACT_START"/>
      <w:bookmarkEnd w:id="5"/>
      <w:r w:rsidRPr="00C64882">
        <w:rPr>
          <w:rFonts w:ascii="David" w:eastAsia="Calibri" w:hAnsi="David"/>
          <w:rtl/>
        </w:rPr>
        <w:t>הנאשם</w:t>
      </w:r>
      <w:r w:rsidRPr="00C64882">
        <w:rPr>
          <w:rFonts w:ascii="David" w:eastAsia="Calibri" w:hAnsi="David"/>
          <w:b/>
          <w:bCs/>
          <w:rtl/>
        </w:rPr>
        <w:t>, סולימאן תורכמאן</w:t>
      </w:r>
      <w:r w:rsidRPr="00C64882">
        <w:rPr>
          <w:rFonts w:ascii="David" w:eastAsia="Calibri" w:hAnsi="David"/>
          <w:rtl/>
        </w:rPr>
        <w:t xml:space="preserve">, הורשע ביום 13.1.25 – בהתאם להודעתו במסגרת הסדר טיעון בעבירות שנכללו בכתב אישום מתוקן אשר הוגש נגדו, ואשר עניינן </w:t>
      </w:r>
      <w:r w:rsidRPr="00C64882">
        <w:rPr>
          <w:rFonts w:ascii="David" w:eastAsia="Calibri" w:hAnsi="David"/>
          <w:b/>
          <w:bCs/>
          <w:rtl/>
        </w:rPr>
        <w:t>בהחזקת נשק</w:t>
      </w:r>
      <w:r w:rsidRPr="00C64882">
        <w:rPr>
          <w:rFonts w:ascii="David" w:eastAsia="Calibri" w:hAnsi="David"/>
          <w:rtl/>
        </w:rPr>
        <w:t xml:space="preserve"> לפי </w:t>
      </w:r>
      <w:hyperlink r:id="rId11" w:history="1">
        <w:r w:rsidR="00EA0815" w:rsidRPr="00EA0815">
          <w:rPr>
            <w:rStyle w:val="Hyperlink"/>
            <w:rFonts w:ascii="David" w:eastAsia="Calibri" w:hAnsi="David"/>
            <w:color w:val="0000FF"/>
            <w:rtl/>
          </w:rPr>
          <w:t>סעיף 144(א)</w:t>
        </w:r>
      </w:hyperlink>
      <w:r w:rsidRPr="00C64882">
        <w:rPr>
          <w:rFonts w:ascii="David" w:eastAsia="Calibri" w:hAnsi="David"/>
          <w:rtl/>
        </w:rPr>
        <w:t xml:space="preserve"> רישא וסיפא ל</w:t>
      </w:r>
      <w:hyperlink r:id="rId12" w:history="1">
        <w:r w:rsidR="0005499E" w:rsidRPr="0005499E">
          <w:rPr>
            <w:rFonts w:ascii="David" w:eastAsia="Calibri" w:hAnsi="David"/>
            <w:color w:val="0000FF"/>
            <w:u w:val="single"/>
            <w:rtl/>
          </w:rPr>
          <w:t>חוק העונשין</w:t>
        </w:r>
      </w:hyperlink>
      <w:r w:rsidRPr="00C64882">
        <w:rPr>
          <w:rFonts w:ascii="David" w:eastAsia="Calibri" w:hAnsi="David"/>
          <w:rtl/>
        </w:rPr>
        <w:t>, התשל"ז - 1977 (להלן: "</w:t>
      </w:r>
      <w:r w:rsidRPr="00C64882">
        <w:rPr>
          <w:rFonts w:ascii="David" w:eastAsia="Calibri" w:hAnsi="David"/>
          <w:b/>
          <w:bCs/>
          <w:rtl/>
        </w:rPr>
        <w:t>חוק העונשין</w:t>
      </w:r>
      <w:r w:rsidRPr="00C64882">
        <w:rPr>
          <w:rFonts w:ascii="David" w:eastAsia="Calibri" w:hAnsi="David"/>
          <w:rtl/>
        </w:rPr>
        <w:t>" או "</w:t>
      </w:r>
      <w:r w:rsidRPr="00C64882">
        <w:rPr>
          <w:rFonts w:ascii="David" w:eastAsia="Calibri" w:hAnsi="David"/>
          <w:b/>
          <w:bCs/>
          <w:rtl/>
        </w:rPr>
        <w:t>החוק"</w:t>
      </w:r>
      <w:r w:rsidRPr="00C64882">
        <w:rPr>
          <w:rFonts w:ascii="David" w:eastAsia="Calibri" w:hAnsi="David"/>
          <w:rtl/>
        </w:rPr>
        <w:t>).</w:t>
      </w:r>
    </w:p>
    <w:p w14:paraId="22130EF6" w14:textId="77777777" w:rsidR="00601C80" w:rsidRPr="00C64882" w:rsidRDefault="00601C80" w:rsidP="00601C80">
      <w:pPr>
        <w:spacing w:before="240" w:after="160" w:line="360" w:lineRule="auto"/>
        <w:jc w:val="both"/>
        <w:rPr>
          <w:rFonts w:ascii="David" w:eastAsia="Calibri" w:hAnsi="David"/>
          <w:u w:val="single"/>
          <w:rtl/>
        </w:rPr>
      </w:pPr>
      <w:bookmarkStart w:id="6" w:name="ABSTRACT_END"/>
      <w:bookmarkEnd w:id="6"/>
      <w:r w:rsidRPr="00C64882">
        <w:rPr>
          <w:rFonts w:ascii="David" w:eastAsia="Calibri" w:hAnsi="David"/>
          <w:u w:val="single"/>
          <w:rtl/>
        </w:rPr>
        <w:t xml:space="preserve">עובדות כתב האישום המתוקן </w:t>
      </w:r>
    </w:p>
    <w:p w14:paraId="5031BE5F" w14:textId="77777777" w:rsidR="00601C80" w:rsidRPr="00C64882" w:rsidRDefault="00601C80" w:rsidP="00601C80">
      <w:pPr>
        <w:spacing w:before="240" w:after="160" w:line="360" w:lineRule="auto"/>
        <w:jc w:val="both"/>
        <w:rPr>
          <w:rFonts w:ascii="David" w:eastAsia="Calibri" w:hAnsi="David"/>
          <w:rtl/>
        </w:rPr>
      </w:pPr>
      <w:r w:rsidRPr="00C64882">
        <w:rPr>
          <w:rFonts w:ascii="David" w:eastAsia="Calibri" w:hAnsi="David"/>
          <w:rtl/>
        </w:rPr>
        <w:t>בזמנים הרלוונטיים לכתב האישום, התגורר הנאשם באיבטין.</w:t>
      </w:r>
    </w:p>
    <w:p w14:paraId="1F611589" w14:textId="77777777" w:rsidR="00601C80" w:rsidRPr="00C64882" w:rsidRDefault="00601C80" w:rsidP="00601C80">
      <w:pPr>
        <w:spacing w:before="240" w:after="160" w:line="360" w:lineRule="auto"/>
        <w:jc w:val="both"/>
        <w:rPr>
          <w:rFonts w:ascii="David" w:eastAsia="Calibri" w:hAnsi="David"/>
          <w:rtl/>
        </w:rPr>
      </w:pPr>
      <w:r w:rsidRPr="00C64882">
        <w:rPr>
          <w:rFonts w:ascii="David" w:eastAsia="Calibri" w:hAnsi="David"/>
          <w:rtl/>
        </w:rPr>
        <w:t xml:space="preserve">בתאריך 31.7.24, סמוך לשעה 18:10, עמד הנאשם ברחוב, על המדרכה הסמוכה לביתו, כשהוא מחזיק על גופו אקדח חצי אוטומטי מסוג </w:t>
      </w:r>
      <w:r w:rsidRPr="00C64882">
        <w:rPr>
          <w:rFonts w:ascii="David" w:eastAsia="Calibri" w:hAnsi="David"/>
        </w:rPr>
        <w:t>sig sauer</w:t>
      </w:r>
      <w:r w:rsidRPr="00C64882">
        <w:rPr>
          <w:rFonts w:ascii="David" w:eastAsia="Calibri" w:hAnsi="David"/>
          <w:rtl/>
        </w:rPr>
        <w:t>, תוצרת ארצות הברית, מודל 320</w:t>
      </w:r>
      <w:r w:rsidRPr="00C64882">
        <w:rPr>
          <w:rFonts w:ascii="David" w:eastAsia="Calibri" w:hAnsi="David"/>
        </w:rPr>
        <w:t>P</w:t>
      </w:r>
      <w:r w:rsidRPr="00C64882">
        <w:rPr>
          <w:rFonts w:ascii="David" w:eastAsia="Calibri" w:hAnsi="David"/>
          <w:rtl/>
        </w:rPr>
        <w:t xml:space="preserve">, קליבר 9 מ"מ פאראבלום, כשהוא טעון במחסנית מתאימה ובתוכה 11 כדורים תואמים. עוד החזיק הנאשם על גופו באותה העת כפפות שחורות ורעלת פנים שחורה. </w:t>
      </w:r>
    </w:p>
    <w:p w14:paraId="6A83E622" w14:textId="77777777" w:rsidR="00601C80" w:rsidRPr="00C64882" w:rsidRDefault="00601C80" w:rsidP="00601C80">
      <w:pPr>
        <w:spacing w:before="240" w:after="160" w:line="360" w:lineRule="auto"/>
        <w:jc w:val="both"/>
        <w:rPr>
          <w:rFonts w:ascii="David" w:eastAsia="Calibri" w:hAnsi="David"/>
          <w:u w:val="single"/>
          <w:rtl/>
        </w:rPr>
      </w:pPr>
      <w:r w:rsidRPr="00C64882">
        <w:rPr>
          <w:rFonts w:ascii="David" w:eastAsia="Calibri" w:hAnsi="David"/>
          <w:u w:val="single"/>
          <w:rtl/>
        </w:rPr>
        <w:t xml:space="preserve">תסקיר שירות המבחן </w:t>
      </w:r>
    </w:p>
    <w:p w14:paraId="61209D7C" w14:textId="77777777" w:rsidR="00601C80" w:rsidRPr="00C64882" w:rsidRDefault="00601C80" w:rsidP="00601C80">
      <w:pPr>
        <w:spacing w:before="240" w:after="160" w:line="360" w:lineRule="auto"/>
        <w:jc w:val="both"/>
        <w:rPr>
          <w:rFonts w:ascii="David" w:eastAsia="Calibri" w:hAnsi="David"/>
          <w:rtl/>
        </w:rPr>
      </w:pPr>
      <w:bookmarkStart w:id="7" w:name="_Hlk193962177"/>
      <w:r w:rsidRPr="00C64882">
        <w:rPr>
          <w:rFonts w:ascii="David" w:eastAsia="Calibri" w:hAnsi="David"/>
          <w:rtl/>
        </w:rPr>
        <w:t xml:space="preserve">שירות המבחן התרשם כי מדובר בבחור צעיר המצוי בתהליכי גיבוש זהותו העצמית. עוד התרשם כי במצבים מסוימים, הנאשם רואה בשימוש בכוח דרך להתמודדות עם משברים ומצבי דחק ולחץ. פורט, כי הנאשם התקשה להתחבר לפסול שבמעשיו וניכר כי הוא נוקט עמדה ממזערת למעשיו ולבחון באופן ביקורתי את התנהלותו. </w:t>
      </w:r>
    </w:p>
    <w:p w14:paraId="3B4696E8" w14:textId="77777777" w:rsidR="00601C80" w:rsidRPr="00C64882" w:rsidRDefault="00601C80" w:rsidP="00601C80">
      <w:pPr>
        <w:spacing w:before="240" w:after="160" w:line="360" w:lineRule="auto"/>
        <w:jc w:val="both"/>
        <w:rPr>
          <w:rFonts w:ascii="David" w:eastAsia="Calibri" w:hAnsi="David"/>
          <w:rtl/>
        </w:rPr>
      </w:pPr>
      <w:r w:rsidRPr="00C64882">
        <w:rPr>
          <w:rFonts w:ascii="David" w:eastAsia="Calibri" w:hAnsi="David"/>
          <w:rtl/>
        </w:rPr>
        <w:lastRenderedPageBreak/>
        <w:t xml:space="preserve">קצינת המבחן תיארה כי בשל נסיבותיו המשפחתיות המורכבות של הנאשם, הוא התקשה לאורך השנים לרכוש כלים ומיומנות להתנהלות יעילה עם מצבי דחק, אשר בהם הוא עשוי להתנהל באופן אימפולסיבי ולא שקול והוסיפה כי לטענת הנאשם, הוא בחר להחזיק בנשק </w:t>
      </w:r>
      <w:r>
        <w:rPr>
          <w:rFonts w:ascii="David" w:eastAsia="Calibri" w:hAnsi="David" w:hint="cs"/>
          <w:rtl/>
        </w:rPr>
        <w:t xml:space="preserve">מתוך </w:t>
      </w:r>
      <w:r w:rsidRPr="00C64882">
        <w:rPr>
          <w:rFonts w:ascii="David" w:eastAsia="Calibri" w:hAnsi="David"/>
          <w:rtl/>
        </w:rPr>
        <w:t xml:space="preserve">תחושת פחד וחשש מפגיעה אפשרית בו ובבני משפחתו עקב אירוע הירי בו נפגע אחיו. כן, תיארה כי בלט פער משמעותי בין תיאורו של הנאשם את עצמו ואת התנהלותו במסגרות חייו השונות לבין תיאורו במעורבותו בעבירה וכי פער זה הקשה עליה לבחון באופן מעמיק את קיומם של דחפים עברייניים או את מידת מעורבותו של הנאשם עם גורמים שוליים. לאור אלו, העריכה כי קיים סיכון משמעותי להישנות עבירות דומות בעתיד. </w:t>
      </w:r>
    </w:p>
    <w:bookmarkEnd w:id="7"/>
    <w:p w14:paraId="1E181B99" w14:textId="77777777" w:rsidR="00601C80" w:rsidRPr="00C64882" w:rsidRDefault="00601C80" w:rsidP="00601C80">
      <w:pPr>
        <w:spacing w:before="240" w:after="160" w:line="360" w:lineRule="auto"/>
        <w:jc w:val="both"/>
        <w:rPr>
          <w:rFonts w:ascii="David" w:eastAsia="Calibri" w:hAnsi="David"/>
          <w:rtl/>
        </w:rPr>
      </w:pPr>
      <w:r w:rsidRPr="00C64882">
        <w:rPr>
          <w:rFonts w:ascii="David" w:eastAsia="Calibri" w:hAnsi="David"/>
          <w:rtl/>
        </w:rPr>
        <w:t xml:space="preserve">לנוכח האמור, לא בא שירות המבחן בהמלצה על חלופת ענישה או שיקום הנאשם במסגרת הקהילה או במסגרת השירות אשר תוכל להפחית את הסיכון להישנות עבירות דומות בעתיד. </w:t>
      </w:r>
    </w:p>
    <w:p w14:paraId="1DE783D7" w14:textId="77777777" w:rsidR="00601C80" w:rsidRPr="00C64882" w:rsidRDefault="00601C80" w:rsidP="00601C80">
      <w:pPr>
        <w:spacing w:before="240" w:after="160" w:line="360" w:lineRule="auto"/>
        <w:jc w:val="both"/>
        <w:rPr>
          <w:rFonts w:ascii="David" w:eastAsia="Calibri" w:hAnsi="David"/>
          <w:u w:val="single"/>
          <w:rtl/>
        </w:rPr>
      </w:pPr>
      <w:r w:rsidRPr="00C64882">
        <w:rPr>
          <w:rFonts w:ascii="David" w:eastAsia="Calibri" w:hAnsi="David"/>
          <w:u w:val="single"/>
          <w:rtl/>
        </w:rPr>
        <w:t xml:space="preserve">ראיות לעניין העונש </w:t>
      </w:r>
    </w:p>
    <w:p w14:paraId="55B99EFA" w14:textId="77777777" w:rsidR="00601C80" w:rsidRPr="00C64882" w:rsidRDefault="00601C80" w:rsidP="00601C80">
      <w:pPr>
        <w:spacing w:before="240" w:after="160" w:line="360" w:lineRule="auto"/>
        <w:jc w:val="both"/>
        <w:rPr>
          <w:rFonts w:ascii="David" w:eastAsia="Calibri" w:hAnsi="David"/>
          <w:i/>
          <w:iCs/>
          <w:rtl/>
        </w:rPr>
      </w:pPr>
      <w:r w:rsidRPr="00C64882">
        <w:rPr>
          <w:rFonts w:ascii="David" w:eastAsia="Calibri" w:hAnsi="David"/>
          <w:i/>
          <w:iCs/>
          <w:rtl/>
        </w:rPr>
        <w:t>מאשימה</w:t>
      </w:r>
    </w:p>
    <w:p w14:paraId="4D14CEC9" w14:textId="77777777" w:rsidR="00601C80" w:rsidRPr="00C64882" w:rsidRDefault="00601C80" w:rsidP="00601C80">
      <w:pPr>
        <w:spacing w:before="240" w:after="160" w:line="360" w:lineRule="auto"/>
        <w:jc w:val="both"/>
        <w:rPr>
          <w:rFonts w:ascii="David" w:eastAsia="Calibri" w:hAnsi="David"/>
          <w:rtl/>
        </w:rPr>
      </w:pPr>
      <w:r w:rsidRPr="00C64882">
        <w:rPr>
          <w:rFonts w:ascii="David" w:eastAsia="Calibri" w:hAnsi="David"/>
          <w:rtl/>
        </w:rPr>
        <w:t xml:space="preserve">ב"כ המאשימה ציינה כי עברו הפלילי של הנאשם נקי. </w:t>
      </w:r>
    </w:p>
    <w:p w14:paraId="324DD96D" w14:textId="77777777" w:rsidR="00601C80" w:rsidRPr="00C64882" w:rsidRDefault="00601C80" w:rsidP="00601C80">
      <w:pPr>
        <w:spacing w:before="240" w:after="160" w:line="360" w:lineRule="auto"/>
        <w:jc w:val="both"/>
        <w:rPr>
          <w:rFonts w:ascii="David" w:eastAsia="Calibri" w:hAnsi="David"/>
          <w:i/>
          <w:iCs/>
          <w:rtl/>
        </w:rPr>
      </w:pPr>
      <w:r w:rsidRPr="00C64882">
        <w:rPr>
          <w:rFonts w:ascii="David" w:eastAsia="Calibri" w:hAnsi="David"/>
          <w:i/>
          <w:iCs/>
          <w:rtl/>
        </w:rPr>
        <w:t xml:space="preserve">ההגנה </w:t>
      </w:r>
    </w:p>
    <w:p w14:paraId="6F9AED5B" w14:textId="77777777" w:rsidR="00601C80" w:rsidRPr="00C64882" w:rsidRDefault="00601C80" w:rsidP="00601C80">
      <w:pPr>
        <w:spacing w:before="240" w:after="160" w:line="360" w:lineRule="auto"/>
        <w:jc w:val="both"/>
        <w:rPr>
          <w:rFonts w:ascii="David" w:eastAsia="Calibri" w:hAnsi="David"/>
          <w:rtl/>
        </w:rPr>
      </w:pPr>
      <w:r w:rsidRPr="00C64882">
        <w:rPr>
          <w:rFonts w:ascii="David" w:eastAsia="Calibri" w:hAnsi="David"/>
          <w:rtl/>
        </w:rPr>
        <w:t>הוגש לעיוני אישור לימודים של הנאשם במכללת סכנין – ביה"ס להנדסאים המאשר כי הנאשם למד במוסד החל מדצמבר 23 ועד למרץ 24 (</w:t>
      </w:r>
      <w:r w:rsidRPr="00C64882">
        <w:rPr>
          <w:rFonts w:ascii="David" w:eastAsia="Calibri" w:hAnsi="David"/>
          <w:b/>
          <w:bCs/>
          <w:rtl/>
        </w:rPr>
        <w:t>הוגש וסומן טעה/1)</w:t>
      </w:r>
      <w:r w:rsidRPr="00C64882">
        <w:rPr>
          <w:rFonts w:ascii="David" w:eastAsia="Calibri" w:hAnsi="David"/>
          <w:rtl/>
        </w:rPr>
        <w:t xml:space="preserve">. כן, הופיעו בפניי אביו וסבו של הנאשם כעדי אופי. </w:t>
      </w:r>
    </w:p>
    <w:p w14:paraId="2590B632" w14:textId="77777777" w:rsidR="00601C80" w:rsidRPr="00C64882" w:rsidRDefault="00601C80" w:rsidP="00601C80">
      <w:pPr>
        <w:spacing w:before="240" w:after="160" w:line="360" w:lineRule="auto"/>
        <w:jc w:val="both"/>
        <w:rPr>
          <w:rFonts w:ascii="David" w:eastAsia="Calibri" w:hAnsi="David"/>
          <w:rtl/>
        </w:rPr>
      </w:pPr>
      <w:r w:rsidRPr="00C64882">
        <w:rPr>
          <w:rFonts w:ascii="David" w:eastAsia="Calibri" w:hAnsi="David"/>
          <w:rtl/>
        </w:rPr>
        <w:t xml:space="preserve">אביו העיד אודות נסיבות חייו הלא פשוטות של הנאשם, תיאר כי הנאשם היה תלמיד מצטיין וכן פירט כי הנאשם עוזר בבית ובטיפול בסבתו. האב ביקש להתחשב בעת גזירת עונשו של הנאשם. סבו של הנאשם העיד על כך שהנאשם מתגורר איתו ועם אישתו ופירט כי הנאשם עוזר להם רבות. </w:t>
      </w:r>
    </w:p>
    <w:p w14:paraId="3BAA52A3" w14:textId="77777777" w:rsidR="00601C80" w:rsidRPr="00C64882" w:rsidRDefault="00601C80" w:rsidP="00601C80">
      <w:pPr>
        <w:spacing w:before="240" w:after="160" w:line="360" w:lineRule="auto"/>
        <w:jc w:val="both"/>
        <w:rPr>
          <w:rFonts w:ascii="David" w:eastAsia="Calibri" w:hAnsi="David"/>
          <w:u w:val="single"/>
          <w:rtl/>
        </w:rPr>
      </w:pPr>
      <w:r w:rsidRPr="00C64882">
        <w:rPr>
          <w:rFonts w:ascii="David" w:eastAsia="Calibri" w:hAnsi="David"/>
          <w:u w:val="single"/>
          <w:rtl/>
        </w:rPr>
        <w:t xml:space="preserve">טיעונים לעונש </w:t>
      </w:r>
    </w:p>
    <w:p w14:paraId="10311315" w14:textId="77777777" w:rsidR="00601C80" w:rsidRPr="00C64882" w:rsidRDefault="00601C80" w:rsidP="00601C80">
      <w:pPr>
        <w:spacing w:before="240" w:after="160" w:line="360" w:lineRule="auto"/>
        <w:jc w:val="both"/>
        <w:rPr>
          <w:rFonts w:ascii="David" w:eastAsia="Calibri" w:hAnsi="David"/>
          <w:i/>
          <w:iCs/>
          <w:rtl/>
        </w:rPr>
      </w:pPr>
      <w:r w:rsidRPr="00C64882">
        <w:rPr>
          <w:rFonts w:ascii="David" w:eastAsia="Calibri" w:hAnsi="David"/>
          <w:i/>
          <w:iCs/>
          <w:rtl/>
        </w:rPr>
        <w:t xml:space="preserve">המאשימה </w:t>
      </w:r>
    </w:p>
    <w:p w14:paraId="45B5B444" w14:textId="77777777" w:rsidR="00601C80" w:rsidRPr="00C64882" w:rsidRDefault="00601C80" w:rsidP="00601C80">
      <w:pPr>
        <w:spacing w:before="240" w:after="160" w:line="360" w:lineRule="auto"/>
        <w:jc w:val="both"/>
        <w:rPr>
          <w:rFonts w:ascii="David" w:eastAsia="Calibri" w:hAnsi="David"/>
          <w:rtl/>
        </w:rPr>
      </w:pPr>
      <w:r w:rsidRPr="00C64882">
        <w:rPr>
          <w:rFonts w:ascii="David" w:eastAsia="Calibri" w:hAnsi="David"/>
          <w:rtl/>
        </w:rPr>
        <w:t xml:space="preserve">ב"כ המאשימה המלומדת, עו"ד אביבית קבדה, טענה לעונש בעל פה. </w:t>
      </w:r>
    </w:p>
    <w:p w14:paraId="66D171E9" w14:textId="77777777" w:rsidR="00601C80" w:rsidRPr="00C64882" w:rsidRDefault="00601C80" w:rsidP="00601C80">
      <w:pPr>
        <w:spacing w:before="240" w:line="360" w:lineRule="auto"/>
        <w:jc w:val="both"/>
        <w:rPr>
          <w:rFonts w:ascii="David" w:eastAsia="Calibri" w:hAnsi="David"/>
          <w:rtl/>
        </w:rPr>
      </w:pPr>
      <w:r w:rsidRPr="00C64882">
        <w:rPr>
          <w:rFonts w:ascii="David" w:eastAsia="Calibri" w:hAnsi="David"/>
          <w:rtl/>
        </w:rPr>
        <w:t>המאשימה עמדה על מנגנון הבניית שיקול הדעת בענישה. הודגש, כי עבירות בכלי נשק הפכו למכת מדינה, הפוגעת פגיעה של ממש בערך המוגן שעניינו בשמירה על ביטחון הציבור. משכך, נטען, כי על בית המשפט לגמול למבצעים בעונשים משמעותיים. לטענת המאשימה, עדות האב והסב בדבר אופיו של הנאשם, אורח החיים הנורמטיבי שניהל, ואף לימודיו, רק מחזקת את העובדה כי תופעת החזקת הנשק הבלתי חוקי הפכה למכת מדינה. בהקשר זה המאשימה הפנתה לתיקון 140 ל</w:t>
      </w:r>
      <w:hyperlink r:id="rId13" w:history="1">
        <w:r w:rsidR="0005499E" w:rsidRPr="0005499E">
          <w:rPr>
            <w:rFonts w:ascii="David" w:eastAsia="Calibri" w:hAnsi="David"/>
            <w:color w:val="0000FF"/>
            <w:u w:val="single"/>
            <w:rtl/>
          </w:rPr>
          <w:t>חוק העונשין</w:t>
        </w:r>
      </w:hyperlink>
      <w:r w:rsidRPr="00C64882">
        <w:rPr>
          <w:rFonts w:ascii="David" w:eastAsia="Calibri" w:hAnsi="David"/>
          <w:rtl/>
        </w:rPr>
        <w:t>.</w:t>
      </w:r>
    </w:p>
    <w:p w14:paraId="0C0BF65A" w14:textId="77777777" w:rsidR="00601C80" w:rsidRPr="00C64882" w:rsidRDefault="00601C80" w:rsidP="00601C80">
      <w:pPr>
        <w:spacing w:before="240" w:line="360" w:lineRule="auto"/>
        <w:jc w:val="both"/>
        <w:rPr>
          <w:rFonts w:ascii="David" w:eastAsia="Calibri" w:hAnsi="David"/>
          <w:rtl/>
        </w:rPr>
      </w:pPr>
      <w:r w:rsidRPr="00C64882">
        <w:rPr>
          <w:rFonts w:ascii="David" w:eastAsia="Calibri" w:hAnsi="David"/>
          <w:rtl/>
        </w:rPr>
        <w:t xml:space="preserve">המאשימה הפנתה לתסקיר שירות המבחן, וטענה כי גם אם נכונה טענת הנאשם כי החזיק בנשק לצורך הגנתו העצמית, אין בכך כדי להפחית בחומרת האירוע. עוד עמדה המאשימה על נסיבות </w:t>
      </w:r>
      <w:r w:rsidRPr="00C64882">
        <w:rPr>
          <w:rFonts w:ascii="David" w:eastAsia="Calibri" w:hAnsi="David"/>
          <w:rtl/>
        </w:rPr>
        <w:lastRenderedPageBreak/>
        <w:t xml:space="preserve">ביצוען של העבירות וטענה כי עצם החזקת הכדורים והרעלה בנוסף לאקדח מעידה על כך שתוצאות האירוע יכלו להיות שונות אלמלא נעצר הנאשם. המאשימה הפנתה לפסיקה הרלוונטית לטעמה לענייננו ולאורה ביקשה לשרטט מתחם ענישה הנע בין 24 לבין 42 חודשי מאסר לריצוי בפועל. </w:t>
      </w:r>
    </w:p>
    <w:p w14:paraId="41F69417" w14:textId="77777777" w:rsidR="00601C80" w:rsidRPr="00C64882" w:rsidRDefault="00601C80" w:rsidP="00601C80">
      <w:pPr>
        <w:spacing w:before="240" w:line="360" w:lineRule="auto"/>
        <w:jc w:val="both"/>
        <w:rPr>
          <w:rFonts w:ascii="David" w:eastAsia="Calibri" w:hAnsi="David"/>
          <w:rtl/>
        </w:rPr>
      </w:pPr>
      <w:r w:rsidRPr="00C64882">
        <w:rPr>
          <w:rFonts w:ascii="David" w:eastAsia="Calibri" w:hAnsi="David"/>
          <w:rtl/>
        </w:rPr>
        <w:t xml:space="preserve">באשר לנסיבות שאינן קשורות בביצוע בעבירה, הפנתה המאשימה להודאתו של הנאשם ולהעדר עבר פלילי. זאת לצד האמור בתסקיר ולעובדה כי שירות המבחן העריך כי קיים סיכון משמעותי להישנות עבירות בעתיד ולכך שלא בא בהמלצה שיקומית. על כן, עתרה המאשימה למקם את הנאשם, בחציו האמצעי תחתון של מתחם הענישה המבוקש, זאת לצד עונשים נלווים. </w:t>
      </w:r>
    </w:p>
    <w:p w14:paraId="2B9C1571" w14:textId="77777777" w:rsidR="00601C80" w:rsidRPr="00C64882" w:rsidRDefault="00601C80" w:rsidP="00601C80">
      <w:pPr>
        <w:spacing w:before="240" w:line="360" w:lineRule="auto"/>
        <w:jc w:val="both"/>
        <w:rPr>
          <w:rFonts w:ascii="David" w:eastAsia="Calibri" w:hAnsi="David"/>
          <w:i/>
          <w:iCs/>
          <w:rtl/>
        </w:rPr>
      </w:pPr>
      <w:r w:rsidRPr="00C64882">
        <w:rPr>
          <w:rFonts w:ascii="David" w:eastAsia="Calibri" w:hAnsi="David"/>
          <w:i/>
          <w:iCs/>
          <w:rtl/>
        </w:rPr>
        <w:t xml:space="preserve">ההגנה </w:t>
      </w:r>
    </w:p>
    <w:p w14:paraId="1DEF56C9" w14:textId="77777777" w:rsidR="00601C80" w:rsidRPr="00C64882" w:rsidRDefault="00601C80" w:rsidP="00601C80">
      <w:pPr>
        <w:spacing w:before="240" w:line="360" w:lineRule="auto"/>
        <w:jc w:val="both"/>
        <w:rPr>
          <w:rFonts w:ascii="David" w:eastAsia="Calibri" w:hAnsi="David"/>
          <w:rtl/>
        </w:rPr>
      </w:pPr>
      <w:r w:rsidRPr="00C64882">
        <w:rPr>
          <w:rFonts w:ascii="David" w:eastAsia="Calibri" w:hAnsi="David"/>
          <w:rtl/>
        </w:rPr>
        <w:t>הסניגור הפנה לעברו הנקי של הנאשם, להודאתו ולחיסכון בזמן שיפוטי. הסניגור חזר על דברי אביו וסבו של הנאשם, התייחס לנסיבות חייו הלא פשוטות והוסיף כי הנאשם הוא עמוד השדרה של ביתו ומשפחתו.</w:t>
      </w:r>
    </w:p>
    <w:p w14:paraId="01E1227B" w14:textId="77777777" w:rsidR="00601C80" w:rsidRPr="00C64882" w:rsidRDefault="00601C80" w:rsidP="00601C80">
      <w:pPr>
        <w:spacing w:before="240" w:line="360" w:lineRule="auto"/>
        <w:jc w:val="both"/>
        <w:rPr>
          <w:rFonts w:ascii="David" w:eastAsia="Calibri" w:hAnsi="David"/>
          <w:rtl/>
        </w:rPr>
      </w:pPr>
      <w:r w:rsidRPr="00C64882">
        <w:rPr>
          <w:rFonts w:ascii="David" w:eastAsia="Calibri" w:hAnsi="David"/>
          <w:rtl/>
        </w:rPr>
        <w:t xml:space="preserve">באשר למתחם העונש ההולם, טען כי על מתחם הענישה לנוע בין מאסר הנישא בעבודות שירות לבין 15 חודשי מאסר לריצוי בפועל והפנה לפסיקה הרלוונטית לטעמו לעניין. באשר למיקומו של הנאשם בתוך מתחם הענישה המבוקש, עתר למקם את עונשו על 9 חודשי מאסר לריצוי בפועל בניכוי ימי מעצרו. </w:t>
      </w:r>
    </w:p>
    <w:p w14:paraId="34F48AC5" w14:textId="77777777" w:rsidR="00601C80" w:rsidRPr="001B6B87" w:rsidRDefault="00601C80" w:rsidP="00601C80">
      <w:pPr>
        <w:spacing w:before="240" w:line="360" w:lineRule="auto"/>
        <w:jc w:val="both"/>
        <w:rPr>
          <w:rFonts w:ascii="David" w:eastAsia="Calibri" w:hAnsi="David"/>
          <w:i/>
          <w:iCs/>
          <w:rtl/>
        </w:rPr>
      </w:pPr>
      <w:r w:rsidRPr="001B6B87">
        <w:rPr>
          <w:rFonts w:ascii="David" w:eastAsia="Calibri" w:hAnsi="David"/>
          <w:i/>
          <w:iCs/>
          <w:rtl/>
        </w:rPr>
        <w:t xml:space="preserve">דברי הנאשם </w:t>
      </w:r>
    </w:p>
    <w:p w14:paraId="247C895A" w14:textId="77777777" w:rsidR="00601C80" w:rsidRPr="00C64882" w:rsidRDefault="00601C80" w:rsidP="00601C80">
      <w:pPr>
        <w:spacing w:before="240" w:line="360" w:lineRule="auto"/>
        <w:jc w:val="both"/>
        <w:rPr>
          <w:rFonts w:ascii="David" w:eastAsia="Calibri" w:hAnsi="David"/>
          <w:rtl/>
        </w:rPr>
      </w:pPr>
      <w:r w:rsidRPr="00C64882">
        <w:rPr>
          <w:rFonts w:ascii="David" w:eastAsia="Calibri" w:hAnsi="David"/>
          <w:rtl/>
        </w:rPr>
        <w:t xml:space="preserve">הנאשם התנצל על מעשיו וביקש שתינתן לו הזדמנות לתקן את דרכיו. </w:t>
      </w:r>
    </w:p>
    <w:p w14:paraId="58AE0DBF" w14:textId="77777777" w:rsidR="00601C80" w:rsidRPr="00C64882" w:rsidRDefault="00601C80" w:rsidP="00601C80">
      <w:pPr>
        <w:spacing w:before="240" w:line="360" w:lineRule="auto"/>
        <w:jc w:val="both"/>
        <w:rPr>
          <w:rFonts w:ascii="David" w:eastAsia="Calibri" w:hAnsi="David"/>
          <w:b/>
          <w:bCs/>
          <w:u w:val="single"/>
          <w:rtl/>
        </w:rPr>
      </w:pPr>
      <w:r w:rsidRPr="00C64882">
        <w:rPr>
          <w:rFonts w:ascii="David" w:eastAsia="Calibri" w:hAnsi="David"/>
          <w:b/>
          <w:bCs/>
          <w:u w:val="single"/>
          <w:rtl/>
        </w:rPr>
        <w:t>דיון והכרעה</w:t>
      </w:r>
    </w:p>
    <w:p w14:paraId="2852403D" w14:textId="77777777" w:rsidR="00601C80" w:rsidRPr="00C64882" w:rsidRDefault="00601C80" w:rsidP="00601C80">
      <w:pPr>
        <w:spacing w:before="240" w:after="160" w:line="360" w:lineRule="auto"/>
        <w:jc w:val="both"/>
        <w:rPr>
          <w:rFonts w:ascii="David" w:eastAsia="Calibri" w:hAnsi="David"/>
          <w:rtl/>
        </w:rPr>
      </w:pPr>
      <w:r w:rsidRPr="00C64882">
        <w:rPr>
          <w:rFonts w:ascii="David" w:eastAsia="Calibri" w:hAnsi="David"/>
          <w:b/>
          <w:bCs/>
          <w:rtl/>
        </w:rPr>
        <w:t>החזקת נשק</w:t>
      </w:r>
      <w:r w:rsidRPr="00C64882">
        <w:rPr>
          <w:rFonts w:ascii="David" w:eastAsia="Calibri" w:hAnsi="David"/>
          <w:rtl/>
        </w:rPr>
        <w:t xml:space="preserve">, רכישתו, נשיאתו, הובלתו והשימוש בו הפכו למרבה הצער למכת מדינה (ראו לעניין זה למשל: </w:t>
      </w:r>
      <w:hyperlink r:id="rId14" w:history="1">
        <w:r w:rsidR="0005499E" w:rsidRPr="0005499E">
          <w:rPr>
            <w:rFonts w:ascii="David" w:eastAsia="Calibri" w:hAnsi="David"/>
            <w:color w:val="0000FF"/>
            <w:u w:val="single"/>
            <w:rtl/>
          </w:rPr>
          <w:t>ע"פ 1695/22</w:t>
        </w:r>
      </w:hyperlink>
      <w:r w:rsidRPr="00C64882">
        <w:rPr>
          <w:rFonts w:ascii="David" w:eastAsia="Calibri" w:hAnsi="David"/>
          <w:rtl/>
        </w:rPr>
        <w:t xml:space="preserve"> </w:t>
      </w:r>
      <w:r w:rsidRPr="00C64882">
        <w:rPr>
          <w:rFonts w:ascii="David" w:eastAsia="Calibri" w:hAnsi="David"/>
          <w:b/>
          <w:bCs/>
          <w:rtl/>
        </w:rPr>
        <w:t>מדינת ישראל נ' גנאים</w:t>
      </w:r>
      <w:r w:rsidRPr="00C64882">
        <w:rPr>
          <w:rFonts w:ascii="David" w:eastAsia="Calibri" w:hAnsi="David"/>
          <w:rtl/>
        </w:rPr>
        <w:t xml:space="preserve">, פסקה 11, ביום 29.3.22). ברי, כי מדינה ריבונית ומתוקנת איננה יכולה לקבל כ"מכת-גורל" תופעה שבמסגרתה מוחזק נשק בלתי-חוקי בקרב אזרחיה ותושביה. תופעה שכזו חותרת תחת שלומם של אזרחיה וביטחונם, ועלולה חלילה, לכרסם ביסודות לחם חוקה. </w:t>
      </w:r>
    </w:p>
    <w:p w14:paraId="7677348E" w14:textId="77777777" w:rsidR="00601C80" w:rsidRPr="00C64882" w:rsidRDefault="00601C80" w:rsidP="00601C80">
      <w:pPr>
        <w:spacing w:before="240" w:after="160" w:line="360" w:lineRule="auto"/>
        <w:jc w:val="both"/>
        <w:rPr>
          <w:rFonts w:ascii="David" w:eastAsia="Calibri" w:hAnsi="David"/>
          <w:rtl/>
        </w:rPr>
      </w:pPr>
      <w:r w:rsidRPr="00C64882">
        <w:rPr>
          <w:rFonts w:ascii="David" w:eastAsia="Calibri" w:hAnsi="David"/>
          <w:rtl/>
        </w:rPr>
        <w:t xml:space="preserve">בשנים האחרונות, חזר ועמד בית-המשפט העליון על כך שנשק בלתי-חוקי, המוחזק בידיים בלתי-מוסמכות, עלול להגיע לכלל שימוש מסוכן. מתאימים לעניין זה הדברים שנכתבו במסגרתו של  </w:t>
      </w:r>
      <w:hyperlink r:id="rId15" w:history="1">
        <w:r w:rsidR="0005499E" w:rsidRPr="0005499E">
          <w:rPr>
            <w:rFonts w:ascii="David" w:eastAsia="Calibri" w:hAnsi="David"/>
            <w:color w:val="0000FF"/>
            <w:u w:val="single"/>
            <w:rtl/>
          </w:rPr>
          <w:t>ע"פ 4406/19</w:t>
        </w:r>
      </w:hyperlink>
      <w:r w:rsidRPr="00C64882">
        <w:rPr>
          <w:rFonts w:ascii="David" w:eastAsia="Calibri" w:hAnsi="David"/>
          <w:rtl/>
        </w:rPr>
        <w:t xml:space="preserve"> </w:t>
      </w:r>
      <w:r w:rsidRPr="00C64882">
        <w:rPr>
          <w:rFonts w:ascii="David" w:eastAsia="Calibri" w:hAnsi="David"/>
          <w:b/>
          <w:bCs/>
          <w:rtl/>
        </w:rPr>
        <w:t>מדינת ישראל נ' סובח</w:t>
      </w:r>
      <w:r w:rsidRPr="00C64882">
        <w:rPr>
          <w:rFonts w:ascii="David" w:eastAsia="Calibri" w:hAnsi="David"/>
          <w:rtl/>
        </w:rPr>
        <w:t xml:space="preserve">, פסקאות 17-16 (ניתן ביום 5.11.2019) ולפיהם - </w:t>
      </w:r>
    </w:p>
    <w:p w14:paraId="562827F7" w14:textId="77777777" w:rsidR="00601C80" w:rsidRPr="00C64882" w:rsidRDefault="00601C80" w:rsidP="00601C80">
      <w:pPr>
        <w:spacing w:before="240" w:after="160" w:line="276" w:lineRule="auto"/>
        <w:ind w:left="793" w:right="851"/>
        <w:jc w:val="both"/>
        <w:rPr>
          <w:rFonts w:ascii="Calibri Light" w:eastAsia="Calibri" w:hAnsi="Calibri Light" w:cs="Calibri Light"/>
          <w:rtl/>
        </w:rPr>
      </w:pPr>
      <w:r w:rsidRPr="00C64882">
        <w:rPr>
          <w:rFonts w:ascii="Calibri Light" w:eastAsia="Calibri" w:hAnsi="Calibri Light" w:cs="Calibri Light"/>
          <w:rtl/>
        </w:rPr>
        <w:t>"</w:t>
      </w:r>
      <w:r w:rsidRPr="00C64882">
        <w:rPr>
          <w:rFonts w:ascii="Calibri Light" w:eastAsia="Calibri" w:hAnsi="Calibri Light" w:cs="Times New Roman"/>
          <w:rtl/>
        </w:rPr>
        <w:t>השימוש בנשק חם ככלי ליישוב סכסוכים הפך לרעה חולה</w:t>
      </w:r>
      <w:r w:rsidRPr="00C64882">
        <w:rPr>
          <w:rFonts w:ascii="Calibri Light" w:eastAsia="Calibri" w:hAnsi="Calibri Light" w:cs="Calibri Light"/>
          <w:rtl/>
        </w:rPr>
        <w:t xml:space="preserve">, </w:t>
      </w:r>
      <w:r w:rsidRPr="00C64882">
        <w:rPr>
          <w:rFonts w:ascii="Calibri Light" w:eastAsia="Calibri" w:hAnsi="Calibri Light" w:cs="Times New Roman"/>
          <w:rtl/>
        </w:rPr>
        <w:t>וכמעשה של יום ביומו גובה חיי אדם ולעיתים אף את חייהם של חפים מפשע אשר כל חטאם היה כי התהלכו באותה עת ברחובה של עיר</w:t>
      </w:r>
      <w:r w:rsidRPr="00C64882">
        <w:rPr>
          <w:rFonts w:ascii="Calibri Light" w:eastAsia="Calibri" w:hAnsi="Calibri Light" w:cs="Calibri Light"/>
          <w:rtl/>
        </w:rPr>
        <w:t xml:space="preserve">. </w:t>
      </w:r>
      <w:r w:rsidRPr="00C64882">
        <w:rPr>
          <w:rFonts w:ascii="Calibri Light" w:eastAsia="Calibri" w:hAnsi="Calibri Light" w:cs="Times New Roman"/>
          <w:rtl/>
        </w:rPr>
        <w:t xml:space="preserve">בשנים האחרונות אף חלה עליה מתמדת במספר אירועי הירי המדווחים למשטרה </w:t>
      </w:r>
      <w:r w:rsidRPr="00C64882">
        <w:rPr>
          <w:rFonts w:ascii="Calibri Light" w:eastAsia="Calibri" w:hAnsi="Calibri Light" w:cs="Calibri Light"/>
          <w:rtl/>
        </w:rPr>
        <w:t>(</w:t>
      </w:r>
      <w:r w:rsidRPr="00C64882">
        <w:rPr>
          <w:rFonts w:ascii="Calibri Light" w:eastAsia="Calibri" w:hAnsi="Calibri Light" w:cs="Times New Roman"/>
          <w:rtl/>
        </w:rPr>
        <w:t>ראו למשל</w:t>
      </w:r>
      <w:r w:rsidRPr="00C64882">
        <w:rPr>
          <w:rFonts w:ascii="Calibri Light" w:eastAsia="Calibri" w:hAnsi="Calibri Light" w:cs="Calibri Light"/>
          <w:rtl/>
        </w:rPr>
        <w:t xml:space="preserve">: </w:t>
      </w:r>
      <w:r w:rsidRPr="00C64882">
        <w:rPr>
          <w:rFonts w:ascii="Calibri Light" w:eastAsia="Calibri" w:hAnsi="Calibri Light" w:cs="Times New Roman"/>
          <w:rtl/>
        </w:rPr>
        <w:t>דו</w:t>
      </w:r>
      <w:r w:rsidRPr="00C64882">
        <w:rPr>
          <w:rFonts w:ascii="Calibri Light" w:eastAsia="Calibri" w:hAnsi="Calibri Light" w:cs="Calibri Light"/>
          <w:rtl/>
        </w:rPr>
        <w:t>"</w:t>
      </w:r>
      <w:r w:rsidRPr="00C64882">
        <w:rPr>
          <w:rFonts w:ascii="Calibri Light" w:eastAsia="Calibri" w:hAnsi="Calibri Light" w:cs="Times New Roman"/>
          <w:rtl/>
        </w:rPr>
        <w:t xml:space="preserve">ח מבקר המדינה התמודדות משטרת ישראל עם החזקת אמצעי לחימה לא חוקיים ואירועי ירי ביישובי החברה הערבית וביישובים מעורבים </w:t>
      </w:r>
      <w:r w:rsidRPr="00C64882">
        <w:rPr>
          <w:rFonts w:ascii="Calibri Light" w:eastAsia="Calibri" w:hAnsi="Calibri Light" w:cs="Calibri Light"/>
          <w:rtl/>
        </w:rPr>
        <w:t>28 (2018)).</w:t>
      </w:r>
      <w:r w:rsidRPr="00C64882">
        <w:rPr>
          <w:rFonts w:ascii="Calibri Light" w:eastAsia="Calibri" w:hAnsi="Calibri Light" w:cs="Times New Roman"/>
          <w:rtl/>
        </w:rPr>
        <w:t>על רקע המציאות אותה אנו חווים למרבה הצער מדי יום</w:t>
      </w:r>
      <w:r w:rsidRPr="00C64882">
        <w:rPr>
          <w:rFonts w:ascii="Calibri Light" w:eastAsia="Calibri" w:hAnsi="Calibri Light" w:cs="Calibri Light"/>
          <w:rtl/>
        </w:rPr>
        <w:t xml:space="preserve">, </w:t>
      </w:r>
      <w:r w:rsidRPr="00C64882">
        <w:rPr>
          <w:rFonts w:ascii="Calibri Light" w:eastAsia="Calibri" w:hAnsi="Calibri Light" w:cs="Times New Roman"/>
          <w:rtl/>
        </w:rPr>
        <w:t xml:space="preserve">אנו עדים לקריאה ציבורית נרגשת להגברת האכיפה כלפי עבירות נשק </w:t>
      </w:r>
      <w:r w:rsidRPr="00C64882">
        <w:rPr>
          <w:rFonts w:ascii="Calibri Light" w:eastAsia="Calibri" w:hAnsi="Calibri Light" w:cs="Calibri Light"/>
          <w:rtl/>
        </w:rPr>
        <w:t xml:space="preserve">– </w:t>
      </w:r>
      <w:r w:rsidRPr="00C64882">
        <w:rPr>
          <w:rFonts w:ascii="Calibri Light" w:eastAsia="Calibri" w:hAnsi="Calibri Light" w:cs="Times New Roman"/>
          <w:rtl/>
        </w:rPr>
        <w:t>ולהחמרה במדיניות הענישה הנוהגת</w:t>
      </w:r>
      <w:r w:rsidRPr="00C64882">
        <w:rPr>
          <w:rFonts w:ascii="Calibri Light" w:eastAsia="Calibri" w:hAnsi="Calibri Light" w:cs="Calibri Light"/>
          <w:rtl/>
        </w:rPr>
        <w:t>.</w:t>
      </w:r>
    </w:p>
    <w:p w14:paraId="5D921CA6" w14:textId="77777777" w:rsidR="00601C80" w:rsidRPr="00C64882" w:rsidRDefault="00601C80" w:rsidP="00601C80">
      <w:pPr>
        <w:spacing w:before="240" w:after="160" w:line="276" w:lineRule="auto"/>
        <w:ind w:left="793" w:right="851"/>
        <w:jc w:val="both"/>
        <w:rPr>
          <w:rFonts w:ascii="Miriam" w:eastAsia="Calibri" w:hAnsi="Miriam" w:cs="Miriam"/>
          <w:rtl/>
        </w:rPr>
      </w:pPr>
      <w:r w:rsidRPr="00C64882">
        <w:rPr>
          <w:rFonts w:ascii="Miriam" w:eastAsia="Calibri" w:hAnsi="Miriam" w:cs="Miriam"/>
          <w:rtl/>
        </w:rPr>
        <w:t>[...]</w:t>
      </w:r>
    </w:p>
    <w:p w14:paraId="4961F80D" w14:textId="77777777" w:rsidR="00601C80" w:rsidRPr="00C64882" w:rsidRDefault="00601C80" w:rsidP="00601C80">
      <w:pPr>
        <w:spacing w:before="240" w:after="160" w:line="276" w:lineRule="auto"/>
        <w:ind w:left="793" w:right="851"/>
        <w:jc w:val="both"/>
        <w:rPr>
          <w:rFonts w:ascii="David" w:eastAsia="Calibri" w:hAnsi="David"/>
          <w:rtl/>
        </w:rPr>
      </w:pPr>
      <w:r w:rsidRPr="00C64882">
        <w:rPr>
          <w:rFonts w:ascii="Calibri Light" w:eastAsia="Calibri" w:hAnsi="Calibri Light" w:cs="Times New Roman"/>
          <w:rtl/>
        </w:rPr>
        <w:t>בהתאם לכך ולנוכח ריבוי מקרי הירי</w:t>
      </w:r>
      <w:r w:rsidRPr="00C64882">
        <w:rPr>
          <w:rFonts w:ascii="Calibri Light" w:eastAsia="Calibri" w:hAnsi="Calibri Light" w:cs="Calibri Light"/>
          <w:rtl/>
        </w:rPr>
        <w:t xml:space="preserve">, </w:t>
      </w:r>
      <w:r w:rsidRPr="00C64882">
        <w:rPr>
          <w:rFonts w:ascii="Calibri Light" w:eastAsia="Calibri" w:hAnsi="Calibri Light" w:cs="Times New Roman"/>
          <w:b/>
          <w:bCs/>
          <w:u w:val="single"/>
          <w:rtl/>
        </w:rPr>
        <w:t>יש לנקוט במדיניות ענישה מחמירה כלפי ביצוע עבירות החזקת נשק שלא כדין</w:t>
      </w:r>
      <w:r w:rsidRPr="00C64882">
        <w:rPr>
          <w:rFonts w:ascii="Calibri Light" w:eastAsia="Calibri" w:hAnsi="Calibri Light" w:cs="Calibri Light"/>
          <w:b/>
          <w:bCs/>
          <w:u w:val="single"/>
          <w:rtl/>
        </w:rPr>
        <w:t>,</w:t>
      </w:r>
      <w:r w:rsidRPr="00C64882">
        <w:rPr>
          <w:rFonts w:ascii="Calibri Light" w:eastAsia="Calibri" w:hAnsi="Calibri Light" w:cs="Times New Roman"/>
          <w:rtl/>
        </w:rPr>
        <w:t xml:space="preserve"> ועל אחת כמה וכמה שימוש בנשק חם ופציעתם של קורבנות שונים עקב כך</w:t>
      </w:r>
      <w:r w:rsidRPr="00C64882">
        <w:rPr>
          <w:rFonts w:ascii="Calibri Light" w:eastAsia="Calibri" w:hAnsi="Calibri Light" w:cs="Calibri Light"/>
          <w:rtl/>
        </w:rPr>
        <w:t xml:space="preserve">. </w:t>
      </w:r>
      <w:r w:rsidRPr="00C64882">
        <w:rPr>
          <w:rFonts w:ascii="Calibri Light" w:eastAsia="Calibri" w:hAnsi="Calibri Light" w:cs="Times New Roman"/>
          <w:rtl/>
        </w:rPr>
        <w:t>הצורך במדיניות ענישה מחמירה נחוץ במיוחד כאשר השימוש בנשק גורר פגיעה בגוף ובנפש</w:t>
      </w:r>
      <w:r w:rsidRPr="00C64882">
        <w:rPr>
          <w:rFonts w:ascii="Calibri Light" w:eastAsia="Calibri" w:hAnsi="Calibri Light" w:cs="Calibri Light"/>
          <w:rtl/>
        </w:rPr>
        <w:t xml:space="preserve">, </w:t>
      </w:r>
      <w:r w:rsidRPr="00C64882">
        <w:rPr>
          <w:rFonts w:ascii="Calibri Light" w:eastAsia="Calibri" w:hAnsi="Calibri Light" w:cs="Times New Roman"/>
          <w:rtl/>
        </w:rPr>
        <w:t xml:space="preserve">וכאשר מבצעי העבירות אינם מוסרים את כלי הנשק לידי רשויות החוק </w:t>
      </w:r>
      <w:r w:rsidRPr="00C64882">
        <w:rPr>
          <w:rFonts w:ascii="Calibri Light" w:eastAsia="Calibri" w:hAnsi="Calibri Light" w:cs="Calibri Light"/>
          <w:rtl/>
        </w:rPr>
        <w:t xml:space="preserve">– </w:t>
      </w:r>
      <w:r w:rsidRPr="00C64882">
        <w:rPr>
          <w:rFonts w:ascii="Calibri Light" w:eastAsia="Calibri" w:hAnsi="Calibri Light" w:cs="Times New Roman"/>
          <w:rtl/>
        </w:rPr>
        <w:t>ובכך מוסיפים לפגוע בביטחון הציבור וקיים חשש תמידי לשימוש עברייני חוזר בנשק זה</w:t>
      </w:r>
      <w:r w:rsidRPr="00C64882">
        <w:rPr>
          <w:rFonts w:ascii="Calibri Light" w:eastAsia="Calibri" w:hAnsi="Calibri Light" w:cs="Calibri Light"/>
          <w:rtl/>
        </w:rPr>
        <w:t xml:space="preserve">, </w:t>
      </w:r>
      <w:r w:rsidRPr="00C64882">
        <w:rPr>
          <w:rFonts w:ascii="Calibri Light" w:eastAsia="Calibri" w:hAnsi="Calibri Light" w:cs="Times New Roman"/>
          <w:rtl/>
        </w:rPr>
        <w:t>כמו גם להגעתו של נשק זה לגורמים עויינים ובכללם גורמי טרור</w:t>
      </w:r>
      <w:r w:rsidRPr="00C64882">
        <w:rPr>
          <w:rFonts w:ascii="Calibri Light" w:eastAsia="Calibri" w:hAnsi="Calibri Light" w:cs="Calibri Light"/>
          <w:rtl/>
        </w:rPr>
        <w:t xml:space="preserve">. </w:t>
      </w:r>
      <w:r w:rsidRPr="00C64882">
        <w:rPr>
          <w:rFonts w:ascii="Calibri Light" w:eastAsia="Calibri" w:hAnsi="Calibri Light" w:cs="Times New Roman"/>
          <w:rtl/>
        </w:rPr>
        <w:t>נמצא אפוא כי בנסיבות דהיום</w:t>
      </w:r>
      <w:r w:rsidRPr="00C64882">
        <w:rPr>
          <w:rFonts w:ascii="Calibri Light" w:eastAsia="Calibri" w:hAnsi="Calibri Light" w:cs="Calibri Light"/>
          <w:rtl/>
        </w:rPr>
        <w:t xml:space="preserve">, </w:t>
      </w:r>
      <w:r w:rsidRPr="00C64882">
        <w:rPr>
          <w:rFonts w:ascii="Calibri Light" w:eastAsia="Calibri" w:hAnsi="Calibri Light" w:cs="Times New Roman"/>
          <w:rtl/>
        </w:rPr>
        <w:t>ראוי ונכון להחמיר את מדיניות הענישה הנוהגת</w:t>
      </w:r>
      <w:r w:rsidRPr="00C64882">
        <w:rPr>
          <w:rFonts w:ascii="Calibri Light" w:eastAsia="Calibri" w:hAnsi="Calibri Light" w:cs="Calibri Light"/>
          <w:rtl/>
        </w:rPr>
        <w:t xml:space="preserve">, </w:t>
      </w:r>
      <w:r w:rsidRPr="00C64882">
        <w:rPr>
          <w:rFonts w:ascii="Calibri Light" w:eastAsia="Calibri" w:hAnsi="Calibri Light" w:cs="Times New Roman"/>
          <w:rtl/>
        </w:rPr>
        <w:t>זאת בין היתר על מנת להרתיע עבריינים פוטנציאליים משימוש בו כאמצעי ליישוב סכסוכים</w:t>
      </w:r>
      <w:r w:rsidRPr="00C64882">
        <w:rPr>
          <w:rFonts w:ascii="Calibri Light" w:eastAsia="Calibri" w:hAnsi="Calibri Light" w:cs="Calibri Light"/>
          <w:rtl/>
        </w:rPr>
        <w:t>"</w:t>
      </w:r>
      <w:r w:rsidRPr="00C64882">
        <w:rPr>
          <w:rFonts w:ascii="David" w:eastAsia="Calibri" w:hAnsi="David"/>
          <w:rtl/>
        </w:rPr>
        <w:t xml:space="preserve"> (ההדגשה אינה במקור).  </w:t>
      </w:r>
    </w:p>
    <w:p w14:paraId="4E75EC34" w14:textId="77777777" w:rsidR="00601C80" w:rsidRPr="00C64882" w:rsidRDefault="00601C80" w:rsidP="00601C80">
      <w:pPr>
        <w:spacing w:before="240" w:line="360" w:lineRule="auto"/>
        <w:jc w:val="both"/>
        <w:rPr>
          <w:rFonts w:ascii="David" w:eastAsia="Calibri" w:hAnsi="David"/>
          <w:b/>
          <w:bCs/>
          <w:u w:val="single"/>
          <w:rtl/>
        </w:rPr>
      </w:pPr>
      <w:r w:rsidRPr="00C64882">
        <w:rPr>
          <w:rFonts w:ascii="David" w:eastAsia="Calibri" w:hAnsi="David"/>
          <w:rtl/>
        </w:rPr>
        <w:t xml:space="preserve">כידוע, עת נפנים לבצע את מלאכת הענישה, העיקרון המנחה שנקבע במסגרת תורת הבניית שיקול-הדעת השיפוטי, הוא עקרון ההלימה: משמע, </w:t>
      </w:r>
      <w:r w:rsidRPr="00C64882">
        <w:rPr>
          <w:rFonts w:ascii="David" w:eastAsia="Calibri" w:hAnsi="David"/>
          <w:u w:val="single"/>
          <w:rtl/>
        </w:rPr>
        <w:t>שימור יחס הולם בין חומרת מעשה העבירה בנסיבותיו ומידת אשמו של הנאשם ובין סוג העונש המוטל עליו ומידתו</w:t>
      </w:r>
      <w:r w:rsidRPr="00C64882">
        <w:rPr>
          <w:rFonts w:ascii="David" w:eastAsia="Calibri" w:hAnsi="David"/>
          <w:rtl/>
        </w:rPr>
        <w:t xml:space="preserve">. על מנת לשמר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לנאשם בשים לב לנסיבותיו האישיות ולנתונים נוספים, הללו שאינם קשורות בביצוע העבירה. </w:t>
      </w:r>
    </w:p>
    <w:p w14:paraId="1CF36CCC" w14:textId="77777777" w:rsidR="00601C80" w:rsidRPr="00C64882" w:rsidRDefault="00601C80" w:rsidP="00601C80">
      <w:pPr>
        <w:spacing w:before="240" w:after="240" w:line="360" w:lineRule="auto"/>
        <w:jc w:val="both"/>
        <w:rPr>
          <w:rFonts w:ascii="David" w:eastAsia="Calibri" w:hAnsi="David"/>
          <w:u w:val="single"/>
          <w:rtl/>
        </w:rPr>
      </w:pPr>
      <w:r w:rsidRPr="00C64882">
        <w:rPr>
          <w:rFonts w:ascii="David" w:eastAsia="Calibri" w:hAnsi="David"/>
          <w:u w:val="single"/>
          <w:rtl/>
        </w:rPr>
        <w:t>הערכים החברתיים</w:t>
      </w:r>
    </w:p>
    <w:p w14:paraId="41A182C9" w14:textId="77777777" w:rsidR="00601C80" w:rsidRPr="00C64882" w:rsidRDefault="00601C80" w:rsidP="00601C80">
      <w:pPr>
        <w:spacing w:before="240" w:after="240" w:line="360" w:lineRule="auto"/>
        <w:jc w:val="both"/>
        <w:rPr>
          <w:rFonts w:ascii="David" w:eastAsia="Calibri" w:hAnsi="David"/>
          <w:rtl/>
        </w:rPr>
      </w:pPr>
      <w:r w:rsidRPr="00C64882">
        <w:rPr>
          <w:rFonts w:ascii="David" w:eastAsia="Calibri" w:hAnsi="David"/>
          <w:rtl/>
        </w:rPr>
        <w:t xml:space="preserve">בכל הנוגע לערכים החברתיים המוגנים שנפגעו כפועל יוצא ממעשיו של נאשם זה, הרי שהדברים מובנים מאליהם: המחזיק נשק בלא רשות על פי דין, פוגע בראש ובראשונה </w:t>
      </w:r>
      <w:r w:rsidRPr="00C64882">
        <w:rPr>
          <w:rFonts w:ascii="David" w:eastAsia="Calibri" w:hAnsi="David"/>
          <w:b/>
          <w:bCs/>
          <w:rtl/>
        </w:rPr>
        <w:t>בביטחון המדינה ובמנגנוני שלטונה</w:t>
      </w:r>
      <w:r w:rsidRPr="00C64882">
        <w:rPr>
          <w:rFonts w:ascii="David" w:eastAsia="Calibri" w:hAnsi="David"/>
          <w:rtl/>
        </w:rPr>
        <w:t>;</w:t>
      </w:r>
      <w:r w:rsidRPr="00C64882">
        <w:rPr>
          <w:rFonts w:ascii="David" w:eastAsia="Calibri" w:hAnsi="David"/>
        </w:rPr>
        <w:t xml:space="preserve"> </w:t>
      </w:r>
      <w:r w:rsidRPr="00C64882">
        <w:rPr>
          <w:rFonts w:ascii="David" w:eastAsia="Calibri" w:hAnsi="David"/>
          <w:b/>
          <w:bCs/>
          <w:rtl/>
        </w:rPr>
        <w:t>בשלום הציבור ובסדר הציבורי</w:t>
      </w:r>
      <w:r w:rsidRPr="00C64882">
        <w:rPr>
          <w:rFonts w:ascii="David" w:eastAsia="Calibri" w:hAnsi="David"/>
          <w:rtl/>
        </w:rPr>
        <w:t xml:space="preserve">. הוא פוגע בביטחון הציבור </w:t>
      </w:r>
      <w:r w:rsidRPr="00C64882">
        <w:rPr>
          <w:rFonts w:ascii="David" w:eastAsia="Calibri" w:hAnsi="David"/>
          <w:b/>
          <w:bCs/>
          <w:rtl/>
        </w:rPr>
        <w:t>וחושף אותו למעשי טרור לאומני ול"טרור פלילי", המבוצעים באמצעות נשק</w:t>
      </w:r>
      <w:r w:rsidRPr="00C64882">
        <w:rPr>
          <w:rFonts w:ascii="David" w:eastAsia="Calibri" w:hAnsi="David"/>
          <w:rtl/>
        </w:rPr>
        <w:t xml:space="preserve"> </w:t>
      </w:r>
      <w:r w:rsidRPr="00C64882">
        <w:rPr>
          <w:rFonts w:ascii="David" w:eastAsia="Calibri" w:hAnsi="David"/>
          <w:b/>
          <w:bCs/>
          <w:rtl/>
        </w:rPr>
        <w:t>המוחזק והמושג שלא כחוק.</w:t>
      </w:r>
      <w:r w:rsidRPr="00C64882">
        <w:rPr>
          <w:rFonts w:ascii="David" w:eastAsia="Calibri" w:hAnsi="David"/>
          <w:rtl/>
        </w:rPr>
        <w:t xml:space="preserve"> הפגיעה בערכים אלו ממשית.</w:t>
      </w:r>
    </w:p>
    <w:p w14:paraId="6C232718" w14:textId="77777777" w:rsidR="00601C80" w:rsidRPr="00C64882" w:rsidRDefault="00601C80" w:rsidP="00601C80">
      <w:pPr>
        <w:spacing w:before="240" w:line="360" w:lineRule="auto"/>
        <w:jc w:val="both"/>
        <w:rPr>
          <w:rFonts w:ascii="David" w:eastAsia="Calibri" w:hAnsi="David"/>
          <w:rtl/>
        </w:rPr>
      </w:pPr>
      <w:r w:rsidRPr="00C64882">
        <w:rPr>
          <w:rFonts w:ascii="David" w:eastAsia="Calibri" w:hAnsi="David"/>
          <w:rtl/>
        </w:rPr>
        <w:t xml:space="preserve">דברים אלו עולים גם כן מדבריו של המחוקק. במסגרת </w:t>
      </w:r>
      <w:r w:rsidRPr="00C64882">
        <w:rPr>
          <w:rFonts w:ascii="David" w:eastAsia="Calibri" w:hAnsi="David"/>
          <w:b/>
          <w:bCs/>
          <w:rtl/>
        </w:rPr>
        <w:t>תיקון מס' 140 ל</w:t>
      </w:r>
      <w:hyperlink r:id="rId16" w:history="1">
        <w:r w:rsidR="0005499E" w:rsidRPr="0005499E">
          <w:rPr>
            <w:rFonts w:ascii="David" w:eastAsia="Calibri" w:hAnsi="David"/>
            <w:b/>
            <w:bCs/>
            <w:color w:val="0000FF"/>
            <w:u w:val="single"/>
            <w:rtl/>
          </w:rPr>
          <w:t>חוק העונשין</w:t>
        </w:r>
      </w:hyperlink>
      <w:r w:rsidRPr="00C64882">
        <w:rPr>
          <w:rFonts w:ascii="David" w:eastAsia="Calibri" w:hAnsi="David"/>
          <w:rtl/>
        </w:rPr>
        <w:t xml:space="preserve"> [(תיקון מס' 140 - הוראת שעה), התשפ"ב-2021, ס"ח 2938] הבא לידי ביטוי </w:t>
      </w:r>
      <w:hyperlink r:id="rId17" w:history="1">
        <w:r w:rsidR="00EA0815" w:rsidRPr="00EA0815">
          <w:rPr>
            <w:rStyle w:val="Hyperlink"/>
            <w:rFonts w:ascii="David" w:eastAsia="Calibri" w:hAnsi="David"/>
            <w:color w:val="0000FF"/>
            <w:rtl/>
          </w:rPr>
          <w:t>בסעיף 144(ז)</w:t>
        </w:r>
      </w:hyperlink>
      <w:r w:rsidRPr="00C64882">
        <w:rPr>
          <w:rFonts w:ascii="David" w:eastAsia="Calibri" w:hAnsi="David"/>
          <w:rtl/>
        </w:rPr>
        <w:t xml:space="preserve"> לחוק, עוגנו </w:t>
      </w:r>
      <w:r w:rsidRPr="00C64882">
        <w:rPr>
          <w:rFonts w:ascii="David" w:eastAsia="Calibri" w:hAnsi="David"/>
          <w:b/>
          <w:bCs/>
          <w:rtl/>
        </w:rPr>
        <w:t xml:space="preserve">עונשים מזעריים </w:t>
      </w:r>
      <w:r w:rsidRPr="00C64882">
        <w:rPr>
          <w:rFonts w:ascii="David" w:eastAsia="Calibri" w:hAnsi="David"/>
          <w:rtl/>
        </w:rPr>
        <w:t xml:space="preserve">בכל הנוגע לעבירות שעניינן </w:t>
      </w:r>
      <w:r w:rsidRPr="00C64882">
        <w:rPr>
          <w:rFonts w:ascii="David" w:eastAsia="Calibri" w:hAnsi="David"/>
          <w:b/>
          <w:bCs/>
          <w:rtl/>
        </w:rPr>
        <w:t>החזקה</w:t>
      </w:r>
      <w:r w:rsidRPr="00C64882">
        <w:rPr>
          <w:rFonts w:ascii="David" w:eastAsia="Calibri" w:hAnsi="David"/>
          <w:rtl/>
        </w:rPr>
        <w:t xml:space="preserve">, הובלה או סחר בנשק שלא כדין. בתיקון זה, נתן המחוקק דעתו ביחס לטיפול בריבוי וגידול במספר עבירות הנשק, וכן בצורך למגרן. זאת דרך החמרת הענישה בצד העבירות ובקביעת עונש מינימום אשר לא יפחת מרבע מהעונש המרבי הקבוע בצד העבירה. </w:t>
      </w:r>
    </w:p>
    <w:p w14:paraId="1B9FA7E7" w14:textId="77777777" w:rsidR="00601C80" w:rsidRPr="00C64882" w:rsidRDefault="00601C80" w:rsidP="00601C80">
      <w:pPr>
        <w:spacing w:before="240" w:line="360" w:lineRule="auto"/>
        <w:jc w:val="both"/>
        <w:rPr>
          <w:rFonts w:ascii="David" w:eastAsia="Calibri" w:hAnsi="David"/>
          <w:rtl/>
        </w:rPr>
      </w:pPr>
      <w:r w:rsidRPr="00C64882">
        <w:rPr>
          <w:rFonts w:ascii="David" w:eastAsia="Calibri" w:hAnsi="David"/>
          <w:rtl/>
        </w:rPr>
        <w:t xml:space="preserve">התיקון הנ"ל מבקש לשקף את החומרה אותה יש לייחס לתופעה בה עסקינן, ואת הצורך המובהק להילחם בה מלחמת חורמה בלתי מתפשרת. הוראה זו נכנסה לתוקפה ביום 8.12.21, ותחולתה עוגנה בחוק למשך שלוש שנים, קרי הוראה זו נכנסה לתוקפה טרם ביצוען של העבירות מושא כתב-האישום דכאן, וביצוען של העבירות על-ידי הנאשם נעשה בתקופה בה הוראה זו חלה. עוד יצוין, כי </w:t>
      </w:r>
      <w:r w:rsidRPr="00C64882">
        <w:rPr>
          <w:rFonts w:ascii="David" w:eastAsia="Calibri" w:hAnsi="David"/>
          <w:u w:val="single"/>
          <w:rtl/>
        </w:rPr>
        <w:t>ביום 9.1.25 הוארך תוקפה של הוראה זו עד ליום 31.12.26</w:t>
      </w:r>
      <w:r w:rsidRPr="00C64882">
        <w:rPr>
          <w:rFonts w:ascii="David" w:eastAsia="Calibri" w:hAnsi="David"/>
          <w:rtl/>
        </w:rPr>
        <w:t>, על כן, עלינו להתחשב בתיקון זה המשקף רצון המחוקק, זאת בייחוד לאור רוח התקופה.</w:t>
      </w:r>
    </w:p>
    <w:p w14:paraId="56F8F6D9" w14:textId="77777777" w:rsidR="00601C80" w:rsidRPr="00C64882" w:rsidRDefault="00601C80" w:rsidP="00601C80">
      <w:pPr>
        <w:spacing w:before="240" w:after="160" w:line="360" w:lineRule="auto"/>
        <w:jc w:val="both"/>
        <w:rPr>
          <w:rFonts w:ascii="Calibri" w:eastAsia="Calibri" w:hAnsi="Calibri"/>
          <w:rtl/>
        </w:rPr>
      </w:pPr>
      <w:r w:rsidRPr="00C64882">
        <w:rPr>
          <w:rFonts w:ascii="Calibri" w:eastAsia="Calibri" w:hAnsi="Calibri"/>
          <w:rtl/>
        </w:rPr>
        <w:t xml:space="preserve">על מנת לשרטט כדבעי את מתחם העונש ההולם בעניינו של הנאשם, עיינתי בפסיקה רחבה העוסקת בעבירת החזקת נשק. </w:t>
      </w:r>
      <w:r w:rsidRPr="00C64882">
        <w:rPr>
          <w:rFonts w:ascii="David" w:eastAsia="Calibri" w:hAnsi="David"/>
          <w:rtl/>
        </w:rPr>
        <w:t xml:space="preserve">נמצאתי למד, כי בשנים האחרונות חלה מגמת החמרה בענישה, הבאה לידי ביטוי בפסיקת הערכאות השונות הנוגעת לעבירות נשק. עם זאת, מטבע הדברים, בקביעת העונש יש ליתן </w:t>
      </w:r>
      <w:r w:rsidRPr="00C64882">
        <w:rPr>
          <w:rFonts w:ascii="Calibri" w:eastAsia="Calibri" w:hAnsi="Calibri"/>
          <w:rtl/>
        </w:rPr>
        <w:t xml:space="preserve">משקל ניכר </w:t>
      </w:r>
      <w:r w:rsidRPr="00C64882">
        <w:rPr>
          <w:rFonts w:ascii="Calibri" w:eastAsia="Calibri" w:hAnsi="Calibri"/>
          <w:b/>
          <w:bCs/>
          <w:rtl/>
        </w:rPr>
        <w:t>לאופי הנשק</w:t>
      </w:r>
      <w:r w:rsidRPr="00C64882">
        <w:rPr>
          <w:rFonts w:ascii="Calibri" w:eastAsia="Calibri" w:hAnsi="Calibri"/>
          <w:rtl/>
        </w:rPr>
        <w:t>, במידת קטלניותו, בכמות הנשקים המוחזקים, בתחמושת שנתפסה לצדו וכיוצ"ב. למעשה, "</w:t>
      </w:r>
      <w:r w:rsidRPr="00C64882">
        <w:rPr>
          <w:rFonts w:ascii="Calibri Light" w:eastAsia="Calibri" w:hAnsi="Calibri Light" w:cs="Times New Roman"/>
          <w:rtl/>
        </w:rPr>
        <w:t>כבכל עבירה</w:t>
      </w:r>
      <w:r w:rsidRPr="00C64882">
        <w:rPr>
          <w:rFonts w:ascii="Calibri Light" w:eastAsia="Calibri" w:hAnsi="Calibri Light" w:cs="Calibri Light"/>
          <w:rtl/>
        </w:rPr>
        <w:t xml:space="preserve">, </w:t>
      </w:r>
      <w:r w:rsidRPr="00C64882">
        <w:rPr>
          <w:rFonts w:ascii="Calibri Light" w:eastAsia="Calibri" w:hAnsi="Calibri Light" w:cs="Times New Roman"/>
          <w:rtl/>
        </w:rPr>
        <w:t>גם בעבירות נשק קיים מדרג של חומרה</w:t>
      </w:r>
      <w:r w:rsidRPr="00C64882">
        <w:rPr>
          <w:rFonts w:ascii="Calibri Light" w:eastAsia="Calibri" w:hAnsi="Calibri Light" w:cs="Calibri Light"/>
          <w:rtl/>
        </w:rPr>
        <w:t xml:space="preserve">, </w:t>
      </w:r>
      <w:r w:rsidRPr="00C64882">
        <w:rPr>
          <w:rFonts w:ascii="Calibri Light" w:eastAsia="Calibri" w:hAnsi="Calibri Light" w:cs="Times New Roman"/>
          <w:rtl/>
        </w:rPr>
        <w:t>ושומה על בית המשפט להביאו בחשבון בבואו לקבוע את מתחם העונש ההולם</w:t>
      </w:r>
      <w:r w:rsidRPr="00C64882">
        <w:rPr>
          <w:rFonts w:ascii="Calibri" w:eastAsia="Calibri" w:hAnsi="Calibri" w:cs="Miriam"/>
          <w:rtl/>
        </w:rPr>
        <w:t>"</w:t>
      </w:r>
      <w:r w:rsidRPr="00C64882">
        <w:rPr>
          <w:rFonts w:ascii="David" w:eastAsia="Calibri" w:hAnsi="David"/>
          <w:rtl/>
        </w:rPr>
        <w:t>(</w:t>
      </w:r>
      <w:hyperlink r:id="rId18" w:history="1">
        <w:r w:rsidR="0005499E" w:rsidRPr="0005499E">
          <w:rPr>
            <w:rFonts w:ascii="Calibri" w:eastAsia="Calibri" w:hAnsi="Calibri" w:hint="cs"/>
            <w:color w:val="0000FF"/>
            <w:u w:val="single"/>
            <w:rtl/>
          </w:rPr>
          <w:t>ע</w:t>
        </w:r>
        <w:r w:rsidR="0005499E" w:rsidRPr="0005499E">
          <w:rPr>
            <w:rFonts w:ascii="Calibri" w:eastAsia="Calibri" w:hAnsi="Calibri"/>
            <w:color w:val="0000FF"/>
            <w:u w:val="single"/>
            <w:rtl/>
          </w:rPr>
          <w:t>"</w:t>
        </w:r>
        <w:r w:rsidR="0005499E" w:rsidRPr="0005499E">
          <w:rPr>
            <w:rFonts w:ascii="Calibri" w:eastAsia="Calibri" w:hAnsi="Calibri" w:hint="cs"/>
            <w:color w:val="0000FF"/>
            <w:u w:val="single"/>
            <w:rtl/>
          </w:rPr>
          <w:t>פ</w:t>
        </w:r>
        <w:r w:rsidR="0005499E" w:rsidRPr="0005499E">
          <w:rPr>
            <w:rFonts w:ascii="Calibri" w:eastAsia="Calibri" w:hAnsi="Calibri"/>
            <w:color w:val="0000FF"/>
            <w:u w:val="single"/>
            <w:rtl/>
          </w:rPr>
          <w:t xml:space="preserve"> 9702/16</w:t>
        </w:r>
      </w:hyperlink>
      <w:r w:rsidRPr="00C64882">
        <w:rPr>
          <w:rFonts w:ascii="Calibri" w:eastAsia="Calibri" w:hAnsi="Calibri"/>
          <w:rtl/>
        </w:rPr>
        <w:t xml:space="preserve"> </w:t>
      </w:r>
      <w:r w:rsidRPr="00C64882">
        <w:rPr>
          <w:rFonts w:ascii="Calibri" w:eastAsia="Calibri" w:hAnsi="Calibri"/>
          <w:b/>
          <w:bCs/>
          <w:rtl/>
        </w:rPr>
        <w:t>אלוליאיה נ' מדינת ישראל</w:t>
      </w:r>
      <w:r w:rsidRPr="00C64882">
        <w:rPr>
          <w:rFonts w:ascii="Calibri" w:eastAsia="Calibri" w:hAnsi="Calibri"/>
          <w:rtl/>
        </w:rPr>
        <w:t xml:space="preserve">, פסקה 8, ניתן ביום 13.9.17) (ראו בנוסף לעניין זה: </w:t>
      </w:r>
      <w:hyperlink r:id="rId19" w:history="1">
        <w:r w:rsidR="0005499E" w:rsidRPr="0005499E">
          <w:rPr>
            <w:rFonts w:ascii="Calibri" w:eastAsia="Calibri" w:hAnsi="Calibri" w:hint="cs"/>
            <w:color w:val="0000FF"/>
            <w:u w:val="single"/>
            <w:rtl/>
          </w:rPr>
          <w:t>ע</w:t>
        </w:r>
        <w:r w:rsidR="0005499E" w:rsidRPr="0005499E">
          <w:rPr>
            <w:rFonts w:ascii="Calibri" w:eastAsia="Calibri" w:hAnsi="Calibri"/>
            <w:color w:val="0000FF"/>
            <w:u w:val="single"/>
            <w:rtl/>
          </w:rPr>
          <w:t>"</w:t>
        </w:r>
        <w:r w:rsidR="0005499E" w:rsidRPr="0005499E">
          <w:rPr>
            <w:rFonts w:ascii="Calibri" w:eastAsia="Calibri" w:hAnsi="Calibri" w:hint="cs"/>
            <w:color w:val="0000FF"/>
            <w:u w:val="single"/>
            <w:rtl/>
          </w:rPr>
          <w:t>פ</w:t>
        </w:r>
        <w:r w:rsidR="0005499E" w:rsidRPr="0005499E">
          <w:rPr>
            <w:rFonts w:ascii="Calibri" w:eastAsia="Calibri" w:hAnsi="Calibri"/>
            <w:color w:val="0000FF"/>
            <w:u w:val="single"/>
            <w:rtl/>
          </w:rPr>
          <w:t xml:space="preserve">  4059/17</w:t>
        </w:r>
      </w:hyperlink>
      <w:r w:rsidRPr="00C64882">
        <w:rPr>
          <w:rFonts w:ascii="Calibri" w:eastAsia="Calibri" w:hAnsi="Calibri"/>
          <w:rtl/>
        </w:rPr>
        <w:t xml:space="preserve"> </w:t>
      </w:r>
      <w:r w:rsidRPr="00C64882">
        <w:rPr>
          <w:rFonts w:ascii="Calibri" w:eastAsia="Calibri" w:hAnsi="Calibri"/>
          <w:b/>
          <w:bCs/>
          <w:rtl/>
        </w:rPr>
        <w:t>סלמה נ' מדינת ישראל</w:t>
      </w:r>
      <w:r w:rsidRPr="00C64882">
        <w:rPr>
          <w:rFonts w:ascii="Calibri" w:eastAsia="Calibri" w:hAnsi="Calibri"/>
          <w:rtl/>
        </w:rPr>
        <w:t>, פסקה 5,  ניתן ביום 24.4.18)</w:t>
      </w:r>
      <w:r w:rsidRPr="00C64882">
        <w:rPr>
          <w:rFonts w:ascii="Calibri" w:eastAsia="Calibri" w:hAnsi="Calibri" w:cs="Miriam"/>
          <w:rtl/>
        </w:rPr>
        <w:t xml:space="preserve">.  </w:t>
      </w:r>
      <w:r w:rsidRPr="00C64882">
        <w:rPr>
          <w:rFonts w:ascii="Calibri" w:eastAsia="Calibri" w:hAnsi="Calibri"/>
          <w:rtl/>
        </w:rPr>
        <w:t xml:space="preserve">  </w:t>
      </w:r>
    </w:p>
    <w:p w14:paraId="2822C9EF" w14:textId="77777777" w:rsidR="00601C80" w:rsidRPr="00C64882" w:rsidRDefault="00601C80" w:rsidP="00601C80">
      <w:pPr>
        <w:spacing w:before="240" w:after="160" w:line="360" w:lineRule="auto"/>
        <w:jc w:val="both"/>
        <w:rPr>
          <w:rFonts w:ascii="David" w:eastAsia="Calibri" w:hAnsi="David"/>
          <w:rtl/>
        </w:rPr>
      </w:pPr>
      <w:r w:rsidRPr="00C64882">
        <w:rPr>
          <w:rFonts w:ascii="David" w:eastAsia="Calibri" w:hAnsi="David"/>
          <w:rtl/>
        </w:rPr>
        <w:t xml:space="preserve">כך למשל: במסגרתו של </w:t>
      </w:r>
      <w:hyperlink r:id="rId20" w:history="1">
        <w:r w:rsidR="0005499E" w:rsidRPr="0005499E">
          <w:rPr>
            <w:rFonts w:ascii="David" w:eastAsia="Calibri" w:hAnsi="David"/>
            <w:color w:val="0000FF"/>
            <w:u w:val="single"/>
            <w:rtl/>
          </w:rPr>
          <w:t>ע"פ 1806/22</w:t>
        </w:r>
      </w:hyperlink>
      <w:r w:rsidRPr="00C64882">
        <w:rPr>
          <w:rFonts w:ascii="David" w:eastAsia="Calibri" w:hAnsi="David"/>
          <w:rtl/>
        </w:rPr>
        <w:t xml:space="preserve"> </w:t>
      </w:r>
      <w:r w:rsidRPr="00C64882">
        <w:rPr>
          <w:rFonts w:ascii="David" w:eastAsia="Calibri" w:hAnsi="David"/>
          <w:b/>
          <w:bCs/>
          <w:rtl/>
        </w:rPr>
        <w:t>נבארי נ' מדינת ישראל</w:t>
      </w:r>
      <w:r w:rsidRPr="00C64882">
        <w:rPr>
          <w:rFonts w:ascii="David" w:eastAsia="Calibri" w:hAnsi="David"/>
          <w:rtl/>
        </w:rPr>
        <w:t xml:space="preserve"> (ניתן ביום 15.6.22 </w:t>
      </w:r>
      <w:r w:rsidRPr="00C64882">
        <w:rPr>
          <w:rFonts w:ascii="David" w:eastAsia="Calibri" w:hAnsi="David"/>
        </w:rPr>
        <w:t xml:space="preserve"> (</w:t>
      </w:r>
      <w:r w:rsidRPr="00C64882">
        <w:rPr>
          <w:rFonts w:ascii="David" w:eastAsia="Calibri" w:hAnsi="David"/>
          <w:rtl/>
        </w:rPr>
        <w:t xml:space="preserve">הושתו </w:t>
      </w:r>
      <w:r w:rsidRPr="00C64882">
        <w:rPr>
          <w:rFonts w:ascii="David" w:eastAsia="Calibri" w:hAnsi="David"/>
          <w:b/>
          <w:bCs/>
          <w:rtl/>
        </w:rPr>
        <w:t>16 חודשי מאסר לריצוי בפועל</w:t>
      </w:r>
      <w:r w:rsidRPr="00C64882">
        <w:rPr>
          <w:rFonts w:ascii="David" w:eastAsia="Calibri" w:hAnsi="David"/>
          <w:rtl/>
        </w:rPr>
        <w:t xml:space="preserve"> בגין החזקת אקדח חצי אוטומט טעון במחסנית וכדורים; במסגרתו של </w:t>
      </w:r>
      <w:hyperlink r:id="rId21" w:history="1">
        <w:r w:rsidR="0005499E" w:rsidRPr="0005499E">
          <w:rPr>
            <w:rFonts w:ascii="David" w:eastAsia="Calibri" w:hAnsi="David"/>
            <w:color w:val="0000FF"/>
            <w:u w:val="single"/>
            <w:rtl/>
          </w:rPr>
          <w:t>ע"פ 5646/15</w:t>
        </w:r>
      </w:hyperlink>
      <w:r w:rsidRPr="00C64882">
        <w:rPr>
          <w:rFonts w:ascii="David" w:eastAsia="Calibri" w:hAnsi="David"/>
          <w:rtl/>
        </w:rPr>
        <w:t xml:space="preserve"> </w:t>
      </w:r>
      <w:r w:rsidRPr="00C64882">
        <w:rPr>
          <w:rFonts w:ascii="David" w:eastAsia="Calibri" w:hAnsi="David"/>
          <w:b/>
          <w:bCs/>
          <w:rtl/>
        </w:rPr>
        <w:t>תיהאווי נ' מדינת ישראל</w:t>
      </w:r>
      <w:r w:rsidRPr="00C64882">
        <w:rPr>
          <w:rFonts w:ascii="David" w:eastAsia="Calibri" w:hAnsi="David"/>
          <w:rtl/>
        </w:rPr>
        <w:t xml:space="preserve">, ניתן ביום 14.2.16- במסגרתו הושתו </w:t>
      </w:r>
      <w:r w:rsidRPr="00C64882">
        <w:rPr>
          <w:rFonts w:ascii="David" w:eastAsia="Calibri" w:hAnsi="David"/>
          <w:b/>
          <w:bCs/>
          <w:rtl/>
        </w:rPr>
        <w:t xml:space="preserve">15 חודשי מאסר לריצוי בפועל </w:t>
      </w:r>
      <w:r w:rsidRPr="00C64882">
        <w:rPr>
          <w:rFonts w:ascii="David" w:eastAsia="Calibri" w:hAnsi="David"/>
          <w:rtl/>
        </w:rPr>
        <w:t xml:space="preserve">בגין החזקת אקדח טעון במחסנית ובה כדורים; </w:t>
      </w:r>
      <w:hyperlink r:id="rId22" w:history="1">
        <w:r w:rsidR="0005499E" w:rsidRPr="0005499E">
          <w:rPr>
            <w:rFonts w:ascii="David" w:eastAsia="Calibri" w:hAnsi="David"/>
            <w:color w:val="0000FF"/>
            <w:u w:val="single"/>
            <w:rtl/>
          </w:rPr>
          <w:t>ע"פ 2141/21</w:t>
        </w:r>
      </w:hyperlink>
      <w:r w:rsidRPr="00C64882">
        <w:rPr>
          <w:rFonts w:ascii="David" w:eastAsia="Calibri" w:hAnsi="David"/>
          <w:rtl/>
        </w:rPr>
        <w:t xml:space="preserve"> </w:t>
      </w:r>
      <w:r w:rsidRPr="00C64882">
        <w:rPr>
          <w:rFonts w:ascii="David" w:eastAsia="Calibri" w:hAnsi="David"/>
          <w:b/>
          <w:bCs/>
          <w:rtl/>
        </w:rPr>
        <w:t>חניני נ' מדינת ישראל</w:t>
      </w:r>
      <w:r w:rsidRPr="00C64882">
        <w:rPr>
          <w:rFonts w:ascii="David" w:eastAsia="Calibri" w:hAnsi="David"/>
          <w:rtl/>
        </w:rPr>
        <w:t xml:space="preserve"> (ניתן ביום 27.5.21) – </w:t>
      </w:r>
      <w:r w:rsidRPr="00C64882">
        <w:rPr>
          <w:rFonts w:ascii="David" w:eastAsia="Calibri" w:hAnsi="David"/>
          <w:b/>
          <w:bCs/>
          <w:rtl/>
        </w:rPr>
        <w:t>הושתו 20 חודשי מאסר לריצוי בפועל</w:t>
      </w:r>
      <w:r w:rsidRPr="00C64882">
        <w:rPr>
          <w:rFonts w:ascii="David" w:eastAsia="Calibri" w:hAnsi="David"/>
          <w:rtl/>
        </w:rPr>
        <w:t xml:space="preserve"> בגין החזקת אקדח אוויר שבוצעו בו שינויים וכדורים תואמים; במסגרתו של </w:t>
      </w:r>
      <w:hyperlink r:id="rId23" w:history="1">
        <w:r w:rsidR="0005499E" w:rsidRPr="0005499E">
          <w:rPr>
            <w:rFonts w:ascii="David" w:eastAsia="Calibri" w:hAnsi="David"/>
            <w:color w:val="0000FF"/>
            <w:u w:val="single"/>
            <w:rtl/>
          </w:rPr>
          <w:t>ע"פ 2482/22</w:t>
        </w:r>
      </w:hyperlink>
      <w:r w:rsidRPr="00C64882">
        <w:rPr>
          <w:rFonts w:ascii="David" w:eastAsia="Calibri" w:hAnsi="David"/>
          <w:rtl/>
        </w:rPr>
        <w:t xml:space="preserve"> </w:t>
      </w:r>
      <w:r w:rsidRPr="00C64882">
        <w:rPr>
          <w:rFonts w:ascii="David" w:eastAsia="Calibri" w:hAnsi="David"/>
          <w:b/>
          <w:bCs/>
          <w:rtl/>
        </w:rPr>
        <w:t>מדינת ישראל נ' קדורה</w:t>
      </w:r>
      <w:r w:rsidRPr="00C64882">
        <w:rPr>
          <w:rFonts w:ascii="David" w:eastAsia="Calibri" w:hAnsi="David"/>
          <w:rtl/>
        </w:rPr>
        <w:t xml:space="preserve">, ניתן ביום 14.4.22- </w:t>
      </w:r>
      <w:r w:rsidRPr="00C64882">
        <w:rPr>
          <w:rFonts w:ascii="David" w:eastAsia="Calibri" w:hAnsi="David"/>
          <w:b/>
          <w:bCs/>
          <w:rtl/>
        </w:rPr>
        <w:t>הושתו 18 חודשי מאסר לריצוי בפועל</w:t>
      </w:r>
      <w:r w:rsidRPr="00C64882">
        <w:rPr>
          <w:rFonts w:ascii="David" w:eastAsia="Calibri" w:hAnsi="David"/>
          <w:rtl/>
        </w:rPr>
        <w:t xml:space="preserve">, בגין החזקת אקדח גלוק ורימון הלם; במסגרתו של </w:t>
      </w:r>
      <w:hyperlink r:id="rId24" w:history="1">
        <w:r w:rsidR="0005499E" w:rsidRPr="0005499E">
          <w:rPr>
            <w:rFonts w:ascii="David" w:eastAsia="Calibri" w:hAnsi="David"/>
            <w:color w:val="0000FF"/>
            <w:u w:val="single"/>
            <w:rtl/>
          </w:rPr>
          <w:t>ת"פ (מחוזי ב"ש) 54607-07-19</w:t>
        </w:r>
      </w:hyperlink>
      <w:r w:rsidRPr="00C64882">
        <w:rPr>
          <w:rFonts w:ascii="David" w:eastAsia="Calibri" w:hAnsi="David"/>
          <w:rtl/>
        </w:rPr>
        <w:t xml:space="preserve"> </w:t>
      </w:r>
      <w:r w:rsidRPr="00C64882">
        <w:rPr>
          <w:rFonts w:ascii="David" w:eastAsia="Calibri" w:hAnsi="David"/>
          <w:b/>
          <w:bCs/>
          <w:rtl/>
        </w:rPr>
        <w:t xml:space="preserve">מדינת ישראל נ' גבור </w:t>
      </w:r>
      <w:r w:rsidRPr="00C64882">
        <w:rPr>
          <w:rFonts w:ascii="David" w:eastAsia="Calibri" w:hAnsi="David"/>
          <w:rtl/>
        </w:rPr>
        <w:t xml:space="preserve">(ניתן ביום 12.01.2020) - הושתו 22 חודשי מאסר לריצוי בפועל, בגין החזקת רוס"ר </w:t>
      </w:r>
      <w:r w:rsidRPr="00C64882">
        <w:rPr>
          <w:rFonts w:ascii="David" w:eastAsia="Calibri" w:hAnsi="David"/>
        </w:rPr>
        <w:t>M-16</w:t>
      </w:r>
      <w:r w:rsidRPr="00C64882">
        <w:rPr>
          <w:rFonts w:ascii="David" w:eastAsia="Calibri" w:hAnsi="David"/>
          <w:rtl/>
        </w:rPr>
        <w:t xml:space="preserve"> ומחסנית ריקה. </w:t>
      </w:r>
    </w:p>
    <w:p w14:paraId="59A9AD44" w14:textId="77777777" w:rsidR="00601C80" w:rsidRPr="00C64882" w:rsidRDefault="00601C80" w:rsidP="00601C80">
      <w:pPr>
        <w:spacing w:before="240" w:after="160" w:line="360" w:lineRule="auto"/>
        <w:jc w:val="both"/>
        <w:rPr>
          <w:rFonts w:ascii="David" w:eastAsia="Calibri" w:hAnsi="David"/>
          <w:u w:val="single"/>
          <w:rtl/>
        </w:rPr>
      </w:pPr>
      <w:r w:rsidRPr="00C64882">
        <w:rPr>
          <w:rFonts w:ascii="David" w:eastAsia="Calibri" w:hAnsi="David"/>
          <w:u w:val="single"/>
          <w:rtl/>
        </w:rPr>
        <w:t>נסיבות הקשורות בביצוע העבירה</w:t>
      </w:r>
    </w:p>
    <w:p w14:paraId="5D68E291" w14:textId="77777777" w:rsidR="00601C80" w:rsidRPr="00C64882" w:rsidRDefault="00601C80" w:rsidP="00601C80">
      <w:pPr>
        <w:spacing w:before="240" w:after="160" w:line="360" w:lineRule="auto"/>
        <w:jc w:val="both"/>
        <w:rPr>
          <w:rFonts w:ascii="Calibri" w:eastAsia="Calibri" w:hAnsi="Calibri"/>
          <w:rtl/>
        </w:rPr>
      </w:pPr>
      <w:r w:rsidRPr="00C64882">
        <w:rPr>
          <w:rFonts w:ascii="Calibri" w:eastAsia="Calibri" w:hAnsi="Calibri"/>
          <w:rtl/>
        </w:rPr>
        <w:t xml:space="preserve">עסקינן בהחזקת אקדח מסוג </w:t>
      </w:r>
      <w:r w:rsidRPr="00C64882">
        <w:rPr>
          <w:rFonts w:ascii="David" w:eastAsia="Calibri" w:hAnsi="David"/>
        </w:rPr>
        <w:t>sig sauer</w:t>
      </w:r>
      <w:r w:rsidRPr="00C64882">
        <w:rPr>
          <w:rFonts w:ascii="David" w:eastAsia="Calibri" w:hAnsi="David"/>
          <w:rtl/>
        </w:rPr>
        <w:t xml:space="preserve">, </w:t>
      </w:r>
      <w:r w:rsidRPr="00C64882">
        <w:rPr>
          <w:rFonts w:ascii="Calibri" w:eastAsia="Calibri" w:hAnsi="Calibri"/>
          <w:rtl/>
        </w:rPr>
        <w:t xml:space="preserve">ומחסנית התואמת לו, מלאה בכדורים. מעשיו של הנאשם היו מתוכננים וחלקו בהם בלעדי. מטבע הדברים, החזקתו של אקדח </w:t>
      </w:r>
      <w:r w:rsidRPr="00C64882">
        <w:rPr>
          <w:rFonts w:ascii="Calibri" w:eastAsia="Calibri" w:hAnsi="Calibri"/>
          <w:u w:val="single"/>
          <w:rtl/>
        </w:rPr>
        <w:t>הטעון</w:t>
      </w:r>
      <w:r w:rsidRPr="00C64882">
        <w:rPr>
          <w:rFonts w:ascii="Calibri" w:eastAsia="Calibri" w:hAnsi="Calibri"/>
          <w:rtl/>
        </w:rPr>
        <w:t xml:space="preserve"> בתחמושת ומוכן לשימוש, מחזיק זוכה להתייחסות מחמירה, שכן פוטנציאל הנזק, העלול להיגרם כפועל יוצא משימוש בו שלא כדין לצרכים פליליים או אחרים גבוה. הנאשם </w:t>
      </w:r>
      <w:r w:rsidRPr="00C64882">
        <w:rPr>
          <w:rFonts w:ascii="David" w:eastAsia="Calibri" w:hAnsi="David"/>
          <w:rtl/>
        </w:rPr>
        <w:t>הבין את שהוא עושה, ואת הפסול במעשיו והוא יכול היה וצריך היה להימנע מעשייתם.</w:t>
      </w:r>
    </w:p>
    <w:p w14:paraId="1BC8BEDA" w14:textId="77777777" w:rsidR="00601C80" w:rsidRPr="00C64882" w:rsidRDefault="00601C80" w:rsidP="00601C80">
      <w:pPr>
        <w:spacing w:before="240" w:after="160" w:line="360" w:lineRule="auto"/>
        <w:jc w:val="both"/>
        <w:rPr>
          <w:rFonts w:ascii="David" w:eastAsia="Calibri" w:hAnsi="David"/>
          <w:rtl/>
        </w:rPr>
      </w:pPr>
      <w:r w:rsidRPr="00C64882">
        <w:rPr>
          <w:rFonts w:ascii="David" w:eastAsia="Calibri" w:hAnsi="David"/>
          <w:rtl/>
        </w:rPr>
        <w:t xml:space="preserve">לאור כל המקובץ, מצאתי לנכון – לקבוע </w:t>
      </w:r>
      <w:r w:rsidRPr="00C64882">
        <w:rPr>
          <w:rFonts w:ascii="David" w:eastAsia="Calibri" w:hAnsi="David"/>
          <w:b/>
          <w:bCs/>
          <w:rtl/>
        </w:rPr>
        <w:t>מתחם עונש הולם אשר נע בין 15 לבין 36 חודשי מאסר לריצוי בפועל</w:t>
      </w:r>
      <w:r w:rsidRPr="00C64882">
        <w:rPr>
          <w:rFonts w:ascii="David" w:eastAsia="Calibri" w:hAnsi="David"/>
          <w:rtl/>
        </w:rPr>
        <w:t xml:space="preserve">, לצד עונשים נלווים. </w:t>
      </w:r>
    </w:p>
    <w:p w14:paraId="7F4E736E" w14:textId="77777777" w:rsidR="00601C80" w:rsidRDefault="00601C80" w:rsidP="00601C80">
      <w:pPr>
        <w:overflowPunct w:val="0"/>
        <w:autoSpaceDE w:val="0"/>
        <w:autoSpaceDN w:val="0"/>
        <w:spacing w:before="240" w:line="360" w:lineRule="auto"/>
        <w:jc w:val="both"/>
        <w:rPr>
          <w:rFonts w:ascii="David" w:hAnsi="David"/>
          <w:u w:val="single"/>
          <w:rtl/>
        </w:rPr>
      </w:pPr>
    </w:p>
    <w:p w14:paraId="7FAF32AD" w14:textId="77777777" w:rsidR="00601C80" w:rsidRDefault="00601C80" w:rsidP="00601C80">
      <w:pPr>
        <w:overflowPunct w:val="0"/>
        <w:autoSpaceDE w:val="0"/>
        <w:autoSpaceDN w:val="0"/>
        <w:spacing w:before="240" w:line="360" w:lineRule="auto"/>
        <w:jc w:val="both"/>
        <w:rPr>
          <w:rFonts w:ascii="David" w:hAnsi="David"/>
          <w:u w:val="single"/>
          <w:rtl/>
        </w:rPr>
      </w:pPr>
    </w:p>
    <w:p w14:paraId="7F381074" w14:textId="77777777" w:rsidR="00601C80" w:rsidRPr="00C64882" w:rsidRDefault="00601C80" w:rsidP="00601C80">
      <w:pPr>
        <w:overflowPunct w:val="0"/>
        <w:autoSpaceDE w:val="0"/>
        <w:autoSpaceDN w:val="0"/>
        <w:spacing w:before="240" w:line="360" w:lineRule="auto"/>
        <w:jc w:val="both"/>
        <w:rPr>
          <w:rFonts w:ascii="David" w:hAnsi="David"/>
          <w:u w:val="single"/>
          <w:rtl/>
        </w:rPr>
      </w:pPr>
      <w:r w:rsidRPr="00C64882">
        <w:rPr>
          <w:rFonts w:ascii="David" w:hAnsi="David"/>
          <w:u w:val="single"/>
          <w:rtl/>
        </w:rPr>
        <w:t>נסיבות שאינן קשורות בביצוע העבירה</w:t>
      </w:r>
    </w:p>
    <w:p w14:paraId="24DC2ADA" w14:textId="77777777" w:rsidR="00601C80" w:rsidRPr="00C64882" w:rsidRDefault="00601C80" w:rsidP="00601C80">
      <w:pPr>
        <w:overflowPunct w:val="0"/>
        <w:autoSpaceDE w:val="0"/>
        <w:autoSpaceDN w:val="0"/>
        <w:spacing w:before="240" w:line="360" w:lineRule="auto"/>
        <w:jc w:val="both"/>
        <w:rPr>
          <w:rFonts w:ascii="David" w:hAnsi="David"/>
          <w:rtl/>
        </w:rPr>
      </w:pPr>
      <w:r w:rsidRPr="00C64882">
        <w:rPr>
          <w:rFonts w:ascii="David" w:hAnsi="David"/>
          <w:rtl/>
        </w:rPr>
        <w:t xml:space="preserve">לזכותו של הנאשם יש לזקוף את </w:t>
      </w:r>
      <w:r w:rsidRPr="00C64882">
        <w:rPr>
          <w:rFonts w:ascii="David" w:hAnsi="David"/>
          <w:b/>
          <w:bCs/>
          <w:rtl/>
        </w:rPr>
        <w:t>עברו הפלילי הנקי והחיסכון המשמעותי בזמן שיפוטי יקר, הנגזר מהודאתו המהירה ומנטילת האחריות שביצע</w:t>
      </w:r>
      <w:r w:rsidRPr="00C64882">
        <w:rPr>
          <w:rFonts w:ascii="David" w:hAnsi="David"/>
          <w:rtl/>
        </w:rPr>
        <w:t>. כמו כן, מטבע הדברים נשיאת עונש מאסר ממושך יפגע בנאשם ובבני משפחתו. בהקשר זה לא נעלמו נסיבות ילדותו המורכבות של הנאשם כפי שעלו הן מתסקיר שירות המבחן והן מעדויות אביו וסבו. כן, נתתי דעתי לעולה מעדויות אלו באשר למרכזיותו של הנאשם בביתו, ולעזרה אשר הוא מעניק בטיפול בסביו המבוגרים.</w:t>
      </w:r>
    </w:p>
    <w:p w14:paraId="2D64B8A6" w14:textId="77777777" w:rsidR="00601C80" w:rsidRPr="00C64882" w:rsidRDefault="00601C80" w:rsidP="00601C80">
      <w:pPr>
        <w:spacing w:before="240" w:line="360" w:lineRule="auto"/>
        <w:ind w:right="-284"/>
        <w:jc w:val="both"/>
        <w:rPr>
          <w:rFonts w:ascii="David" w:eastAsia="Calibri" w:hAnsi="David"/>
          <w:rtl/>
        </w:rPr>
      </w:pPr>
      <w:r w:rsidRPr="00C64882">
        <w:rPr>
          <w:rFonts w:ascii="David" w:eastAsia="Calibri" w:hAnsi="David"/>
          <w:rtl/>
        </w:rPr>
        <w:t>לאחר ששקלתי את כל השיקולים הדרושים לכך, מצאתי לנכון להטיל על הנאשם את העונשים הבאים:</w:t>
      </w:r>
    </w:p>
    <w:p w14:paraId="0C0C8EC7" w14:textId="77777777" w:rsidR="00601C80" w:rsidRPr="00C64882" w:rsidRDefault="00601C80" w:rsidP="00601C80">
      <w:pPr>
        <w:numPr>
          <w:ilvl w:val="0"/>
          <w:numId w:val="1"/>
        </w:numPr>
        <w:spacing w:before="240" w:after="160" w:line="360" w:lineRule="auto"/>
        <w:ind w:right="-284"/>
        <w:contextualSpacing/>
        <w:jc w:val="both"/>
        <w:rPr>
          <w:rFonts w:ascii="David" w:eastAsia="Calibri" w:hAnsi="David"/>
          <w:b/>
          <w:bCs/>
          <w:rtl/>
        </w:rPr>
      </w:pPr>
      <w:r w:rsidRPr="00C64882">
        <w:rPr>
          <w:rFonts w:ascii="David" w:eastAsia="Calibri" w:hAnsi="David"/>
          <w:b/>
          <w:bCs/>
          <w:rtl/>
        </w:rPr>
        <w:t>15 חודשי מאסר לריצוי בפועל בניכוי ימי מעצרו.</w:t>
      </w:r>
    </w:p>
    <w:p w14:paraId="58CE0CEF" w14:textId="77777777" w:rsidR="00601C80" w:rsidRPr="00C64882" w:rsidRDefault="00601C80" w:rsidP="00601C80">
      <w:pPr>
        <w:numPr>
          <w:ilvl w:val="0"/>
          <w:numId w:val="1"/>
        </w:numPr>
        <w:overflowPunct w:val="0"/>
        <w:autoSpaceDE w:val="0"/>
        <w:autoSpaceDN w:val="0"/>
        <w:spacing w:before="240" w:after="160" w:line="360" w:lineRule="auto"/>
        <w:jc w:val="both"/>
        <w:rPr>
          <w:rFonts w:ascii="David" w:hAnsi="David"/>
        </w:rPr>
      </w:pPr>
      <w:r w:rsidRPr="00C64882">
        <w:rPr>
          <w:rFonts w:ascii="David" w:hAnsi="David"/>
          <w:rtl/>
        </w:rPr>
        <w:t>10 חודשי מאסר על תנאי שלא יעבור במשך 3 שנים עבירות בנשק</w:t>
      </w:r>
      <w:r w:rsidRPr="00C64882">
        <w:rPr>
          <w:rtl/>
        </w:rPr>
        <w:t xml:space="preserve"> מסוג פשע לפי </w:t>
      </w:r>
      <w:hyperlink r:id="rId25" w:history="1">
        <w:r w:rsidR="00EA0815" w:rsidRPr="00EA0815">
          <w:rPr>
            <w:rStyle w:val="Hyperlink"/>
            <w:color w:val="0000FF"/>
            <w:rtl/>
          </w:rPr>
          <w:t>סעיף 144</w:t>
        </w:r>
      </w:hyperlink>
      <w:r w:rsidRPr="00C64882">
        <w:rPr>
          <w:rtl/>
        </w:rPr>
        <w:t xml:space="preserve"> ל</w:t>
      </w:r>
      <w:hyperlink r:id="rId26" w:history="1">
        <w:r w:rsidR="0005499E" w:rsidRPr="0005499E">
          <w:rPr>
            <w:color w:val="0000FF"/>
            <w:u w:val="single"/>
            <w:rtl/>
          </w:rPr>
          <w:t>חוק העונשין</w:t>
        </w:r>
      </w:hyperlink>
      <w:r w:rsidRPr="00C64882">
        <w:rPr>
          <w:rtl/>
        </w:rPr>
        <w:t>.</w:t>
      </w:r>
    </w:p>
    <w:p w14:paraId="73D2FFD8" w14:textId="77777777" w:rsidR="00601C80" w:rsidRPr="00C64882" w:rsidRDefault="00601C80" w:rsidP="00601C80">
      <w:pPr>
        <w:spacing w:before="240" w:line="360" w:lineRule="auto"/>
        <w:ind w:right="-284"/>
        <w:jc w:val="both"/>
        <w:rPr>
          <w:rFonts w:ascii="David" w:eastAsia="Calibri" w:hAnsi="David"/>
          <w:b/>
          <w:bCs/>
        </w:rPr>
      </w:pPr>
      <w:r w:rsidRPr="00C64882">
        <w:rPr>
          <w:rFonts w:ascii="David" w:eastAsia="Calibri" w:hAnsi="David"/>
          <w:b/>
          <w:bCs/>
          <w:rtl/>
        </w:rPr>
        <w:t>זכות ערעור כחוק</w:t>
      </w:r>
    </w:p>
    <w:p w14:paraId="00ADE534" w14:textId="77777777" w:rsidR="00601C80" w:rsidRPr="00B05847" w:rsidRDefault="00601C80" w:rsidP="00601C80">
      <w:pPr>
        <w:spacing w:line="360" w:lineRule="auto"/>
        <w:jc w:val="both"/>
        <w:rPr>
          <w:rtl/>
        </w:rPr>
      </w:pPr>
    </w:p>
    <w:p w14:paraId="2A3EA660" w14:textId="77777777" w:rsidR="00601C80" w:rsidRPr="0005499E" w:rsidRDefault="0005499E" w:rsidP="00601C80">
      <w:pPr>
        <w:spacing w:line="360" w:lineRule="auto"/>
        <w:jc w:val="both"/>
        <w:rPr>
          <w:color w:val="FFFFFF"/>
          <w:sz w:val="2"/>
          <w:szCs w:val="2"/>
          <w:rtl/>
        </w:rPr>
      </w:pPr>
      <w:r w:rsidRPr="0005499E">
        <w:rPr>
          <w:color w:val="FFFFFF"/>
          <w:sz w:val="2"/>
          <w:szCs w:val="2"/>
          <w:rtl/>
        </w:rPr>
        <w:t>5129371</w:t>
      </w:r>
    </w:p>
    <w:p w14:paraId="40818A57" w14:textId="77777777" w:rsidR="00601C80" w:rsidRDefault="0005499E" w:rsidP="00601C80">
      <w:pPr>
        <w:rPr>
          <w:rFonts w:cs="FrankRuehl"/>
          <w:sz w:val="28"/>
          <w:szCs w:val="28"/>
          <w:rtl/>
        </w:rPr>
      </w:pPr>
      <w:bookmarkStart w:id="8" w:name="Nitan"/>
      <w:r w:rsidRPr="0005499E">
        <w:rPr>
          <w:rFonts w:ascii="Arial" w:hAnsi="Arial"/>
          <w:color w:val="FFFFFF"/>
          <w:sz w:val="2"/>
          <w:szCs w:val="2"/>
          <w:rtl/>
        </w:rPr>
        <w:t>54678313</w:t>
      </w:r>
      <w:r>
        <w:rPr>
          <w:rFonts w:ascii="Arial" w:hAnsi="Arial"/>
          <w:rtl/>
        </w:rPr>
        <w:t xml:space="preserve">ניתן היום,  י"א ניסן תשפ"ה, 09 אפריל 2025, במעמד הצדדים. </w:t>
      </w:r>
      <w:bookmarkEnd w:id="8"/>
    </w:p>
    <w:p w14:paraId="44A50C4D" w14:textId="77777777" w:rsidR="00601C80" w:rsidRDefault="00601C80" w:rsidP="0005499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AD5BC4B" w14:textId="77777777" w:rsidR="0005499E" w:rsidRDefault="0005499E" w:rsidP="0005499E">
      <w:pPr>
        <w:rPr>
          <w:rtl/>
        </w:rPr>
      </w:pPr>
    </w:p>
    <w:p w14:paraId="44A54650" w14:textId="77777777" w:rsidR="0005499E" w:rsidRDefault="0005499E" w:rsidP="0005499E">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13874654" w14:textId="77777777" w:rsidR="00EA0815" w:rsidRPr="00EA0815" w:rsidRDefault="00EA0815" w:rsidP="00EA0815">
      <w:pPr>
        <w:keepNext/>
        <w:rPr>
          <w:rFonts w:ascii="David" w:hAnsi="David"/>
          <w:color w:val="000000"/>
          <w:sz w:val="22"/>
          <w:szCs w:val="22"/>
          <w:rtl/>
        </w:rPr>
      </w:pPr>
    </w:p>
    <w:p w14:paraId="47A1C122" w14:textId="77777777" w:rsidR="00EA0815" w:rsidRPr="00EA0815" w:rsidRDefault="00EA0815" w:rsidP="00EA0815">
      <w:pPr>
        <w:keepNext/>
        <w:rPr>
          <w:rFonts w:ascii="David" w:hAnsi="David"/>
          <w:color w:val="000000"/>
          <w:sz w:val="22"/>
          <w:szCs w:val="22"/>
          <w:rtl/>
        </w:rPr>
      </w:pPr>
      <w:r w:rsidRPr="00EA0815">
        <w:rPr>
          <w:rFonts w:ascii="David" w:hAnsi="David"/>
          <w:color w:val="000000"/>
          <w:sz w:val="22"/>
          <w:szCs w:val="22"/>
          <w:rtl/>
        </w:rPr>
        <w:t>אבי לוי 54678313-/</w:t>
      </w:r>
    </w:p>
    <w:p w14:paraId="237B0D2B" w14:textId="77777777" w:rsidR="0005499E" w:rsidRPr="0005499E" w:rsidRDefault="00EA0815" w:rsidP="00EA0815">
      <w:pPr>
        <w:rPr>
          <w:color w:val="0000FF"/>
          <w:u w:val="single"/>
        </w:rPr>
      </w:pPr>
      <w:r w:rsidRPr="00EA0815">
        <w:rPr>
          <w:color w:val="000000"/>
          <w:u w:val="single"/>
          <w:rtl/>
        </w:rPr>
        <w:t>נוסח מסמך זה כפוף לשינויי ניסוח ועריכה</w:t>
      </w:r>
    </w:p>
    <w:sectPr w:rsidR="0005499E" w:rsidRPr="0005499E" w:rsidSect="00EA0815">
      <w:headerReference w:type="even" r:id="rId28"/>
      <w:headerReference w:type="default" r:id="rId29"/>
      <w:footerReference w:type="even" r:id="rId30"/>
      <w:footerReference w:type="default" r:id="rId31"/>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740FF0" w14:textId="77777777" w:rsidR="00C1063A" w:rsidRDefault="00C1063A" w:rsidP="00A45361">
      <w:r>
        <w:separator/>
      </w:r>
    </w:p>
  </w:endnote>
  <w:endnote w:type="continuationSeparator" w:id="0">
    <w:p w14:paraId="26C3D798" w14:textId="77777777" w:rsidR="00C1063A" w:rsidRDefault="00C1063A" w:rsidP="00A45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5B435" w14:textId="77777777" w:rsidR="00EA0815" w:rsidRDefault="00EA0815" w:rsidP="00EA08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63F0942" w14:textId="77777777" w:rsidR="003E720F" w:rsidRPr="00EA0815" w:rsidRDefault="00EA0815" w:rsidP="00EA0815">
    <w:pPr>
      <w:pStyle w:val="a5"/>
      <w:pBdr>
        <w:top w:val="single" w:sz="4" w:space="1" w:color="auto"/>
        <w:between w:val="single" w:sz="4" w:space="0" w:color="auto"/>
      </w:pBdr>
      <w:spacing w:after="60"/>
      <w:jc w:val="center"/>
      <w:rPr>
        <w:rFonts w:ascii="FrankRuehl" w:hAnsi="FrankRuehl" w:cs="FrankRuehl"/>
        <w:color w:val="000000"/>
      </w:rPr>
    </w:pPr>
    <w:r w:rsidRPr="00EA08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65BEE" w14:textId="77777777" w:rsidR="00EA0815" w:rsidRDefault="00EA0815" w:rsidP="00EA081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00DCD">
      <w:rPr>
        <w:rFonts w:ascii="FrankRuehl" w:hAnsi="FrankRuehl" w:cs="FrankRuehl"/>
        <w:noProof/>
        <w:rtl/>
      </w:rPr>
      <w:t>1</w:t>
    </w:r>
    <w:r>
      <w:rPr>
        <w:rFonts w:ascii="FrankRuehl" w:hAnsi="FrankRuehl" w:cs="FrankRuehl"/>
        <w:rtl/>
      </w:rPr>
      <w:fldChar w:fldCharType="end"/>
    </w:r>
  </w:p>
  <w:p w14:paraId="4171B0AC" w14:textId="77777777" w:rsidR="003E720F" w:rsidRPr="00EA0815" w:rsidRDefault="00EA0815" w:rsidP="00EA0815">
    <w:pPr>
      <w:pStyle w:val="a5"/>
      <w:pBdr>
        <w:top w:val="single" w:sz="4" w:space="1" w:color="auto"/>
        <w:between w:val="single" w:sz="4" w:space="0" w:color="auto"/>
      </w:pBdr>
      <w:spacing w:after="60"/>
      <w:jc w:val="center"/>
      <w:rPr>
        <w:rFonts w:ascii="FrankRuehl" w:hAnsi="FrankRuehl" w:cs="FrankRuehl"/>
        <w:color w:val="000000"/>
      </w:rPr>
    </w:pPr>
    <w:r w:rsidRPr="00EA0815">
      <w:rPr>
        <w:rFonts w:ascii="FrankRuehl" w:hAnsi="FrankRuehl" w:cs="FrankRuehl"/>
        <w:color w:val="000000"/>
      </w:rPr>
      <w:pict w14:anchorId="58117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C7C4D" w14:textId="77777777" w:rsidR="00C1063A" w:rsidRDefault="00C1063A" w:rsidP="00A45361">
      <w:r>
        <w:separator/>
      </w:r>
    </w:p>
  </w:footnote>
  <w:footnote w:type="continuationSeparator" w:id="0">
    <w:p w14:paraId="7E91B5BC" w14:textId="77777777" w:rsidR="00C1063A" w:rsidRDefault="00C1063A" w:rsidP="00A453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67D24" w14:textId="77777777" w:rsidR="0005499E" w:rsidRPr="00EA0815" w:rsidRDefault="00EA0815" w:rsidP="00EA081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45008-08-24</w:t>
    </w:r>
    <w:r>
      <w:rPr>
        <w:rFonts w:ascii="David" w:hAnsi="David"/>
        <w:color w:val="000000"/>
        <w:sz w:val="22"/>
        <w:szCs w:val="22"/>
        <w:rtl/>
      </w:rPr>
      <w:tab/>
      <w:t xml:space="preserve"> מדינת ישראל נ' סולימאן תורכמאן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48B87" w14:textId="77777777" w:rsidR="0005499E" w:rsidRPr="00EA0815" w:rsidRDefault="00EA0815" w:rsidP="00EA081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45008-08-24</w:t>
    </w:r>
    <w:r>
      <w:rPr>
        <w:rFonts w:ascii="David" w:hAnsi="David"/>
        <w:color w:val="000000"/>
        <w:sz w:val="22"/>
        <w:szCs w:val="22"/>
        <w:rtl/>
      </w:rPr>
      <w:tab/>
      <w:t xml:space="preserve"> מדינת ישראל נ' סולימאן תורכמאן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C4F51"/>
    <w:multiLevelType w:val="hybridMultilevel"/>
    <w:tmpl w:val="0AB4E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856192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01C80"/>
    <w:rsid w:val="0005499E"/>
    <w:rsid w:val="003E720F"/>
    <w:rsid w:val="00601C80"/>
    <w:rsid w:val="00810259"/>
    <w:rsid w:val="00A23BFC"/>
    <w:rsid w:val="00A45361"/>
    <w:rsid w:val="00B00DCD"/>
    <w:rsid w:val="00B92735"/>
    <w:rsid w:val="00C1063A"/>
    <w:rsid w:val="00EA08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3B29FB"/>
  <w15:chartTrackingRefBased/>
  <w15:docId w15:val="{4A660D2D-6A10-4053-A96B-721E9E1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01C8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01C80"/>
    <w:pPr>
      <w:tabs>
        <w:tab w:val="center" w:pos="4153"/>
        <w:tab w:val="right" w:pos="8306"/>
      </w:tabs>
    </w:pPr>
  </w:style>
  <w:style w:type="character" w:customStyle="1" w:styleId="a4">
    <w:name w:val="כותרת עליונה תו"/>
    <w:link w:val="a3"/>
    <w:rsid w:val="00601C80"/>
    <w:rPr>
      <w:rFonts w:ascii="Times New Roman" w:eastAsia="Times New Roman" w:hAnsi="Times New Roman" w:cs="David"/>
      <w:sz w:val="24"/>
      <w:szCs w:val="24"/>
    </w:rPr>
  </w:style>
  <w:style w:type="paragraph" w:styleId="a5">
    <w:name w:val="footer"/>
    <w:basedOn w:val="a"/>
    <w:link w:val="a6"/>
    <w:rsid w:val="00601C80"/>
    <w:pPr>
      <w:tabs>
        <w:tab w:val="center" w:pos="4153"/>
        <w:tab w:val="right" w:pos="8306"/>
      </w:tabs>
    </w:pPr>
  </w:style>
  <w:style w:type="character" w:customStyle="1" w:styleId="a6">
    <w:name w:val="כותרת תחתונה תו"/>
    <w:link w:val="a5"/>
    <w:rsid w:val="00601C80"/>
    <w:rPr>
      <w:rFonts w:ascii="Times New Roman" w:eastAsia="Times New Roman" w:hAnsi="Times New Roman" w:cs="David"/>
      <w:sz w:val="24"/>
      <w:szCs w:val="24"/>
    </w:rPr>
  </w:style>
  <w:style w:type="table" w:styleId="a7">
    <w:name w:val="Table Grid"/>
    <w:basedOn w:val="a1"/>
    <w:rsid w:val="00601C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01C80"/>
  </w:style>
  <w:style w:type="character" w:styleId="Hyperlink">
    <w:name w:val="Hyperlink"/>
    <w:rsid w:val="0005499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1771409" TargetMode="External"/><Relationship Id="rId26"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yperlink" Target="http://www.nevo.co.il/case/20531134"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144.g" TargetMode="External"/><Relationship Id="rId25" Type="http://schemas.openxmlformats.org/officeDocument/2006/relationships/hyperlink" Target="http://www.nevo.co.il/law/70301/14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case/28400048"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2589068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5824863" TargetMode="External"/><Relationship Id="rId23" Type="http://schemas.openxmlformats.org/officeDocument/2006/relationships/hyperlink" Target="http://www.nevo.co.il/case/28513828" TargetMode="External"/><Relationship Id="rId28" Type="http://schemas.openxmlformats.org/officeDocument/2006/relationships/header" Target="header1.xml"/><Relationship Id="rId10" Type="http://schemas.openxmlformats.org/officeDocument/2006/relationships/hyperlink" Target="http://www.nevo.co.il/law/70301/144.g" TargetMode="External"/><Relationship Id="rId19" Type="http://schemas.openxmlformats.org/officeDocument/2006/relationships/hyperlink" Target="http://www.nevo.co.il/case/2269020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8384637" TargetMode="External"/><Relationship Id="rId22" Type="http://schemas.openxmlformats.org/officeDocument/2006/relationships/hyperlink" Target="http://www.nevo.co.il/case/27502726"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1947</Words>
  <Characters>9737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11661</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6357092</vt:i4>
      </vt:variant>
      <vt:variant>
        <vt:i4>54</vt:i4>
      </vt:variant>
      <vt:variant>
        <vt:i4>0</vt:i4>
      </vt:variant>
      <vt:variant>
        <vt:i4>5</vt:i4>
      </vt:variant>
      <vt:variant>
        <vt:lpwstr>http://www.nevo.co.il/law/70301/144</vt:lpwstr>
      </vt:variant>
      <vt:variant>
        <vt:lpwstr/>
      </vt:variant>
      <vt:variant>
        <vt:i4>3276926</vt:i4>
      </vt:variant>
      <vt:variant>
        <vt:i4>51</vt:i4>
      </vt:variant>
      <vt:variant>
        <vt:i4>0</vt:i4>
      </vt:variant>
      <vt:variant>
        <vt:i4>5</vt:i4>
      </vt:variant>
      <vt:variant>
        <vt:lpwstr>http://www.nevo.co.il/case/25890687</vt:lpwstr>
      </vt:variant>
      <vt:variant>
        <vt:lpwstr/>
      </vt:variant>
      <vt:variant>
        <vt:i4>3539061</vt:i4>
      </vt:variant>
      <vt:variant>
        <vt:i4>48</vt:i4>
      </vt:variant>
      <vt:variant>
        <vt:i4>0</vt:i4>
      </vt:variant>
      <vt:variant>
        <vt:i4>5</vt:i4>
      </vt:variant>
      <vt:variant>
        <vt:lpwstr>http://www.nevo.co.il/case/28513828</vt:lpwstr>
      </vt:variant>
      <vt:variant>
        <vt:lpwstr/>
      </vt:variant>
      <vt:variant>
        <vt:i4>3604596</vt:i4>
      </vt:variant>
      <vt:variant>
        <vt:i4>45</vt:i4>
      </vt:variant>
      <vt:variant>
        <vt:i4>0</vt:i4>
      </vt:variant>
      <vt:variant>
        <vt:i4>5</vt:i4>
      </vt:variant>
      <vt:variant>
        <vt:lpwstr>http://www.nevo.co.il/case/27502726</vt:lpwstr>
      </vt:variant>
      <vt:variant>
        <vt:lpwstr/>
      </vt:variant>
      <vt:variant>
        <vt:i4>3473526</vt:i4>
      </vt:variant>
      <vt:variant>
        <vt:i4>42</vt:i4>
      </vt:variant>
      <vt:variant>
        <vt:i4>0</vt:i4>
      </vt:variant>
      <vt:variant>
        <vt:i4>5</vt:i4>
      </vt:variant>
      <vt:variant>
        <vt:lpwstr>http://www.nevo.co.il/case/20531134</vt:lpwstr>
      </vt:variant>
      <vt:variant>
        <vt:lpwstr/>
      </vt:variant>
      <vt:variant>
        <vt:i4>3276924</vt:i4>
      </vt:variant>
      <vt:variant>
        <vt:i4>39</vt:i4>
      </vt:variant>
      <vt:variant>
        <vt:i4>0</vt:i4>
      </vt:variant>
      <vt:variant>
        <vt:i4>5</vt:i4>
      </vt:variant>
      <vt:variant>
        <vt:lpwstr>http://www.nevo.co.il/case/28400048</vt:lpwstr>
      </vt:variant>
      <vt:variant>
        <vt:lpwstr/>
      </vt:variant>
      <vt:variant>
        <vt:i4>3407997</vt:i4>
      </vt:variant>
      <vt:variant>
        <vt:i4>36</vt:i4>
      </vt:variant>
      <vt:variant>
        <vt:i4>0</vt:i4>
      </vt:variant>
      <vt:variant>
        <vt:i4>5</vt:i4>
      </vt:variant>
      <vt:variant>
        <vt:lpwstr>http://www.nevo.co.il/case/22690203</vt:lpwstr>
      </vt:variant>
      <vt:variant>
        <vt:lpwstr/>
      </vt:variant>
      <vt:variant>
        <vt:i4>3407990</vt:i4>
      </vt:variant>
      <vt:variant>
        <vt:i4>33</vt:i4>
      </vt:variant>
      <vt:variant>
        <vt:i4>0</vt:i4>
      </vt:variant>
      <vt:variant>
        <vt:i4>5</vt:i4>
      </vt:variant>
      <vt:variant>
        <vt:lpwstr>http://www.nevo.co.il/case/21771409</vt:lpwstr>
      </vt:variant>
      <vt:variant>
        <vt:lpwstr/>
      </vt:variant>
      <vt:variant>
        <vt:i4>5177424</vt:i4>
      </vt:variant>
      <vt:variant>
        <vt:i4>30</vt:i4>
      </vt:variant>
      <vt:variant>
        <vt:i4>0</vt:i4>
      </vt:variant>
      <vt:variant>
        <vt:i4>5</vt:i4>
      </vt:variant>
      <vt:variant>
        <vt:lpwstr>http://www.nevo.co.il/law/70301/144.g</vt:lpwstr>
      </vt:variant>
      <vt:variant>
        <vt:lpwstr/>
      </vt:variant>
      <vt:variant>
        <vt:i4>7995492</vt:i4>
      </vt:variant>
      <vt:variant>
        <vt:i4>27</vt:i4>
      </vt:variant>
      <vt:variant>
        <vt:i4>0</vt:i4>
      </vt:variant>
      <vt:variant>
        <vt:i4>5</vt:i4>
      </vt:variant>
      <vt:variant>
        <vt:lpwstr>http://www.nevo.co.il/law/70301</vt:lpwstr>
      </vt:variant>
      <vt:variant>
        <vt:lpwstr/>
      </vt:variant>
      <vt:variant>
        <vt:i4>3670139</vt:i4>
      </vt:variant>
      <vt:variant>
        <vt:i4>24</vt:i4>
      </vt:variant>
      <vt:variant>
        <vt:i4>0</vt:i4>
      </vt:variant>
      <vt:variant>
        <vt:i4>5</vt:i4>
      </vt:variant>
      <vt:variant>
        <vt:lpwstr>http://www.nevo.co.il/case/25824863</vt:lpwstr>
      </vt:variant>
      <vt:variant>
        <vt:lpwstr/>
      </vt:variant>
      <vt:variant>
        <vt:i4>3539058</vt:i4>
      </vt:variant>
      <vt:variant>
        <vt:i4>21</vt:i4>
      </vt:variant>
      <vt:variant>
        <vt:i4>0</vt:i4>
      </vt:variant>
      <vt:variant>
        <vt:i4>5</vt:i4>
      </vt:variant>
      <vt:variant>
        <vt:lpwstr>http://www.nevo.co.il/case/28384637</vt:lpwstr>
      </vt:variant>
      <vt:variant>
        <vt:lpwstr/>
      </vt:variant>
      <vt:variant>
        <vt:i4>7995492</vt:i4>
      </vt:variant>
      <vt:variant>
        <vt:i4>18</vt:i4>
      </vt:variant>
      <vt:variant>
        <vt:i4>0</vt:i4>
      </vt:variant>
      <vt:variant>
        <vt:i4>5</vt:i4>
      </vt:variant>
      <vt:variant>
        <vt:lpwstr>http://www.nevo.co.il/law/70301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2025-04-25T11:03:00Z</dcterms:created>
  <dcterms:modified xsi:type="dcterms:W3CDTF">2025-04-25T11:03:00Z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45008</vt:lpwstr>
  </property>
  <property fmtid="{D5CDD505-2E9C-101B-9397-08002B2CF9AE}" pid="6" name="NEWPARTB">
    <vt:lpwstr>08</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סולימאן תורכמאן</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20250409</vt:lpwstr>
  </property>
  <property fmtid="{D5CDD505-2E9C-101B-9397-08002B2CF9AE}" pid="13" name="TYPE_N_DATE">
    <vt:lpwstr>39020250409</vt:lpwstr>
  </property>
  <property fmtid="{D5CDD505-2E9C-101B-9397-08002B2CF9AE}" pid="14" name="CASESLISTTMP1">
    <vt:lpwstr>28384637;25824863;21771409;22690203;28400048;20531134;27502726;28513828;25890687</vt:lpwstr>
  </property>
  <property fmtid="{D5CDD505-2E9C-101B-9397-08002B2CF9AE}" pid="15" name="WORDNUMPAGES">
    <vt:lpwstr>6</vt:lpwstr>
  </property>
  <property fmtid="{D5CDD505-2E9C-101B-9397-08002B2CF9AE}" pid="16" name="TYPE_ABS_DATE">
    <vt:lpwstr>390020250409</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70301/144.a;144.g;144</vt:lpwstr>
  </property>
  <property fmtid="{D5CDD505-2E9C-101B-9397-08002B2CF9AE}" pid="36" name="ISABSTRACT">
    <vt:lpwstr>Y</vt:lpwstr>
  </property>
</Properties>
</file>