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3378D" w:rsidRPr="00121947" w14:paraId="3D1ABE92" w14:textId="77777777" w:rsidTr="000C32A8">
        <w:trPr>
          <w:trHeight w:hRule="exact" w:val="418"/>
          <w:jc w:val="center"/>
        </w:trPr>
        <w:tc>
          <w:tcPr>
            <w:tcW w:w="8861" w:type="dxa"/>
            <w:gridSpan w:val="2"/>
          </w:tcPr>
          <w:p w14:paraId="7471641E" w14:textId="77777777" w:rsidR="00D3378D" w:rsidRPr="00121947" w:rsidRDefault="00D3378D" w:rsidP="000C32A8">
            <w:pPr>
              <w:pStyle w:val="a3"/>
              <w:jc w:val="center"/>
              <w:rPr>
                <w:rFonts w:ascii="Tahoma" w:hAnsi="Tahoma"/>
                <w:color w:val="000080"/>
                <w:sz w:val="32"/>
                <w:szCs w:val="32"/>
                <w:rtl/>
              </w:rPr>
            </w:pPr>
            <w:bookmarkStart w:id="0" w:name="LastJudge"/>
            <w:r w:rsidRPr="00121947">
              <w:rPr>
                <w:rFonts w:ascii="Tahoma" w:hAnsi="Tahoma"/>
                <w:b/>
                <w:bCs/>
                <w:color w:val="000080"/>
                <w:sz w:val="32"/>
                <w:szCs w:val="32"/>
                <w:rtl/>
              </w:rPr>
              <w:t>בית המשפט המחוזי בתל אביב -יפו</w:t>
            </w:r>
          </w:p>
        </w:tc>
      </w:tr>
      <w:tr w:rsidR="00D3378D" w:rsidRPr="00121947" w14:paraId="198FEA06" w14:textId="77777777" w:rsidTr="000C32A8">
        <w:trPr>
          <w:trHeight w:val="337"/>
          <w:jc w:val="center"/>
        </w:trPr>
        <w:tc>
          <w:tcPr>
            <w:tcW w:w="5131" w:type="dxa"/>
          </w:tcPr>
          <w:p w14:paraId="460DC1A1" w14:textId="77777777" w:rsidR="00D3378D" w:rsidRPr="00121947" w:rsidRDefault="00D3378D" w:rsidP="000C32A8">
            <w:pPr>
              <w:rPr>
                <w:rFonts w:ascii="David" w:hAnsi="David"/>
                <w:b/>
                <w:bCs/>
                <w:rtl/>
              </w:rPr>
            </w:pPr>
            <w:r w:rsidRPr="00121947">
              <w:rPr>
                <w:rFonts w:ascii="David" w:hAnsi="David"/>
                <w:b/>
                <w:bCs/>
                <w:rtl/>
              </w:rPr>
              <w:t>ת"פ 45138-08-24 מדינת ישראל נ' עמאש</w:t>
            </w:r>
          </w:p>
          <w:p w14:paraId="18CA081F" w14:textId="77777777" w:rsidR="00D3378D" w:rsidRPr="00121947" w:rsidRDefault="00D3378D" w:rsidP="000C32A8">
            <w:pPr>
              <w:pStyle w:val="a3"/>
              <w:rPr>
                <w:rFonts w:ascii="David" w:hAnsi="David"/>
                <w:b/>
                <w:bCs/>
                <w:rtl/>
              </w:rPr>
            </w:pPr>
          </w:p>
        </w:tc>
        <w:tc>
          <w:tcPr>
            <w:tcW w:w="3730" w:type="dxa"/>
          </w:tcPr>
          <w:p w14:paraId="19A63D71" w14:textId="77777777" w:rsidR="00D3378D" w:rsidRPr="00121947" w:rsidRDefault="00D3378D" w:rsidP="000C32A8">
            <w:pPr>
              <w:pStyle w:val="a3"/>
              <w:jc w:val="right"/>
              <w:rPr>
                <w:rFonts w:ascii="David" w:hAnsi="David"/>
                <w:b/>
                <w:bCs/>
                <w:rtl/>
              </w:rPr>
            </w:pPr>
            <w:r w:rsidRPr="00121947">
              <w:rPr>
                <w:rFonts w:ascii="David" w:hAnsi="David"/>
                <w:b/>
                <w:bCs/>
                <w:rtl/>
              </w:rPr>
              <w:t>2 מרץ 2025</w:t>
            </w:r>
          </w:p>
        </w:tc>
      </w:tr>
    </w:tbl>
    <w:p w14:paraId="4111B714" w14:textId="77777777" w:rsidR="00D3378D" w:rsidRPr="00121947" w:rsidRDefault="00D3378D" w:rsidP="00D3378D">
      <w:pPr>
        <w:pStyle w:val="a3"/>
        <w:rPr>
          <w:rtl/>
        </w:rPr>
      </w:pPr>
      <w:r w:rsidRPr="00121947">
        <w:rPr>
          <w:rFonts w:hint="cs"/>
          <w:rtl/>
        </w:rPr>
        <w:t xml:space="preserve"> </w:t>
      </w:r>
    </w:p>
    <w:tbl>
      <w:tblPr>
        <w:bidiVisual/>
        <w:tblW w:w="9086" w:type="dxa"/>
        <w:tblInd w:w="409" w:type="dxa"/>
        <w:tblLook w:val="01E0" w:firstRow="1" w:lastRow="1" w:firstColumn="1" w:lastColumn="1" w:noHBand="0" w:noVBand="0"/>
      </w:tblPr>
      <w:tblGrid>
        <w:gridCol w:w="2443"/>
        <w:gridCol w:w="6643"/>
      </w:tblGrid>
      <w:tr w:rsidR="00D3378D" w:rsidRPr="00121947" w14:paraId="7F962FC2" w14:textId="77777777" w:rsidTr="000E2A37">
        <w:tc>
          <w:tcPr>
            <w:tcW w:w="9086" w:type="dxa"/>
            <w:gridSpan w:val="2"/>
            <w:shd w:val="clear" w:color="auto" w:fill="auto"/>
          </w:tcPr>
          <w:p w14:paraId="5FA95E5E" w14:textId="77777777" w:rsidR="00D3378D" w:rsidRPr="00121947" w:rsidRDefault="00D3378D" w:rsidP="00D3378D">
            <w:pPr>
              <w:spacing w:line="360" w:lineRule="auto"/>
              <w:jc w:val="both"/>
              <w:rPr>
                <w:b/>
                <w:bCs/>
                <w:sz w:val="26"/>
                <w:szCs w:val="26"/>
                <w:rtl/>
              </w:rPr>
            </w:pPr>
            <w:r w:rsidRPr="00121947">
              <w:rPr>
                <w:rFonts w:hint="cs"/>
                <w:b/>
                <w:bCs/>
                <w:sz w:val="26"/>
                <w:szCs w:val="26"/>
                <w:rtl/>
              </w:rPr>
              <w:t>לפני כבוד השופט שמואל מלמד</w:t>
            </w:r>
            <w:r w:rsidRPr="00121947">
              <w:rPr>
                <w:rStyle w:val="TimesNewRomanTimesNewRoman"/>
                <w:rtl/>
              </w:rPr>
              <w:t xml:space="preserve"> </w:t>
            </w:r>
          </w:p>
        </w:tc>
      </w:tr>
      <w:tr w:rsidR="00D3378D" w:rsidRPr="00121947" w14:paraId="01AC5B6A" w14:textId="77777777" w:rsidTr="000E2A37">
        <w:trPr>
          <w:cantSplit/>
          <w:trHeight w:val="724"/>
        </w:trPr>
        <w:tc>
          <w:tcPr>
            <w:tcW w:w="2443" w:type="dxa"/>
            <w:shd w:val="clear" w:color="auto" w:fill="auto"/>
          </w:tcPr>
          <w:p w14:paraId="3FB33018" w14:textId="77777777" w:rsidR="00D3378D" w:rsidRPr="00121947" w:rsidRDefault="00D3378D" w:rsidP="00D3378D">
            <w:pPr>
              <w:ind w:left="26"/>
              <w:jc w:val="right"/>
              <w:rPr>
                <w:b/>
                <w:bCs/>
                <w:sz w:val="26"/>
                <w:szCs w:val="26"/>
                <w:rtl/>
              </w:rPr>
            </w:pPr>
            <w:bookmarkStart w:id="1" w:name="FirstAppellant"/>
            <w:bookmarkStart w:id="2" w:name="FirstLawyer"/>
          </w:p>
          <w:p w14:paraId="5848E40E" w14:textId="77777777" w:rsidR="00D3378D" w:rsidRPr="00121947" w:rsidRDefault="00D3378D" w:rsidP="00D3378D">
            <w:pPr>
              <w:ind w:left="26"/>
              <w:rPr>
                <w:b/>
                <w:bCs/>
                <w:sz w:val="26"/>
                <w:szCs w:val="26"/>
                <w:rtl/>
              </w:rPr>
            </w:pPr>
            <w:r w:rsidRPr="00121947">
              <w:rPr>
                <w:rFonts w:hint="cs"/>
                <w:b/>
                <w:bCs/>
                <w:sz w:val="26"/>
                <w:szCs w:val="26"/>
                <w:rtl/>
              </w:rPr>
              <w:t>המאשימה</w:t>
            </w:r>
          </w:p>
        </w:tc>
        <w:tc>
          <w:tcPr>
            <w:tcW w:w="6643" w:type="dxa"/>
            <w:shd w:val="clear" w:color="auto" w:fill="auto"/>
          </w:tcPr>
          <w:p w14:paraId="7F61D708" w14:textId="77777777" w:rsidR="00D3378D" w:rsidRPr="00121947" w:rsidRDefault="00D3378D" w:rsidP="00D3378D">
            <w:pPr>
              <w:jc w:val="right"/>
              <w:rPr>
                <w:sz w:val="26"/>
                <w:szCs w:val="26"/>
                <w:rtl/>
              </w:rPr>
            </w:pPr>
          </w:p>
          <w:p w14:paraId="678347F6" w14:textId="77777777" w:rsidR="00D3378D" w:rsidRPr="00121947" w:rsidRDefault="00D3378D" w:rsidP="00D3378D">
            <w:pPr>
              <w:spacing w:line="360" w:lineRule="auto"/>
              <w:rPr>
                <w:b/>
                <w:bCs/>
                <w:sz w:val="26"/>
                <w:szCs w:val="26"/>
                <w:rtl/>
              </w:rPr>
            </w:pPr>
            <w:r w:rsidRPr="00121947">
              <w:rPr>
                <w:rFonts w:hint="cs"/>
                <w:sz w:val="26"/>
                <w:szCs w:val="26"/>
                <w:rtl/>
              </w:rPr>
              <w:t xml:space="preserve"> </w:t>
            </w:r>
            <w:r w:rsidRPr="00121947">
              <w:rPr>
                <w:rFonts w:hint="cs"/>
                <w:b/>
                <w:bCs/>
                <w:sz w:val="26"/>
                <w:szCs w:val="26"/>
                <w:rtl/>
              </w:rPr>
              <w:t>מדינת ישראל</w:t>
            </w:r>
          </w:p>
          <w:p w14:paraId="326CA486" w14:textId="77777777" w:rsidR="00D3378D" w:rsidRPr="00121947" w:rsidRDefault="00D3378D" w:rsidP="00D3378D">
            <w:pPr>
              <w:spacing w:line="360" w:lineRule="auto"/>
              <w:rPr>
                <w:sz w:val="26"/>
                <w:szCs w:val="26"/>
                <w:rtl/>
              </w:rPr>
            </w:pPr>
            <w:r w:rsidRPr="00121947">
              <w:rPr>
                <w:rFonts w:hint="cs"/>
                <w:sz w:val="26"/>
                <w:szCs w:val="26"/>
                <w:rtl/>
              </w:rPr>
              <w:t>על-ידי ב"כ עו"ד רביד שיפמן ועו"ד לילך כץ</w:t>
            </w:r>
          </w:p>
          <w:p w14:paraId="0CF081B3" w14:textId="77777777" w:rsidR="00D3378D" w:rsidRPr="00121947" w:rsidRDefault="00D3378D" w:rsidP="00D3378D">
            <w:pPr>
              <w:jc w:val="right"/>
              <w:rPr>
                <w:b/>
                <w:bCs/>
                <w:sz w:val="26"/>
                <w:szCs w:val="26"/>
                <w:rtl/>
              </w:rPr>
            </w:pPr>
          </w:p>
        </w:tc>
      </w:tr>
      <w:bookmarkEnd w:id="1"/>
      <w:bookmarkEnd w:id="2"/>
      <w:tr w:rsidR="00D3378D" w:rsidRPr="00121947" w14:paraId="5A520E75" w14:textId="77777777" w:rsidTr="000E2A37">
        <w:tc>
          <w:tcPr>
            <w:tcW w:w="9086" w:type="dxa"/>
            <w:gridSpan w:val="2"/>
            <w:shd w:val="clear" w:color="auto" w:fill="auto"/>
            <w:vAlign w:val="center"/>
          </w:tcPr>
          <w:p w14:paraId="4C3BAB80" w14:textId="77777777" w:rsidR="00D3378D" w:rsidRPr="00121947" w:rsidRDefault="00D3378D" w:rsidP="00D3378D">
            <w:pPr>
              <w:jc w:val="center"/>
              <w:rPr>
                <w:rFonts w:ascii="Arial" w:hAnsi="Arial"/>
                <w:b/>
                <w:bCs/>
                <w:sz w:val="26"/>
                <w:szCs w:val="26"/>
                <w:rtl/>
              </w:rPr>
            </w:pPr>
          </w:p>
          <w:p w14:paraId="282F3DF9" w14:textId="77777777" w:rsidR="00D3378D" w:rsidRPr="00121947" w:rsidRDefault="00D3378D" w:rsidP="00D3378D">
            <w:pPr>
              <w:jc w:val="center"/>
              <w:rPr>
                <w:rFonts w:ascii="Arial" w:hAnsi="Arial"/>
                <w:b/>
                <w:bCs/>
                <w:sz w:val="26"/>
                <w:szCs w:val="26"/>
                <w:rtl/>
              </w:rPr>
            </w:pPr>
            <w:r w:rsidRPr="00121947">
              <w:rPr>
                <w:rFonts w:ascii="Arial" w:hAnsi="Arial" w:hint="cs"/>
                <w:b/>
                <w:bCs/>
                <w:sz w:val="26"/>
                <w:szCs w:val="26"/>
                <w:rtl/>
              </w:rPr>
              <w:t>נגד</w:t>
            </w:r>
          </w:p>
          <w:p w14:paraId="3769363A" w14:textId="77777777" w:rsidR="00D3378D" w:rsidRPr="00121947" w:rsidRDefault="00D3378D" w:rsidP="00D3378D">
            <w:pPr>
              <w:jc w:val="right"/>
              <w:rPr>
                <w:rFonts w:ascii="Arial" w:hAnsi="Arial"/>
                <w:b/>
                <w:bCs/>
                <w:sz w:val="26"/>
                <w:szCs w:val="26"/>
                <w:rtl/>
              </w:rPr>
            </w:pPr>
          </w:p>
        </w:tc>
      </w:tr>
      <w:tr w:rsidR="00D3378D" w:rsidRPr="00121947" w14:paraId="73D58E9B" w14:textId="77777777" w:rsidTr="000E2A37">
        <w:tc>
          <w:tcPr>
            <w:tcW w:w="2443" w:type="dxa"/>
            <w:shd w:val="clear" w:color="auto" w:fill="auto"/>
          </w:tcPr>
          <w:p w14:paraId="190191F9" w14:textId="77777777" w:rsidR="00D3378D" w:rsidRPr="00121947" w:rsidRDefault="00D3378D" w:rsidP="00D3378D">
            <w:pPr>
              <w:ind w:left="26"/>
              <w:rPr>
                <w:b/>
                <w:bCs/>
                <w:sz w:val="26"/>
                <w:szCs w:val="26"/>
                <w:rtl/>
              </w:rPr>
            </w:pPr>
            <w:r w:rsidRPr="00121947">
              <w:rPr>
                <w:rFonts w:hint="cs"/>
                <w:b/>
                <w:bCs/>
                <w:sz w:val="26"/>
                <w:szCs w:val="26"/>
                <w:rtl/>
              </w:rPr>
              <w:t>הנאשם</w:t>
            </w:r>
          </w:p>
        </w:tc>
        <w:tc>
          <w:tcPr>
            <w:tcW w:w="6643" w:type="dxa"/>
            <w:shd w:val="clear" w:color="auto" w:fill="auto"/>
          </w:tcPr>
          <w:p w14:paraId="6C49AD69" w14:textId="77777777" w:rsidR="00D3378D" w:rsidRPr="00121947" w:rsidRDefault="00D3378D" w:rsidP="00D3378D">
            <w:pPr>
              <w:spacing w:line="360" w:lineRule="auto"/>
              <w:rPr>
                <w:b/>
                <w:bCs/>
                <w:sz w:val="26"/>
                <w:szCs w:val="26"/>
                <w:rtl/>
              </w:rPr>
            </w:pPr>
            <w:r w:rsidRPr="00121947">
              <w:rPr>
                <w:rFonts w:hint="cs"/>
                <w:sz w:val="26"/>
                <w:szCs w:val="26"/>
                <w:rtl/>
              </w:rPr>
              <w:t xml:space="preserve"> </w:t>
            </w:r>
            <w:r w:rsidRPr="00121947">
              <w:rPr>
                <w:rFonts w:hint="cs"/>
                <w:b/>
                <w:bCs/>
                <w:sz w:val="26"/>
                <w:szCs w:val="26"/>
                <w:rtl/>
              </w:rPr>
              <w:t>סובחי עמאש (עציר)</w:t>
            </w:r>
            <w:r w:rsidRPr="00121947">
              <w:rPr>
                <w:rFonts w:hint="cs"/>
                <w:sz w:val="26"/>
                <w:szCs w:val="26"/>
                <w:rtl/>
              </w:rPr>
              <w:t xml:space="preserve"> </w:t>
            </w:r>
            <w:r w:rsidRPr="00121947">
              <w:rPr>
                <w:rFonts w:hint="cs"/>
                <w:b/>
                <w:bCs/>
                <w:sz w:val="26"/>
                <w:szCs w:val="26"/>
                <w:rtl/>
              </w:rPr>
              <w:t xml:space="preserve">ת"ז  </w:t>
            </w:r>
            <w:r w:rsidR="00121947">
              <w:rPr>
                <w:b/>
                <w:bCs/>
                <w:sz w:val="26"/>
                <w:szCs w:val="26"/>
              </w:rPr>
              <w:t>xxxxxxxxxx</w:t>
            </w:r>
          </w:p>
          <w:p w14:paraId="618E7893" w14:textId="77777777" w:rsidR="00D3378D" w:rsidRPr="00121947" w:rsidRDefault="00D3378D" w:rsidP="00D3378D">
            <w:pPr>
              <w:spacing w:line="360" w:lineRule="auto"/>
              <w:rPr>
                <w:sz w:val="26"/>
                <w:szCs w:val="26"/>
                <w:rtl/>
              </w:rPr>
            </w:pPr>
            <w:r w:rsidRPr="00121947">
              <w:rPr>
                <w:rFonts w:hint="cs"/>
                <w:sz w:val="26"/>
                <w:szCs w:val="26"/>
                <w:rtl/>
              </w:rPr>
              <w:t>על-ידי ב"כ עו"ד ענבר פלש שם טוב</w:t>
            </w:r>
          </w:p>
          <w:p w14:paraId="31B47ABE" w14:textId="77777777" w:rsidR="00D3378D" w:rsidRPr="00121947" w:rsidRDefault="00D3378D" w:rsidP="00D3378D">
            <w:pPr>
              <w:jc w:val="right"/>
              <w:rPr>
                <w:b/>
                <w:bCs/>
                <w:sz w:val="26"/>
                <w:szCs w:val="26"/>
                <w:rtl/>
              </w:rPr>
            </w:pPr>
          </w:p>
        </w:tc>
      </w:tr>
    </w:tbl>
    <w:p w14:paraId="62CCCA5D" w14:textId="77777777" w:rsidR="00D3378D" w:rsidRPr="00121947" w:rsidRDefault="00D3378D" w:rsidP="00D3378D">
      <w:pPr>
        <w:rPr>
          <w:rtl/>
        </w:rPr>
      </w:pPr>
    </w:p>
    <w:p w14:paraId="657C4DF0" w14:textId="77777777" w:rsidR="00D3378D" w:rsidRPr="00121947" w:rsidRDefault="00D3378D" w:rsidP="00D3378D">
      <w:pPr>
        <w:rPr>
          <w:rtl/>
        </w:rPr>
      </w:pPr>
    </w:p>
    <w:p w14:paraId="6CC6EF90" w14:textId="77777777" w:rsidR="00121947" w:rsidRPr="00121947" w:rsidRDefault="00121947" w:rsidP="00121947">
      <w:pPr>
        <w:spacing w:before="120" w:after="120" w:line="240" w:lineRule="exact"/>
        <w:ind w:left="283" w:hanging="283"/>
        <w:jc w:val="both"/>
        <w:rPr>
          <w:rFonts w:ascii="FrankRuehl" w:hAnsi="FrankRuehl" w:cs="FrankRuehl"/>
          <w:rtl/>
        </w:rPr>
      </w:pPr>
    </w:p>
    <w:p w14:paraId="26E15F6D" w14:textId="77777777" w:rsidR="00121947" w:rsidRPr="00121947" w:rsidRDefault="00121947" w:rsidP="00121947">
      <w:pPr>
        <w:jc w:val="center"/>
        <w:rPr>
          <w:sz w:val="30"/>
          <w:szCs w:val="30"/>
          <w:rtl/>
        </w:rPr>
      </w:pPr>
    </w:p>
    <w:p w14:paraId="2F1692AB" w14:textId="77777777" w:rsidR="000E2A37" w:rsidRPr="000E2A37" w:rsidRDefault="000E2A37" w:rsidP="000E2A37">
      <w:pPr>
        <w:spacing w:before="120" w:after="120" w:line="240" w:lineRule="exact"/>
        <w:ind w:left="283" w:hanging="283"/>
        <w:jc w:val="both"/>
        <w:rPr>
          <w:rFonts w:ascii="FrankRuehl" w:hAnsi="FrankRuehl" w:cs="FrankRuehl"/>
          <w:rtl/>
        </w:rPr>
      </w:pPr>
      <w:bookmarkStart w:id="3" w:name="LawTable"/>
      <w:bookmarkEnd w:id="3"/>
    </w:p>
    <w:p w14:paraId="10057B32" w14:textId="77777777" w:rsidR="000E2A37" w:rsidRPr="000E2A37" w:rsidRDefault="000E2A37" w:rsidP="000E2A37">
      <w:pPr>
        <w:spacing w:before="120" w:after="120" w:line="240" w:lineRule="exact"/>
        <w:ind w:left="283" w:hanging="283"/>
        <w:jc w:val="both"/>
        <w:rPr>
          <w:rFonts w:ascii="FrankRuehl" w:hAnsi="FrankRuehl" w:cs="FrankRuehl"/>
          <w:rtl/>
        </w:rPr>
      </w:pPr>
      <w:r w:rsidRPr="000E2A37">
        <w:rPr>
          <w:rFonts w:ascii="FrankRuehl" w:hAnsi="FrankRuehl" w:cs="FrankRuehl"/>
          <w:rtl/>
        </w:rPr>
        <w:t xml:space="preserve">חקיקה שאוזכרה: </w:t>
      </w:r>
    </w:p>
    <w:p w14:paraId="3D53F52C" w14:textId="77777777" w:rsidR="000E2A37" w:rsidRPr="000E2A37" w:rsidRDefault="000E2A37" w:rsidP="000E2A37">
      <w:pPr>
        <w:spacing w:before="120" w:after="120" w:line="240" w:lineRule="exact"/>
        <w:ind w:left="283" w:hanging="283"/>
        <w:jc w:val="both"/>
        <w:rPr>
          <w:rFonts w:ascii="FrankRuehl" w:hAnsi="FrankRuehl" w:cs="FrankRuehl"/>
          <w:color w:val="0000FF"/>
          <w:rtl/>
        </w:rPr>
      </w:pPr>
      <w:hyperlink r:id="rId7" w:history="1">
        <w:r w:rsidRPr="000E2A37">
          <w:rPr>
            <w:rStyle w:val="Hyperlink"/>
            <w:rFonts w:ascii="FrankRuehl" w:hAnsi="FrankRuehl" w:cs="FrankRuehl"/>
            <w:u w:val="none"/>
            <w:rtl/>
          </w:rPr>
          <w:t>חוק העונשין, תשל"ז-1977</w:t>
        </w:r>
      </w:hyperlink>
      <w:r w:rsidRPr="000E2A37">
        <w:rPr>
          <w:rFonts w:ascii="FrankRuehl" w:hAnsi="FrankRuehl" w:cs="FrankRuehl"/>
          <w:color w:val="0000FF"/>
          <w:rtl/>
        </w:rPr>
        <w:t xml:space="preserve">: סע'  </w:t>
      </w:r>
      <w:hyperlink r:id="rId8" w:history="1">
        <w:r w:rsidRPr="000E2A37">
          <w:rPr>
            <w:rStyle w:val="Hyperlink"/>
            <w:rFonts w:ascii="FrankRuehl" w:hAnsi="FrankRuehl" w:cs="FrankRuehl"/>
            <w:u w:val="none"/>
          </w:rPr>
          <w:t xml:space="preserve">40 </w:t>
        </w:r>
        <w:r w:rsidRPr="000E2A37">
          <w:rPr>
            <w:rStyle w:val="Hyperlink"/>
            <w:rFonts w:ascii="FrankRuehl" w:hAnsi="FrankRuehl" w:cs="FrankRuehl"/>
            <w:u w:val="none"/>
            <w:rtl/>
          </w:rPr>
          <w:t>ג</w:t>
        </w:r>
      </w:hyperlink>
      <w:r w:rsidRPr="000E2A37">
        <w:rPr>
          <w:rFonts w:ascii="FrankRuehl" w:hAnsi="FrankRuehl" w:cs="FrankRuehl"/>
          <w:color w:val="0000FF"/>
          <w:rtl/>
        </w:rPr>
        <w:t xml:space="preserve">(א), </w:t>
      </w:r>
      <w:hyperlink r:id="rId9" w:history="1">
        <w:r w:rsidRPr="000E2A37">
          <w:rPr>
            <w:rStyle w:val="Hyperlink"/>
            <w:rFonts w:ascii="FrankRuehl" w:hAnsi="FrankRuehl" w:cs="FrankRuehl"/>
            <w:u w:val="none"/>
          </w:rPr>
          <w:t>144</w:t>
        </w:r>
      </w:hyperlink>
      <w:r w:rsidRPr="000E2A37">
        <w:rPr>
          <w:rFonts w:ascii="FrankRuehl" w:hAnsi="FrankRuehl" w:cs="FrankRuehl"/>
          <w:color w:val="0000FF"/>
          <w:rtl/>
        </w:rPr>
        <w:t xml:space="preserve">, </w:t>
      </w:r>
      <w:hyperlink r:id="rId10" w:history="1">
        <w:r w:rsidRPr="000E2A37">
          <w:rPr>
            <w:rStyle w:val="Hyperlink"/>
            <w:rFonts w:ascii="FrankRuehl" w:hAnsi="FrankRuehl" w:cs="FrankRuehl"/>
            <w:u w:val="none"/>
          </w:rPr>
          <w:t>144</w:t>
        </w:r>
      </w:hyperlink>
      <w:r w:rsidRPr="000E2A37">
        <w:rPr>
          <w:rFonts w:ascii="FrankRuehl" w:hAnsi="FrankRuehl" w:cs="FrankRuehl"/>
          <w:color w:val="0000FF"/>
          <w:rtl/>
        </w:rPr>
        <w:t xml:space="preserve">(ב), </w:t>
      </w:r>
      <w:hyperlink r:id="rId11" w:history="1">
        <w:r w:rsidRPr="000E2A37">
          <w:rPr>
            <w:rStyle w:val="Hyperlink"/>
            <w:rFonts w:ascii="FrankRuehl" w:hAnsi="FrankRuehl" w:cs="FrankRuehl"/>
            <w:u w:val="none"/>
          </w:rPr>
          <w:t>192</w:t>
        </w:r>
      </w:hyperlink>
      <w:r w:rsidRPr="000E2A37">
        <w:rPr>
          <w:rFonts w:ascii="FrankRuehl" w:hAnsi="FrankRuehl" w:cs="FrankRuehl"/>
          <w:color w:val="0000FF"/>
          <w:rtl/>
        </w:rPr>
        <w:t xml:space="preserve">, </w:t>
      </w:r>
      <w:hyperlink r:id="rId12" w:history="1">
        <w:r w:rsidRPr="000E2A37">
          <w:rPr>
            <w:rStyle w:val="Hyperlink"/>
            <w:rFonts w:ascii="FrankRuehl" w:hAnsi="FrankRuehl" w:cs="FrankRuehl"/>
            <w:u w:val="none"/>
          </w:rPr>
          <w:t>275</w:t>
        </w:r>
      </w:hyperlink>
      <w:r w:rsidRPr="000E2A37">
        <w:rPr>
          <w:rFonts w:ascii="FrankRuehl" w:hAnsi="FrankRuehl" w:cs="FrankRuehl"/>
          <w:color w:val="0000FF"/>
          <w:rtl/>
        </w:rPr>
        <w:t xml:space="preserve">, </w:t>
      </w:r>
      <w:hyperlink r:id="rId13" w:history="1">
        <w:r w:rsidRPr="000E2A37">
          <w:rPr>
            <w:rStyle w:val="Hyperlink"/>
            <w:rFonts w:ascii="FrankRuehl" w:hAnsi="FrankRuehl" w:cs="FrankRuehl"/>
            <w:u w:val="none"/>
          </w:rPr>
          <w:t>340</w:t>
        </w:r>
        <w:r w:rsidRPr="000E2A37">
          <w:rPr>
            <w:rStyle w:val="Hyperlink"/>
            <w:rFonts w:ascii="FrankRuehl" w:hAnsi="FrankRuehl" w:cs="FrankRuehl"/>
            <w:u w:val="none"/>
            <w:rtl/>
          </w:rPr>
          <w:t>א</w:t>
        </w:r>
      </w:hyperlink>
      <w:r w:rsidRPr="000E2A37">
        <w:rPr>
          <w:rFonts w:ascii="FrankRuehl" w:hAnsi="FrankRuehl" w:cs="FrankRuehl"/>
          <w:color w:val="0000FF"/>
          <w:rtl/>
        </w:rPr>
        <w:t>(ב)(1)</w:t>
      </w:r>
    </w:p>
    <w:p w14:paraId="58F161D0" w14:textId="77777777" w:rsidR="00121947" w:rsidRPr="000E2A37" w:rsidRDefault="00121947" w:rsidP="000E2A37">
      <w:pPr>
        <w:jc w:val="center"/>
        <w:rPr>
          <w:sz w:val="30"/>
          <w:szCs w:val="30"/>
          <w:rtl/>
        </w:rPr>
      </w:pPr>
      <w:bookmarkStart w:id="4" w:name="LawTable_End"/>
      <w:bookmarkEnd w:id="4"/>
    </w:p>
    <w:p w14:paraId="3F4257AE" w14:textId="77777777" w:rsidR="00121947" w:rsidRPr="00121947" w:rsidRDefault="00121947" w:rsidP="00121947">
      <w:pPr>
        <w:jc w:val="center"/>
        <w:rPr>
          <w:b/>
          <w:bCs/>
          <w:sz w:val="30"/>
          <w:szCs w:val="30"/>
          <w:u w:val="single"/>
          <w:rtl/>
        </w:rPr>
      </w:pPr>
      <w:bookmarkStart w:id="5" w:name="PsakDin"/>
      <w:bookmarkEnd w:id="0"/>
      <w:r w:rsidRPr="00121947">
        <w:rPr>
          <w:b/>
          <w:bCs/>
          <w:sz w:val="30"/>
          <w:szCs w:val="30"/>
          <w:u w:val="single"/>
          <w:rtl/>
        </w:rPr>
        <w:t>גזר דין</w:t>
      </w:r>
    </w:p>
    <w:bookmarkEnd w:id="5"/>
    <w:p w14:paraId="6F2A965C" w14:textId="77777777" w:rsidR="00D3378D" w:rsidRDefault="00D3378D" w:rsidP="00D3378D">
      <w:pPr>
        <w:rPr>
          <w:rtl/>
        </w:rPr>
      </w:pPr>
    </w:p>
    <w:p w14:paraId="4FD733B1" w14:textId="77777777" w:rsidR="00D3378D" w:rsidRDefault="00D3378D" w:rsidP="00D3378D">
      <w:pPr>
        <w:rPr>
          <w:rtl/>
        </w:rPr>
      </w:pPr>
    </w:p>
    <w:p w14:paraId="0DE6F947" w14:textId="77777777" w:rsidR="00D3378D" w:rsidRDefault="00D3378D" w:rsidP="00D3378D">
      <w:pPr>
        <w:spacing w:line="360" w:lineRule="auto"/>
        <w:ind w:left="720" w:hanging="720"/>
        <w:jc w:val="both"/>
        <w:rPr>
          <w:rtl/>
        </w:rPr>
      </w:pPr>
      <w:r>
        <w:rPr>
          <w:rFonts w:hint="cs"/>
          <w:rtl/>
        </w:rPr>
        <w:t>1.</w:t>
      </w:r>
      <w:r>
        <w:rPr>
          <w:rtl/>
        </w:rPr>
        <w:tab/>
      </w:r>
      <w:bookmarkStart w:id="6" w:name="ABSTRACT_START"/>
      <w:bookmarkEnd w:id="6"/>
      <w:r>
        <w:rPr>
          <w:rFonts w:hint="cs"/>
          <w:rtl/>
        </w:rPr>
        <w:t xml:space="preserve">ביום 5.2.25  הגיעו ב"כ הצדדים </w:t>
      </w:r>
      <w:r>
        <w:rPr>
          <w:rtl/>
        </w:rPr>
        <w:t xml:space="preserve">להסדר טיעון לפיו כתב האישום תוקן, הנאשם </w:t>
      </w:r>
      <w:r>
        <w:rPr>
          <w:rFonts w:hint="cs"/>
          <w:rtl/>
        </w:rPr>
        <w:t>ה</w:t>
      </w:r>
      <w:r>
        <w:rPr>
          <w:rtl/>
        </w:rPr>
        <w:t>ודה ו</w:t>
      </w:r>
      <w:r>
        <w:rPr>
          <w:rFonts w:hint="cs"/>
          <w:rtl/>
        </w:rPr>
        <w:t>ה</w:t>
      </w:r>
      <w:r>
        <w:rPr>
          <w:rtl/>
        </w:rPr>
        <w:t xml:space="preserve">ורשע. </w:t>
      </w:r>
      <w:r>
        <w:rPr>
          <w:rFonts w:hint="cs"/>
          <w:rtl/>
        </w:rPr>
        <w:t xml:space="preserve">הוצהר כי </w:t>
      </w:r>
      <w:r>
        <w:rPr>
          <w:rtl/>
        </w:rPr>
        <w:t xml:space="preserve">אין הסדר לעניין העונש. </w:t>
      </w:r>
    </w:p>
    <w:p w14:paraId="70F5C273" w14:textId="77777777" w:rsidR="00D3378D" w:rsidRDefault="00D3378D" w:rsidP="00D3378D">
      <w:pPr>
        <w:spacing w:line="360" w:lineRule="auto"/>
        <w:ind w:left="720" w:hanging="720"/>
        <w:jc w:val="both"/>
        <w:rPr>
          <w:rtl/>
        </w:rPr>
      </w:pPr>
    </w:p>
    <w:p w14:paraId="1F31B5AF" w14:textId="77777777" w:rsidR="00D3378D" w:rsidRDefault="00D3378D" w:rsidP="00D3378D">
      <w:pPr>
        <w:spacing w:line="360" w:lineRule="auto"/>
        <w:ind w:left="720" w:hanging="720"/>
        <w:jc w:val="both"/>
      </w:pPr>
      <w:r>
        <w:rPr>
          <w:rFonts w:hint="cs"/>
          <w:rtl/>
        </w:rPr>
        <w:t>2.</w:t>
      </w:r>
      <w:r>
        <w:rPr>
          <w:rtl/>
        </w:rPr>
        <w:tab/>
      </w:r>
      <w:r>
        <w:rPr>
          <w:rFonts w:hint="cs"/>
          <w:rtl/>
        </w:rPr>
        <w:t xml:space="preserve">הנאשם הורשע על יסוד הודאתו בעבירה של </w:t>
      </w:r>
      <w:r>
        <w:rPr>
          <w:rtl/>
        </w:rPr>
        <w:t xml:space="preserve">נשיאת נשק, עבירה לפי </w:t>
      </w:r>
      <w:hyperlink r:id="rId14" w:history="1">
        <w:r w:rsidR="000E2A37" w:rsidRPr="000E2A37">
          <w:rPr>
            <w:rStyle w:val="Hyperlink"/>
            <w:color w:val="0000FF"/>
            <w:rtl/>
          </w:rPr>
          <w:t>סעיף 144(ב)</w:t>
        </w:r>
      </w:hyperlink>
      <w:r>
        <w:rPr>
          <w:rtl/>
        </w:rPr>
        <w:t xml:space="preserve"> רישא ל</w:t>
      </w:r>
      <w:hyperlink r:id="rId15" w:history="1">
        <w:r w:rsidR="00121947" w:rsidRPr="00121947">
          <w:rPr>
            <w:color w:val="0000FF"/>
            <w:u w:val="single"/>
            <w:rtl/>
          </w:rPr>
          <w:t>חוק העונשין</w:t>
        </w:r>
      </w:hyperlink>
      <w:r>
        <w:rPr>
          <w:rtl/>
        </w:rPr>
        <w:t xml:space="preserve"> תשל"ז-1977</w:t>
      </w:r>
      <w:r>
        <w:rPr>
          <w:rFonts w:hint="cs"/>
          <w:rtl/>
        </w:rPr>
        <w:t xml:space="preserve"> ובעבירה של נ</w:t>
      </w:r>
      <w:r>
        <w:rPr>
          <w:rtl/>
        </w:rPr>
        <w:t xml:space="preserve">שיאת חלק מהותי בנשק, עבירה לפי </w:t>
      </w:r>
      <w:hyperlink r:id="rId16" w:history="1">
        <w:r w:rsidR="000E2A37" w:rsidRPr="000E2A37">
          <w:rPr>
            <w:rStyle w:val="Hyperlink"/>
            <w:color w:val="0000FF"/>
            <w:rtl/>
          </w:rPr>
          <w:t>סעיף 144(ב)</w:t>
        </w:r>
      </w:hyperlink>
      <w:r>
        <w:rPr>
          <w:rtl/>
        </w:rPr>
        <w:t xml:space="preserve"> </w:t>
      </w:r>
      <w:r>
        <w:rPr>
          <w:rFonts w:hint="cs"/>
          <w:rtl/>
        </w:rPr>
        <w:t xml:space="preserve">סיפא </w:t>
      </w:r>
      <w:r>
        <w:rPr>
          <w:rtl/>
        </w:rPr>
        <w:t>לחוק העונשין</w:t>
      </w:r>
      <w:bookmarkStart w:id="7" w:name="ABSTRACT_END"/>
      <w:bookmarkEnd w:id="7"/>
      <w:r>
        <w:rPr>
          <w:rtl/>
        </w:rPr>
        <w:t>.</w:t>
      </w:r>
    </w:p>
    <w:p w14:paraId="5113B072" w14:textId="77777777" w:rsidR="00D3378D" w:rsidRDefault="00D3378D" w:rsidP="00D3378D">
      <w:pPr>
        <w:pStyle w:val="a9"/>
        <w:spacing w:line="360" w:lineRule="auto"/>
        <w:rPr>
          <w:rtl/>
        </w:rPr>
      </w:pPr>
    </w:p>
    <w:p w14:paraId="7B64F641" w14:textId="77777777" w:rsidR="00D3378D" w:rsidRDefault="00D3378D" w:rsidP="00D3378D">
      <w:pPr>
        <w:pStyle w:val="a9"/>
        <w:spacing w:line="360" w:lineRule="auto"/>
        <w:rPr>
          <w:rtl/>
        </w:rPr>
      </w:pPr>
      <w:r>
        <w:rPr>
          <w:rFonts w:hint="cs"/>
          <w:u w:val="single"/>
          <w:rtl/>
        </w:rPr>
        <w:t>עובדות כתב האישום המתוקן</w:t>
      </w:r>
    </w:p>
    <w:p w14:paraId="6B480A94" w14:textId="77777777" w:rsidR="00D3378D" w:rsidRPr="0033796A" w:rsidRDefault="00D3378D" w:rsidP="00D3378D">
      <w:pPr>
        <w:pStyle w:val="a9"/>
        <w:spacing w:line="360" w:lineRule="auto"/>
        <w:rPr>
          <w:rtl/>
        </w:rPr>
      </w:pPr>
    </w:p>
    <w:p w14:paraId="45CAD06B" w14:textId="77777777" w:rsidR="00D3378D" w:rsidRDefault="00D3378D" w:rsidP="00D3378D">
      <w:pPr>
        <w:spacing w:line="360" w:lineRule="auto"/>
        <w:ind w:left="720" w:hanging="720"/>
        <w:jc w:val="both"/>
      </w:pPr>
      <w:r>
        <w:rPr>
          <w:rFonts w:hint="cs"/>
          <w:rtl/>
        </w:rPr>
        <w:t>3.</w:t>
      </w:r>
      <w:r>
        <w:rPr>
          <w:rtl/>
        </w:rPr>
        <w:tab/>
      </w:r>
      <w:r>
        <w:rPr>
          <w:rFonts w:hint="cs"/>
          <w:rtl/>
        </w:rPr>
        <w:t xml:space="preserve">על פי עובדות כתב האישום המתוקן ביום 10.8.24 בשעה 06:10 לערך, נשא הנאשם בכיס מכנסיו לאורך הרחובות יד חרוצים וריב"ל בת"א, אקדח מסוג גלוק 26, ללא מחסנית, שמספרו </w:t>
      </w:r>
      <w:r>
        <w:rPr>
          <w:rFonts w:hint="cs"/>
        </w:rPr>
        <w:t>CC</w:t>
      </w:r>
      <w:r>
        <w:t>W987US</w:t>
      </w:r>
      <w:r>
        <w:rPr>
          <w:rFonts w:hint="cs"/>
          <w:rtl/>
        </w:rPr>
        <w:t xml:space="preserve"> (להלן: "האקדח") כשצינת האקדח לאחור וכדור 9 מ"מ הפוך בתוך בית הבליעה, וזאת ללא רשות על פי דין לנשיאתו.</w:t>
      </w:r>
    </w:p>
    <w:p w14:paraId="10AA6E11" w14:textId="77777777" w:rsidR="00D3378D" w:rsidRDefault="00D3378D" w:rsidP="00D3378D">
      <w:pPr>
        <w:pStyle w:val="a9"/>
        <w:spacing w:line="360" w:lineRule="auto"/>
        <w:jc w:val="both"/>
        <w:rPr>
          <w:rtl/>
        </w:rPr>
      </w:pPr>
      <w:r>
        <w:rPr>
          <w:rFonts w:hint="cs"/>
          <w:rtl/>
        </w:rPr>
        <w:t xml:space="preserve">עוד בנסיבות אלה, נשא הנאשם בתיקו מחסנית עם כדורים של 9 מ"מ ובכיס מכנסיו מחסנית ובה כדור של 9 מ"מ ו </w:t>
      </w:r>
      <w:r>
        <w:rPr>
          <w:rtl/>
        </w:rPr>
        <w:t>–</w:t>
      </w:r>
      <w:r>
        <w:rPr>
          <w:rFonts w:hint="cs"/>
          <w:rtl/>
        </w:rPr>
        <w:t xml:space="preserve"> 3 כדורים נוספים של 9 מ"מ בתפזורת (להלן: "התחמושת") וזאת ללא רשות על פי דין לנשיאתם.</w:t>
      </w:r>
    </w:p>
    <w:p w14:paraId="754D49CE" w14:textId="77777777" w:rsidR="00D3378D" w:rsidRDefault="00D3378D" w:rsidP="00D3378D">
      <w:pPr>
        <w:pStyle w:val="a9"/>
        <w:spacing w:line="360" w:lineRule="auto"/>
        <w:jc w:val="both"/>
        <w:rPr>
          <w:rtl/>
        </w:rPr>
      </w:pPr>
      <w:r>
        <w:rPr>
          <w:rFonts w:hint="cs"/>
          <w:rtl/>
        </w:rPr>
        <w:lastRenderedPageBreak/>
        <w:t xml:space="preserve">בעל האקדח איבד את האקדח ואת התחמושת ביום 9.8.24 בשעות הערב. </w:t>
      </w:r>
    </w:p>
    <w:p w14:paraId="3115568D" w14:textId="77777777" w:rsidR="00D3378D" w:rsidRDefault="00D3378D" w:rsidP="00D3378D">
      <w:pPr>
        <w:pStyle w:val="a9"/>
        <w:spacing w:line="360" w:lineRule="auto"/>
        <w:jc w:val="both"/>
        <w:rPr>
          <w:rtl/>
        </w:rPr>
      </w:pPr>
      <w:r>
        <w:rPr>
          <w:rFonts w:hint="cs"/>
          <w:rtl/>
        </w:rPr>
        <w:t>במעשיו המתוארים לעיל, נשא הנאשם נשק ותחמושת שהם חלק מהותי בנשק ללא רשות על פי דין לנשיאתם.</w:t>
      </w:r>
    </w:p>
    <w:p w14:paraId="1AA63CA9" w14:textId="77777777" w:rsidR="00D3378D" w:rsidRDefault="00D3378D" w:rsidP="00D3378D">
      <w:pPr>
        <w:pStyle w:val="a9"/>
        <w:spacing w:line="360" w:lineRule="auto"/>
        <w:jc w:val="both"/>
      </w:pPr>
    </w:p>
    <w:p w14:paraId="7671E646" w14:textId="77777777" w:rsidR="00D3378D" w:rsidRDefault="00D3378D" w:rsidP="00D3378D">
      <w:pPr>
        <w:spacing w:line="360" w:lineRule="auto"/>
        <w:ind w:left="720" w:hanging="720"/>
        <w:jc w:val="both"/>
        <w:rPr>
          <w:rtl/>
        </w:rPr>
      </w:pPr>
      <w:r>
        <w:rPr>
          <w:rFonts w:hint="cs"/>
          <w:rtl/>
        </w:rPr>
        <w:t>4.</w:t>
      </w:r>
      <w:r>
        <w:rPr>
          <w:rtl/>
        </w:rPr>
        <w:tab/>
      </w:r>
      <w:r>
        <w:rPr>
          <w:rFonts w:hint="cs"/>
          <w:rtl/>
        </w:rPr>
        <w:t xml:space="preserve">ב"כ המאשימה טענה לעונש בדיון מיום 5.2.25 כי לנאשם </w:t>
      </w:r>
      <w:r>
        <w:rPr>
          <w:rtl/>
        </w:rPr>
        <w:t xml:space="preserve">גיליון הרשעות קודמות וכן מאסר על-תנאי בן 10 חודשים התלוי ועומד כנגד הנאשם בגין עבירה של החזקת נשק. </w:t>
      </w:r>
    </w:p>
    <w:p w14:paraId="0A9C0531" w14:textId="77777777" w:rsidR="00D3378D" w:rsidRDefault="00D3378D" w:rsidP="00D3378D">
      <w:pPr>
        <w:spacing w:line="360" w:lineRule="auto"/>
        <w:ind w:left="720"/>
        <w:jc w:val="both"/>
        <w:rPr>
          <w:rtl/>
        </w:rPr>
      </w:pPr>
      <w:r>
        <w:rPr>
          <w:rFonts w:hint="cs"/>
          <w:rtl/>
        </w:rPr>
        <w:t>טענה כי</w:t>
      </w:r>
      <w:r>
        <w:rPr>
          <w:rtl/>
        </w:rPr>
        <w:t xml:space="preserve"> מדובר במי שנשא בכיס מכנסיו אקדח</w:t>
      </w:r>
      <w:r>
        <w:rPr>
          <w:rFonts w:hint="cs"/>
          <w:rtl/>
        </w:rPr>
        <w:t xml:space="preserve"> וכן </w:t>
      </w:r>
      <w:r>
        <w:rPr>
          <w:rtl/>
        </w:rPr>
        <w:t>נשא בתיק מחסנית עם כדורים של 9 מ"מ וכן בכיס מכנסיו נשא מחסנית ובה מס</w:t>
      </w:r>
      <w:r>
        <w:rPr>
          <w:rFonts w:hint="cs"/>
          <w:rtl/>
        </w:rPr>
        <w:t>פר</w:t>
      </w:r>
      <w:r>
        <w:rPr>
          <w:rtl/>
        </w:rPr>
        <w:t xml:space="preserve"> כדורים, </w:t>
      </w:r>
      <w:r>
        <w:rPr>
          <w:rFonts w:hint="cs"/>
          <w:rtl/>
        </w:rPr>
        <w:t>כך שישנם לטענתה</w:t>
      </w:r>
      <w:r>
        <w:rPr>
          <w:rtl/>
        </w:rPr>
        <w:t xml:space="preserve"> נסיבות לחומר</w:t>
      </w:r>
      <w:r>
        <w:rPr>
          <w:rFonts w:hint="cs"/>
          <w:rtl/>
        </w:rPr>
        <w:t>ה</w:t>
      </w:r>
      <w:r>
        <w:rPr>
          <w:rtl/>
        </w:rPr>
        <w:t xml:space="preserve"> בהקשר הנשיאה בכללותה. </w:t>
      </w:r>
      <w:r>
        <w:rPr>
          <w:rFonts w:hint="cs"/>
          <w:rtl/>
        </w:rPr>
        <w:t xml:space="preserve">טענה כי </w:t>
      </w:r>
      <w:r>
        <w:rPr>
          <w:rtl/>
        </w:rPr>
        <w:t>עבירות של נשיאת נשק הן עבירות חמורות והמחוקק נתן לכך את הדעת</w:t>
      </w:r>
      <w:r>
        <w:rPr>
          <w:rFonts w:hint="cs"/>
          <w:rtl/>
        </w:rPr>
        <w:t xml:space="preserve"> והפנתה לפסיקה בעניין שם נקבע מחם ענישה של 30-42 חודשי מאסר.</w:t>
      </w:r>
    </w:p>
    <w:p w14:paraId="1E7FE2B9" w14:textId="77777777" w:rsidR="00D3378D" w:rsidRDefault="00D3378D" w:rsidP="00D3378D">
      <w:pPr>
        <w:spacing w:line="360" w:lineRule="auto"/>
        <w:ind w:left="720"/>
        <w:jc w:val="both"/>
        <w:rPr>
          <w:rtl/>
        </w:rPr>
      </w:pPr>
      <w:r>
        <w:rPr>
          <w:rFonts w:hint="cs"/>
          <w:rtl/>
        </w:rPr>
        <w:t xml:space="preserve">טענה כי </w:t>
      </w:r>
      <w:r>
        <w:rPr>
          <w:rtl/>
        </w:rPr>
        <w:t xml:space="preserve">לבד מהודאת </w:t>
      </w:r>
      <w:r>
        <w:rPr>
          <w:rFonts w:hint="cs"/>
          <w:rtl/>
        </w:rPr>
        <w:t xml:space="preserve">הנאשם </w:t>
      </w:r>
      <w:r>
        <w:rPr>
          <w:rtl/>
        </w:rPr>
        <w:t>ישנן נסיבות לחומר</w:t>
      </w:r>
      <w:r>
        <w:rPr>
          <w:rFonts w:hint="cs"/>
          <w:rtl/>
        </w:rPr>
        <w:t>ה</w:t>
      </w:r>
      <w:r>
        <w:rPr>
          <w:rtl/>
        </w:rPr>
        <w:t>, כאשר אלה עולות מעברו הפלילי, ובתיקו משנת 2022 החזיק בביתו תת מקלע מאולתר.</w:t>
      </w:r>
      <w:r>
        <w:rPr>
          <w:rFonts w:hint="cs"/>
          <w:rtl/>
        </w:rPr>
        <w:t xml:space="preserve"> טענה </w:t>
      </w:r>
      <w:r>
        <w:rPr>
          <w:rtl/>
        </w:rPr>
        <w:t>כי הנאשם אינו ברף התחתון</w:t>
      </w:r>
      <w:r>
        <w:rPr>
          <w:rFonts w:hint="cs"/>
          <w:rtl/>
        </w:rPr>
        <w:t xml:space="preserve"> והמאשימה עותרת</w:t>
      </w:r>
      <w:r>
        <w:rPr>
          <w:rtl/>
        </w:rPr>
        <w:t xml:space="preserve"> ל- 3.5 שנות מאסר בפועל, הפעלת המאסר על-תנאי במצטבר, מאסר על-תנאי וקנס. </w:t>
      </w:r>
    </w:p>
    <w:p w14:paraId="2B299658" w14:textId="77777777" w:rsidR="00D3378D" w:rsidRDefault="00D3378D" w:rsidP="00D3378D">
      <w:pPr>
        <w:spacing w:line="360" w:lineRule="auto"/>
        <w:ind w:left="720"/>
        <w:jc w:val="both"/>
        <w:rPr>
          <w:rtl/>
        </w:rPr>
      </w:pPr>
    </w:p>
    <w:p w14:paraId="75797E37" w14:textId="77777777" w:rsidR="00D3378D" w:rsidRDefault="00D3378D" w:rsidP="00D3378D">
      <w:pPr>
        <w:spacing w:line="360" w:lineRule="auto"/>
        <w:ind w:left="720" w:hanging="720"/>
        <w:jc w:val="both"/>
        <w:rPr>
          <w:rtl/>
        </w:rPr>
      </w:pPr>
      <w:r>
        <w:rPr>
          <w:rFonts w:hint="cs"/>
          <w:rtl/>
        </w:rPr>
        <w:t>5.</w:t>
      </w:r>
      <w:r>
        <w:rPr>
          <w:rtl/>
        </w:rPr>
        <w:tab/>
        <w:t>ב"כ הנאשם</w:t>
      </w:r>
      <w:r>
        <w:rPr>
          <w:rFonts w:hint="cs"/>
          <w:rtl/>
        </w:rPr>
        <w:t xml:space="preserve"> טענה בדיון לפניי כי </w:t>
      </w:r>
      <w:r>
        <w:rPr>
          <w:rtl/>
        </w:rPr>
        <w:t xml:space="preserve">הנאשם הודה מהרגע הראשון כבר בתחנת המשטרה. </w:t>
      </w:r>
      <w:r>
        <w:rPr>
          <w:rFonts w:hint="cs"/>
          <w:rtl/>
        </w:rPr>
        <w:t xml:space="preserve">לטענתה </w:t>
      </w:r>
      <w:r>
        <w:rPr>
          <w:rtl/>
        </w:rPr>
        <w:t>מדובר בנשיאה קצרת טווח בלי נסיבות מחמירות כמו צוותא או ירי או בריחה משוטרים וכד</w:t>
      </w:r>
      <w:r>
        <w:rPr>
          <w:rFonts w:hint="cs"/>
          <w:rtl/>
        </w:rPr>
        <w:t>ומה</w:t>
      </w:r>
      <w:r>
        <w:rPr>
          <w:rtl/>
        </w:rPr>
        <w:t xml:space="preserve">. </w:t>
      </w:r>
      <w:r>
        <w:rPr>
          <w:rFonts w:hint="cs"/>
          <w:rtl/>
        </w:rPr>
        <w:t xml:space="preserve">ב"כ הנאשם טענה כי </w:t>
      </w:r>
      <w:r>
        <w:rPr>
          <w:rtl/>
        </w:rPr>
        <w:t>הנאשם הודה באופן מידי</w:t>
      </w:r>
      <w:r>
        <w:rPr>
          <w:rFonts w:hint="cs"/>
          <w:rtl/>
        </w:rPr>
        <w:t xml:space="preserve"> וכי מדובר </w:t>
      </w:r>
      <w:r>
        <w:rPr>
          <w:rtl/>
        </w:rPr>
        <w:t xml:space="preserve">בנשיאה קצרה. </w:t>
      </w:r>
    </w:p>
    <w:p w14:paraId="50EBF26D" w14:textId="77777777" w:rsidR="00D3378D" w:rsidRDefault="00D3378D" w:rsidP="00D3378D">
      <w:pPr>
        <w:spacing w:line="360" w:lineRule="auto"/>
        <w:ind w:left="720"/>
        <w:jc w:val="both"/>
        <w:rPr>
          <w:rtl/>
        </w:rPr>
      </w:pPr>
      <w:r>
        <w:rPr>
          <w:rFonts w:hint="cs"/>
          <w:rtl/>
        </w:rPr>
        <w:t>ב"כ הנאשם הפנתה לאופן</w:t>
      </w:r>
      <w:r>
        <w:rPr>
          <w:rtl/>
        </w:rPr>
        <w:t xml:space="preserve"> בו נישא האקדח על-ידי הנאשם </w:t>
      </w:r>
      <w:r>
        <w:rPr>
          <w:rFonts w:hint="cs"/>
          <w:rtl/>
        </w:rPr>
        <w:t xml:space="preserve">שלטענתה </w:t>
      </w:r>
      <w:r>
        <w:rPr>
          <w:rtl/>
        </w:rPr>
        <w:t xml:space="preserve">איננו מאפשר ירי. </w:t>
      </w:r>
      <w:r>
        <w:rPr>
          <w:rFonts w:hint="cs"/>
          <w:rtl/>
        </w:rPr>
        <w:t>טענה כי ה</w:t>
      </w:r>
      <w:r>
        <w:rPr>
          <w:rtl/>
        </w:rPr>
        <w:t xml:space="preserve">כדור </w:t>
      </w:r>
      <w:r>
        <w:rPr>
          <w:rFonts w:hint="cs"/>
          <w:rtl/>
        </w:rPr>
        <w:t xml:space="preserve">היה </w:t>
      </w:r>
      <w:r>
        <w:rPr>
          <w:rtl/>
        </w:rPr>
        <w:t>הפוך בבית הבליעה, ואין אפשרות לנקור אותו ולבצע ירי. כך</w:t>
      </w:r>
      <w:r>
        <w:rPr>
          <w:rFonts w:hint="cs"/>
          <w:rtl/>
        </w:rPr>
        <w:t xml:space="preserve"> שלטענתה </w:t>
      </w:r>
      <w:r>
        <w:rPr>
          <w:rtl/>
        </w:rPr>
        <w:t xml:space="preserve">נסיבות הנשיאה אינן מחמירות. </w:t>
      </w:r>
    </w:p>
    <w:p w14:paraId="06C00F8D" w14:textId="77777777" w:rsidR="00D3378D" w:rsidRDefault="00D3378D" w:rsidP="00D3378D">
      <w:pPr>
        <w:spacing w:line="360" w:lineRule="auto"/>
        <w:ind w:left="720"/>
        <w:jc w:val="both"/>
        <w:rPr>
          <w:rtl/>
        </w:rPr>
      </w:pPr>
      <w:r>
        <w:rPr>
          <w:rFonts w:hint="cs"/>
          <w:rtl/>
        </w:rPr>
        <w:t xml:space="preserve">ב"כ הנאשם הפנתה לפסיקה והתייחסה בפירוט לגבי הפסיקה. וטענה כי </w:t>
      </w:r>
      <w:r>
        <w:rPr>
          <w:rtl/>
        </w:rPr>
        <w:t xml:space="preserve"> </w:t>
      </w:r>
      <w:r>
        <w:rPr>
          <w:rFonts w:hint="cs"/>
          <w:rtl/>
        </w:rPr>
        <w:t xml:space="preserve">מדובר בנסיבות בהם </w:t>
      </w:r>
      <w:r>
        <w:rPr>
          <w:rtl/>
        </w:rPr>
        <w:t xml:space="preserve"> הנאשם סועד את אימו, שאינה מסוגלת לפעולות בסיסיות בלי עזרה. בשל מצבה, אינה יכולה לבקר את הנאשם, </w:t>
      </w:r>
      <w:r>
        <w:rPr>
          <w:rFonts w:hint="cs"/>
          <w:rtl/>
        </w:rPr>
        <w:t xml:space="preserve">ועל כן טענה כי </w:t>
      </w:r>
      <w:r>
        <w:rPr>
          <w:rtl/>
        </w:rPr>
        <w:t xml:space="preserve">כל עונש שיוטל על הנאשם, זה למעשה פרק הזמן בו לא יראה את אימו. </w:t>
      </w:r>
      <w:r>
        <w:rPr>
          <w:rFonts w:hint="cs"/>
          <w:rtl/>
        </w:rPr>
        <w:t xml:space="preserve">וביקשה כי בית משפט יקח זאת בחשבון. </w:t>
      </w:r>
      <w:r>
        <w:rPr>
          <w:rtl/>
        </w:rPr>
        <w:t xml:space="preserve"> </w:t>
      </w:r>
    </w:p>
    <w:p w14:paraId="1121406F" w14:textId="77777777" w:rsidR="00D3378D" w:rsidRDefault="00D3378D" w:rsidP="00D3378D">
      <w:pPr>
        <w:spacing w:line="360" w:lineRule="auto"/>
        <w:ind w:left="720"/>
        <w:jc w:val="both"/>
        <w:rPr>
          <w:rtl/>
        </w:rPr>
      </w:pPr>
      <w:r>
        <w:rPr>
          <w:rFonts w:hint="cs"/>
          <w:rtl/>
        </w:rPr>
        <w:t xml:space="preserve">ב"כ הנאשם טענה כי </w:t>
      </w:r>
      <w:r>
        <w:rPr>
          <w:rtl/>
        </w:rPr>
        <w:t xml:space="preserve">סבורה </w:t>
      </w:r>
      <w:r>
        <w:rPr>
          <w:rFonts w:hint="cs"/>
          <w:rtl/>
        </w:rPr>
        <w:t xml:space="preserve">שהמתחם </w:t>
      </w:r>
      <w:r>
        <w:rPr>
          <w:rtl/>
        </w:rPr>
        <w:t>צריך להתחיל מ- 21 חודשי מאסר</w:t>
      </w:r>
      <w:r>
        <w:rPr>
          <w:rFonts w:hint="cs"/>
          <w:rtl/>
        </w:rPr>
        <w:t xml:space="preserve"> וטענה כי היא </w:t>
      </w:r>
      <w:r>
        <w:rPr>
          <w:rtl/>
        </w:rPr>
        <w:t xml:space="preserve">מודעת שנוכח עברו </w:t>
      </w:r>
      <w:r>
        <w:rPr>
          <w:rFonts w:hint="cs"/>
          <w:rtl/>
        </w:rPr>
        <w:t xml:space="preserve">הפלילי של הנאשם, </w:t>
      </w:r>
      <w:r>
        <w:rPr>
          <w:rtl/>
        </w:rPr>
        <w:t xml:space="preserve">לא ניתן למקמו בתחתית המתחם. </w:t>
      </w:r>
      <w:r>
        <w:rPr>
          <w:rFonts w:hint="cs"/>
          <w:rtl/>
        </w:rPr>
        <w:t>ועתרה כי</w:t>
      </w:r>
      <w:r>
        <w:rPr>
          <w:rtl/>
        </w:rPr>
        <w:t xml:space="preserve"> המאסר על-תנאי </w:t>
      </w:r>
      <w:r>
        <w:rPr>
          <w:rFonts w:hint="cs"/>
          <w:rtl/>
        </w:rPr>
        <w:t>יופעל</w:t>
      </w:r>
      <w:r>
        <w:rPr>
          <w:rtl/>
        </w:rPr>
        <w:t xml:space="preserve"> חציו בחופף</w:t>
      </w:r>
      <w:r>
        <w:rPr>
          <w:rFonts w:hint="cs"/>
          <w:rtl/>
        </w:rPr>
        <w:t xml:space="preserve">. ב"כ הנאשם ביקשה </w:t>
      </w:r>
      <w:r>
        <w:rPr>
          <w:rtl/>
        </w:rPr>
        <w:t>להשית על הנאשם עונש במידת הרחמים</w:t>
      </w:r>
      <w:r>
        <w:rPr>
          <w:rFonts w:hint="cs"/>
          <w:rtl/>
        </w:rPr>
        <w:t xml:space="preserve"> לאור כל הנסיבות שפירטה</w:t>
      </w:r>
      <w:r>
        <w:rPr>
          <w:rtl/>
        </w:rPr>
        <w:t xml:space="preserve">. </w:t>
      </w:r>
    </w:p>
    <w:p w14:paraId="43B19C3E" w14:textId="77777777" w:rsidR="00D3378D" w:rsidRDefault="00D3378D" w:rsidP="00D3378D">
      <w:pPr>
        <w:spacing w:line="360" w:lineRule="auto"/>
        <w:ind w:left="720"/>
        <w:jc w:val="both"/>
        <w:rPr>
          <w:rtl/>
        </w:rPr>
      </w:pPr>
    </w:p>
    <w:p w14:paraId="0FC3E007" w14:textId="77777777" w:rsidR="00D3378D" w:rsidRDefault="00D3378D" w:rsidP="00D3378D">
      <w:pPr>
        <w:spacing w:line="360" w:lineRule="auto"/>
        <w:ind w:left="720" w:hanging="720"/>
      </w:pPr>
      <w:r>
        <w:rPr>
          <w:rFonts w:hint="cs"/>
          <w:rtl/>
        </w:rPr>
        <w:t>6.</w:t>
      </w:r>
      <w:r>
        <w:rPr>
          <w:rtl/>
        </w:rPr>
        <w:tab/>
      </w:r>
      <w:r>
        <w:rPr>
          <w:rFonts w:hint="cs"/>
          <w:rtl/>
        </w:rPr>
        <w:t xml:space="preserve">הנאשם בדברו האחרון מסר כי </w:t>
      </w:r>
      <w:r>
        <w:rPr>
          <w:rtl/>
        </w:rPr>
        <w:t>מטפל באימ</w:t>
      </w:r>
      <w:r>
        <w:rPr>
          <w:rFonts w:hint="cs"/>
          <w:rtl/>
        </w:rPr>
        <w:t xml:space="preserve">ו </w:t>
      </w:r>
      <w:r>
        <w:rPr>
          <w:rtl/>
        </w:rPr>
        <w:t xml:space="preserve">חולת הסרטן, </w:t>
      </w:r>
      <w:r>
        <w:rPr>
          <w:rFonts w:hint="cs"/>
          <w:rtl/>
        </w:rPr>
        <w:t>וכי הוא</w:t>
      </w:r>
      <w:r>
        <w:rPr>
          <w:rtl/>
        </w:rPr>
        <w:t xml:space="preserve"> מצטער ומתחרט. </w:t>
      </w:r>
    </w:p>
    <w:p w14:paraId="6876166D" w14:textId="77777777" w:rsidR="00D3378D" w:rsidRDefault="00D3378D" w:rsidP="00D3378D">
      <w:pPr>
        <w:spacing w:line="360" w:lineRule="auto"/>
        <w:rPr>
          <w:rtl/>
        </w:rPr>
      </w:pPr>
    </w:p>
    <w:p w14:paraId="1547420B" w14:textId="77777777" w:rsidR="00D3378D" w:rsidRDefault="00D3378D" w:rsidP="00D3378D">
      <w:pPr>
        <w:spacing w:line="360" w:lineRule="auto"/>
        <w:ind w:left="720" w:hanging="720"/>
        <w:jc w:val="both"/>
      </w:pPr>
      <w:r>
        <w:rPr>
          <w:rFonts w:hint="cs"/>
          <w:rtl/>
        </w:rPr>
        <w:t>7.</w:t>
      </w:r>
      <w:r>
        <w:rPr>
          <w:rtl/>
        </w:rPr>
        <w:tab/>
      </w:r>
      <w:r>
        <w:rPr>
          <w:rFonts w:hint="cs"/>
          <w:rtl/>
        </w:rPr>
        <w:t xml:space="preserve">לאחר הדיון צירפה הסנגורית תיעוד רפואי לגבי מצבה של אימו של הנאשם ממנו עולה כי היא סובלת ממחלה קשה. בית המשפט עיין במסמכים אולם בשל צנעת הפרט לא מצאתי לפרטם. </w:t>
      </w:r>
    </w:p>
    <w:p w14:paraId="69BD6FCB" w14:textId="77777777" w:rsidR="00D3378D" w:rsidRDefault="00D3378D" w:rsidP="00D3378D">
      <w:pPr>
        <w:rPr>
          <w:rtl/>
        </w:rPr>
      </w:pPr>
    </w:p>
    <w:p w14:paraId="2376A9BF" w14:textId="77777777" w:rsidR="00D3378D" w:rsidRPr="001857D1" w:rsidRDefault="00D3378D" w:rsidP="00D3378D">
      <w:pPr>
        <w:spacing w:line="360" w:lineRule="auto"/>
        <w:ind w:left="720"/>
        <w:rPr>
          <w:u w:val="single"/>
          <w:rtl/>
        </w:rPr>
      </w:pPr>
      <w:r w:rsidRPr="001857D1">
        <w:rPr>
          <w:rFonts w:hint="cs"/>
          <w:u w:val="single"/>
          <w:rtl/>
        </w:rPr>
        <w:t>דיון והכרעה</w:t>
      </w:r>
    </w:p>
    <w:p w14:paraId="1A5AC68D" w14:textId="77777777" w:rsidR="00D3378D" w:rsidRDefault="00D3378D" w:rsidP="00D3378D">
      <w:pPr>
        <w:rPr>
          <w:rtl/>
        </w:rPr>
      </w:pPr>
    </w:p>
    <w:p w14:paraId="277FD19C" w14:textId="77777777" w:rsidR="00D3378D" w:rsidRDefault="00D3378D" w:rsidP="00D3378D">
      <w:pPr>
        <w:pStyle w:val="ruller40"/>
        <w:bidi/>
        <w:spacing w:before="0" w:beforeAutospacing="0" w:after="0" w:afterAutospacing="0" w:line="360" w:lineRule="atLeast"/>
        <w:ind w:left="720" w:hanging="720"/>
        <w:jc w:val="both"/>
        <w:rPr>
          <w:rFonts w:ascii="David" w:hAnsi="David" w:cs="David"/>
        </w:rPr>
      </w:pPr>
      <w:r>
        <w:rPr>
          <w:rFonts w:ascii="David" w:hAnsi="David" w:cs="David" w:hint="cs"/>
          <w:color w:val="000000"/>
          <w:rtl/>
        </w:rPr>
        <w:t>8.</w:t>
      </w:r>
      <w:r>
        <w:rPr>
          <w:rFonts w:ascii="David" w:hAnsi="David" w:cs="David"/>
          <w:color w:val="000000"/>
          <w:rtl/>
        </w:rPr>
        <w:tab/>
      </w:r>
      <w:r w:rsidRPr="001D2FD8">
        <w:rPr>
          <w:rFonts w:ascii="David" w:hAnsi="David" w:cs="David" w:hint="cs"/>
          <w:color w:val="000000"/>
          <w:rtl/>
        </w:rPr>
        <w:t>ה</w:t>
      </w:r>
      <w:r w:rsidRPr="001D2FD8">
        <w:rPr>
          <w:rFonts w:ascii="David" w:hAnsi="David" w:cs="David"/>
          <w:color w:val="000000"/>
          <w:rtl/>
        </w:rPr>
        <w:t xml:space="preserve">ערכים המוגנים </w:t>
      </w:r>
      <w:r w:rsidRPr="001D2FD8">
        <w:rPr>
          <w:rFonts w:ascii="David" w:hAnsi="David" w:cs="David" w:hint="cs"/>
          <w:color w:val="000000"/>
          <w:rtl/>
        </w:rPr>
        <w:t xml:space="preserve">בהם פגע הנאשם הם </w:t>
      </w:r>
      <w:r w:rsidRPr="001D2FD8">
        <w:rPr>
          <w:rFonts w:ascii="David" w:hAnsi="David" w:cs="David"/>
          <w:color w:val="000000"/>
          <w:rtl/>
        </w:rPr>
        <w:t>של שמירה על שלום הציבור וביטחונו</w:t>
      </w:r>
      <w:r w:rsidRPr="001D2FD8">
        <w:rPr>
          <w:rFonts w:ascii="David" w:hAnsi="David" w:cs="David" w:hint="cs"/>
          <w:color w:val="000000"/>
          <w:rtl/>
        </w:rPr>
        <w:t xml:space="preserve">. החשש לפגיעה </w:t>
      </w:r>
      <w:r w:rsidRPr="001D2FD8">
        <w:rPr>
          <w:rFonts w:ascii="David" w:hAnsi="David" w:cs="David"/>
          <w:color w:val="000000"/>
          <w:rtl/>
        </w:rPr>
        <w:t>בסדר הציבורי</w:t>
      </w:r>
      <w:r w:rsidRPr="001D2FD8">
        <w:rPr>
          <w:rFonts w:ascii="David" w:hAnsi="David" w:cs="David" w:hint="cs"/>
          <w:color w:val="000000"/>
          <w:rtl/>
        </w:rPr>
        <w:t xml:space="preserve"> של מי שנושא אקדח שלא כדין. </w:t>
      </w:r>
      <w:r>
        <w:rPr>
          <w:rFonts w:ascii="David" w:hAnsi="David" w:cs="David" w:hint="cs"/>
          <w:color w:val="000000"/>
          <w:rtl/>
        </w:rPr>
        <w:t xml:space="preserve">החומרה </w:t>
      </w:r>
      <w:r w:rsidRPr="001D2FD8">
        <w:rPr>
          <w:rFonts w:ascii="David" w:hAnsi="David" w:cs="David"/>
          <w:color w:val="000000"/>
          <w:rtl/>
        </w:rPr>
        <w:t>ש</w:t>
      </w:r>
      <w:r>
        <w:rPr>
          <w:rFonts w:ascii="David" w:hAnsi="David" w:cs="David" w:hint="cs"/>
          <w:color w:val="000000"/>
          <w:rtl/>
        </w:rPr>
        <w:t xml:space="preserve">בביצוע </w:t>
      </w:r>
      <w:r w:rsidRPr="001D2FD8">
        <w:rPr>
          <w:rFonts w:ascii="David" w:hAnsi="David" w:cs="David"/>
          <w:color w:val="000000"/>
          <w:rtl/>
        </w:rPr>
        <w:t xml:space="preserve">עבירות נשק, </w:t>
      </w:r>
      <w:r>
        <w:rPr>
          <w:rFonts w:ascii="David" w:hAnsi="David" w:cs="David" w:hint="cs"/>
          <w:color w:val="000000"/>
          <w:rtl/>
        </w:rPr>
        <w:t xml:space="preserve">נובעות מהיות עבירות אלו </w:t>
      </w:r>
      <w:r w:rsidRPr="001D2FD8">
        <w:rPr>
          <w:rFonts w:ascii="David" w:hAnsi="David" w:cs="David"/>
          <w:color w:val="000000"/>
          <w:rtl/>
        </w:rPr>
        <w:t>בעלות פוטנציאל לפגיעה קטלנית בשלום הציבור, ולא בכדי ניכרת מגמה רציפה בפס</w:t>
      </w:r>
      <w:r>
        <w:rPr>
          <w:rFonts w:ascii="David" w:hAnsi="David" w:cs="David"/>
          <w:color w:val="000000"/>
          <w:rtl/>
        </w:rPr>
        <w:t>יקה של החמרת הענישה בעבירות אלו</w:t>
      </w:r>
      <w:r w:rsidRPr="001D2FD8">
        <w:rPr>
          <w:rFonts w:ascii="David" w:hAnsi="David" w:cs="David"/>
          <w:color w:val="000000"/>
          <w:rtl/>
        </w:rPr>
        <w:t>.</w:t>
      </w:r>
      <w:r>
        <w:rPr>
          <w:rFonts w:ascii="David" w:hAnsi="David" w:cs="David" w:hint="cs"/>
          <w:color w:val="000000"/>
          <w:rtl/>
        </w:rPr>
        <w:t xml:space="preserve"> </w:t>
      </w:r>
      <w:r w:rsidRPr="001D2FD8">
        <w:rPr>
          <w:rFonts w:ascii="David" w:hAnsi="David" w:cs="David"/>
          <w:color w:val="000000"/>
          <w:rtl/>
        </w:rPr>
        <w:t xml:space="preserve">זמינותו של כלי נשק בידיים של גורמים בלתי מורשים ומפוקחים מאפשר ביתר קלות </w:t>
      </w:r>
      <w:r w:rsidRPr="001D2FD8">
        <w:rPr>
          <w:rFonts w:ascii="David" w:hAnsi="David" w:cs="David"/>
          <w:color w:val="000000"/>
          <w:rtl/>
        </w:rPr>
        <w:lastRenderedPageBreak/>
        <w:t xml:space="preserve">שימוש לא חוקי בנשק זה, בין אם לצורך הגשמת מטרות פליליות ובין אם לצורך הגשמת מטרות לאומניות-ביטחוניות. </w:t>
      </w:r>
      <w:r>
        <w:rPr>
          <w:rFonts w:ascii="David" w:hAnsi="David" w:cs="David" w:hint="cs"/>
          <w:color w:val="000000"/>
          <w:rtl/>
        </w:rPr>
        <w:t xml:space="preserve">מדיניות הענישה כפי שנראה מחייבת תקופת מאסר משמעותית מאחורי סורג ובריח. כעת נבחן את הפסיקה העוסקת בעבירות אלו. </w:t>
      </w:r>
      <w:r>
        <w:rPr>
          <w:rFonts w:ascii="David" w:hAnsi="David" w:cs="David" w:hint="cs"/>
          <w:rtl/>
        </w:rPr>
        <w:t xml:space="preserve">ברור שהמקרים המובאים אינם זהים למקרה שבו אנו עוסקים ואולם יש צורך בהיקש כדי לבנות את מתחם הענישה. </w:t>
      </w:r>
    </w:p>
    <w:p w14:paraId="6D9924F6" w14:textId="77777777" w:rsidR="00D3378D" w:rsidRPr="001D2FD8" w:rsidRDefault="00D3378D" w:rsidP="00D3378D">
      <w:pPr>
        <w:pStyle w:val="ruller40"/>
        <w:bidi/>
        <w:spacing w:before="0" w:beforeAutospacing="0" w:after="0" w:afterAutospacing="0" w:line="360" w:lineRule="atLeast"/>
        <w:ind w:left="720"/>
        <w:jc w:val="both"/>
        <w:rPr>
          <w:rFonts w:ascii="David" w:hAnsi="David" w:cs="David"/>
        </w:rPr>
      </w:pPr>
    </w:p>
    <w:p w14:paraId="272BE2A9" w14:textId="77777777" w:rsidR="00D3378D" w:rsidRDefault="00121947" w:rsidP="00D3378D">
      <w:pPr>
        <w:pStyle w:val="a9"/>
        <w:spacing w:line="360" w:lineRule="auto"/>
        <w:jc w:val="both"/>
        <w:rPr>
          <w:rtl/>
        </w:rPr>
      </w:pPr>
      <w:hyperlink r:id="rId17" w:history="1">
        <w:r w:rsidRPr="00121947">
          <w:rPr>
            <w:color w:val="0000FF"/>
            <w:u w:val="single"/>
            <w:rtl/>
          </w:rPr>
          <w:t>ע"פ 1817/24</w:t>
        </w:r>
      </w:hyperlink>
      <w:r w:rsidR="00D3378D">
        <w:rPr>
          <w:rFonts w:hint="cs"/>
          <w:rtl/>
        </w:rPr>
        <w:t xml:space="preserve"> </w:t>
      </w:r>
      <w:r w:rsidR="00D3378D" w:rsidRPr="00E75393">
        <w:rPr>
          <w:rFonts w:hint="cs"/>
          <w:b/>
          <w:bCs/>
          <w:rtl/>
        </w:rPr>
        <w:t xml:space="preserve">טארק גבן נ. מדינת ישראל </w:t>
      </w:r>
      <w:r w:rsidR="00D3378D">
        <w:rPr>
          <w:rFonts w:hint="cs"/>
          <w:rtl/>
        </w:rPr>
        <w:t xml:space="preserve"> (15.01.2025) בין המערער לאביו פרץ סכסוך על רקע התנגדותו של אביו לקשר עם אחד בשם יוסף. בעקבות הסכסוך ולמשך כשבועיים עזב המערער את בית אביו. בעקבות שיחה שניהל אביו של המערער עם אותו יוסף, במהלכה דרש מיוסף להתרחק מבנו, איים יוסף על האב ולאחר מכן התקשר למערער, וסיפר לו על השיחה עם אביו. בעקבות כך החליט המערער לירות בסמוך לבית אביו. הוא נטל תת מקלע מאולתר מסוג קרלו, הגיע ליד בית אביו וירה כשמונה יריות באוויר במטרה להפחיד את אביו. בעקבות תלונה שהתקבלה במשטרה על הירי, כוח משטרתי הגיע למגרש משאיות, שם שהה המערער. המערער ויוסף, שהיו אותה עת יחדיו, ניסו להימלט אך נתפסו על ידי המשטרה לאחר מרדף. המערער כפר בכתב האישום שהוגשם נגדו, ולאחר ניהול הוכחות, הורשע בעבירות של הובלה ונשיאת נשק; ירי באזור מגורים; איומים; והפרעה לשוטר במילוי תפקידו – עבירות בהתאמה לפי </w:t>
      </w:r>
      <w:hyperlink r:id="rId18" w:history="1">
        <w:r w:rsidR="000E2A37" w:rsidRPr="000E2A37">
          <w:rPr>
            <w:rStyle w:val="Hyperlink"/>
            <w:rFonts w:hint="eastAsia"/>
            <w:color w:val="0000FF"/>
            <w:rtl/>
          </w:rPr>
          <w:t>סעיפים</w:t>
        </w:r>
        <w:r w:rsidR="000E2A37" w:rsidRPr="000E2A37">
          <w:rPr>
            <w:rStyle w:val="Hyperlink"/>
            <w:color w:val="0000FF"/>
            <w:rtl/>
          </w:rPr>
          <w:t xml:space="preserve"> 144(ב)</w:t>
        </w:r>
      </w:hyperlink>
      <w:r w:rsidR="00D3378D">
        <w:rPr>
          <w:rFonts w:hint="cs"/>
          <w:rtl/>
        </w:rPr>
        <w:t xml:space="preserve"> רישא, </w:t>
      </w:r>
      <w:hyperlink r:id="rId19" w:history="1">
        <w:r w:rsidR="000E2A37" w:rsidRPr="000E2A37">
          <w:rPr>
            <w:rStyle w:val="Hyperlink"/>
            <w:color w:val="0000FF"/>
            <w:rtl/>
          </w:rPr>
          <w:t>340א(ב)(1),</w:t>
        </w:r>
      </w:hyperlink>
      <w:r w:rsidR="00D3378D">
        <w:rPr>
          <w:rFonts w:hint="cs"/>
          <w:rtl/>
        </w:rPr>
        <w:t xml:space="preserve"> </w:t>
      </w:r>
      <w:hyperlink r:id="rId20" w:history="1">
        <w:r w:rsidR="000E2A37" w:rsidRPr="000E2A37">
          <w:rPr>
            <w:rStyle w:val="Hyperlink"/>
            <w:color w:val="0000FF"/>
            <w:rtl/>
          </w:rPr>
          <w:t>192</w:t>
        </w:r>
      </w:hyperlink>
      <w:r w:rsidR="00D3378D">
        <w:rPr>
          <w:rFonts w:hint="cs"/>
          <w:rtl/>
        </w:rPr>
        <w:t xml:space="preserve"> ו-</w:t>
      </w:r>
      <w:hyperlink r:id="rId21" w:history="1">
        <w:r w:rsidR="000E2A37" w:rsidRPr="000E2A37">
          <w:rPr>
            <w:rStyle w:val="Hyperlink"/>
            <w:color w:val="0000FF"/>
            <w:rtl/>
          </w:rPr>
          <w:t>275</w:t>
        </w:r>
      </w:hyperlink>
      <w:r w:rsidR="00D3378D">
        <w:rPr>
          <w:rFonts w:hint="cs"/>
          <w:rtl/>
        </w:rPr>
        <w:t xml:space="preserve"> ל</w:t>
      </w:r>
      <w:hyperlink r:id="rId22" w:history="1">
        <w:r w:rsidRPr="00121947">
          <w:rPr>
            <w:color w:val="0000FF"/>
            <w:u w:val="single"/>
            <w:rtl/>
          </w:rPr>
          <w:t>חוק העונשין</w:t>
        </w:r>
      </w:hyperlink>
      <w:r w:rsidR="00D3378D">
        <w:rPr>
          <w:rFonts w:hint="cs"/>
          <w:rtl/>
        </w:rPr>
        <w:t xml:space="preserve">, התשל"ז-1977. בית משפט קמא השית על המערער מאסר בפועל של 40 חודשים בניכוי ימי מעצרו; מאסר על תנאי של 9 חודשים למשך 3 שנים, שלא יעבור כל עבירה שקשורה בנשק חם או באלימות </w:t>
      </w:r>
      <w:r w:rsidR="00D3378D" w:rsidRPr="00BD0411">
        <w:rPr>
          <w:rFonts w:ascii="David" w:hAnsi="David"/>
          <w:rtl/>
        </w:rPr>
        <w:t>פיזית מסוג פשע; וקנס בסך 10,000 ש"ח או 3 חודשי מאסר תמורתו</w:t>
      </w:r>
      <w:r w:rsidR="00D3378D" w:rsidRPr="00BD0411">
        <w:rPr>
          <w:rFonts w:ascii="David" w:hAnsi="David"/>
        </w:rPr>
        <w:t>.</w:t>
      </w:r>
      <w:r w:rsidR="00D3378D" w:rsidRPr="00BD0411">
        <w:rPr>
          <w:rFonts w:ascii="David" w:hAnsi="David"/>
          <w:rtl/>
        </w:rPr>
        <w:t xml:space="preserve">העונש הופחת ל- </w:t>
      </w:r>
      <w:r w:rsidR="00D3378D" w:rsidRPr="00BD0411">
        <w:rPr>
          <w:rFonts w:ascii="David" w:hAnsi="David"/>
        </w:rPr>
        <w:t>28</w:t>
      </w:r>
      <w:r w:rsidR="00D3378D">
        <w:rPr>
          <w:rtl/>
        </w:rPr>
        <w:t xml:space="preserve"> </w:t>
      </w:r>
      <w:r w:rsidR="00D3378D">
        <w:rPr>
          <w:rFonts w:hint="cs"/>
          <w:rtl/>
        </w:rPr>
        <w:t xml:space="preserve">חודשי מאסר בניכוי ימי מעצרו. </w:t>
      </w:r>
    </w:p>
    <w:p w14:paraId="59A33972" w14:textId="77777777" w:rsidR="00D3378D" w:rsidRDefault="00D3378D" w:rsidP="00D3378D">
      <w:pPr>
        <w:spacing w:line="360" w:lineRule="auto"/>
        <w:ind w:left="720"/>
        <w:jc w:val="both"/>
        <w:rPr>
          <w:rtl/>
        </w:rPr>
      </w:pPr>
    </w:p>
    <w:p w14:paraId="65DFB243" w14:textId="77777777" w:rsidR="00D3378D" w:rsidRPr="00721234" w:rsidRDefault="00121947" w:rsidP="00D3378D">
      <w:pPr>
        <w:spacing w:line="360" w:lineRule="auto"/>
        <w:ind w:left="720"/>
        <w:jc w:val="both"/>
      </w:pPr>
      <w:hyperlink r:id="rId23" w:history="1">
        <w:r w:rsidRPr="00121947">
          <w:rPr>
            <w:color w:val="0000FF"/>
            <w:u w:val="single"/>
            <w:rtl/>
          </w:rPr>
          <w:t>ע"פ 502/24</w:t>
        </w:r>
      </w:hyperlink>
      <w:r w:rsidR="00D3378D" w:rsidRPr="00721234">
        <w:rPr>
          <w:rFonts w:hint="cs"/>
          <w:rtl/>
        </w:rPr>
        <w:t xml:space="preserve"> </w:t>
      </w:r>
      <w:r w:rsidR="00D3378D" w:rsidRPr="00721234">
        <w:rPr>
          <w:rFonts w:hint="cs"/>
          <w:b/>
          <w:bCs/>
          <w:rtl/>
        </w:rPr>
        <w:t xml:space="preserve">וג'יה חוסאם עודה נ' מדינת ישראל </w:t>
      </w:r>
      <w:r w:rsidR="00D3378D" w:rsidRPr="00721234">
        <w:rPr>
          <w:rFonts w:hint="cs"/>
          <w:rtl/>
        </w:rPr>
        <w:t>(04.11.24) המערער הואשם בביצוע עבירות של נשיאת נשק והובלתו; ירי מנשק חם; היזק בזדון; שינוי זהות של רכב</w:t>
      </w:r>
      <w:r w:rsidR="00D3378D" w:rsidRPr="00721234">
        <w:t xml:space="preserve">/ </w:t>
      </w:r>
      <w:r w:rsidR="00D3378D" w:rsidRPr="00721234">
        <w:rPr>
          <w:rFonts w:hint="cs"/>
          <w:rtl/>
        </w:rPr>
        <w:t xml:space="preserve">לפי כתב האישום, בלילה המערער החליף את לוחית הזיהוי של רכבו והתקין במקומה לוחית זיהוי מזויפת. בהמשך, סמוך לשעה 00:50, נהג ברכבו לכיוון ביתו של המתלונן כשהוא נושא כלי נשק, נכנס לשביל המוביל לבית, כאשר המתלונן ומשפחתו בבית, וירה מספר יריות הן לכיוון הבית הן לכיוון רכבו של המתלונן. כתוצאה מהירי הבית והמכונית אכן נפגעו. או אז, המערער נמלט מהמקום ברכבו עם הנשק. הוטל על המערער עונש מאסר בן ארבעים חודשים, וענישה נלוות. </w:t>
      </w:r>
    </w:p>
    <w:p w14:paraId="51C6AB1A" w14:textId="77777777" w:rsidR="00D3378D" w:rsidRDefault="00D3378D" w:rsidP="00D3378D">
      <w:pPr>
        <w:spacing w:line="360" w:lineRule="auto"/>
        <w:ind w:left="720"/>
        <w:jc w:val="both"/>
        <w:rPr>
          <w:rtl/>
        </w:rPr>
      </w:pPr>
    </w:p>
    <w:p w14:paraId="4D9EDA76" w14:textId="77777777" w:rsidR="00D3378D" w:rsidRDefault="00121947" w:rsidP="00D3378D">
      <w:pPr>
        <w:spacing w:line="360" w:lineRule="auto"/>
        <w:ind w:left="720"/>
        <w:jc w:val="both"/>
        <w:rPr>
          <w:rtl/>
        </w:rPr>
      </w:pPr>
      <w:hyperlink r:id="rId24" w:history="1">
        <w:r w:rsidRPr="00121947">
          <w:rPr>
            <w:color w:val="0000FF"/>
            <w:u w:val="single"/>
            <w:rtl/>
          </w:rPr>
          <w:t>ע"פ 7971/23</w:t>
        </w:r>
      </w:hyperlink>
      <w:r w:rsidR="00D3378D">
        <w:rPr>
          <w:rFonts w:hint="cs"/>
          <w:rtl/>
        </w:rPr>
        <w:t xml:space="preserve">, </w:t>
      </w:r>
      <w:hyperlink r:id="rId25" w:history="1">
        <w:r w:rsidRPr="00121947">
          <w:rPr>
            <w:color w:val="0000FF"/>
            <w:u w:val="single"/>
            <w:rtl/>
          </w:rPr>
          <w:t>ע"פ 9228/23</w:t>
        </w:r>
      </w:hyperlink>
      <w:r w:rsidR="00D3378D">
        <w:rPr>
          <w:rFonts w:hint="cs"/>
          <w:rtl/>
        </w:rPr>
        <w:t xml:space="preserve"> </w:t>
      </w:r>
      <w:r w:rsidR="00D3378D">
        <w:rPr>
          <w:rFonts w:hint="cs"/>
          <w:b/>
          <w:bCs/>
          <w:rtl/>
        </w:rPr>
        <w:t>מג'ד אגבאריה נ' מדינת ישראל</w:t>
      </w:r>
      <w:r w:rsidR="00D3378D">
        <w:rPr>
          <w:rFonts w:hint="cs"/>
          <w:rtl/>
        </w:rPr>
        <w:t xml:space="preserve">. (26.05.24) הנאשמים, שהם אחים, הורשעו על פי הודאתם – לאחר שחזרו בהם מכפירתם בעיצומה של פרשת התביעה – בביצוע בצוותא של נשיאה והובלה של נשק. על פי המתואר בכתב האישום, נסעו הנאשמים ברכב באום אל פחם, כאשר נאשם 1 נוהג ברכב, נאשם 2 יושב במושב הקדמי שלידו, ובן דודתם יושב במושב האחורי. באותה עת נשאו הנאשמים והובילו ברכב, בצוותא חדא, תיק בד שחור שהיה חבוי סמוך לרגליו של נאשם 2, ובו תת מקלע מאולתר טעון במחסנית שבתוכה עשרה כדורים, וכדור נוסף בבית הבליעה של הנשק. עוד נמצאו באותו תיק, קפיץ ופין נעילה מכסה אחורי שיחד עם הנשק בכוחם להמית אדם, וכן שקית ובה תשעה כדורים, כפפה שחורה וכפייה. בין מושבי הרכב נמצא גם כובע גרב שחור ובו פתחים לעיניים. בשלב מסוים נעצר הרכב לבדיקה על-ידי ניידת משטרה, ובחיפוש שנערך בו נתפסו הנשק, אביזריו והתחמושת כפי שתוארה לעיל. משהבחין נאשם 2 בשוטרים, הטמין את פין הנעילה בתחתוניו </w:t>
      </w:r>
      <w:r w:rsidR="00D3378D" w:rsidRPr="00693D34">
        <w:rPr>
          <w:rFonts w:hint="cs"/>
          <w:rtl/>
        </w:rPr>
        <w:t>– וזה נתפס בחיפוש שנערך בתחנת המשטרה. נקבע מתחם ענישה של 14 עד 24 חודשי מאסר בפועל בעניינו של נאשם 1 ומתחם ענישה של 24 עד 48 חודשי מאסר בפועל בעניינו של נאשם 2. גזר בית המשפט המחוזי על נאשם 1 עונש של 14 חודשי מאסר בפועל, על נאשם 2</w:t>
      </w:r>
      <w:r w:rsidR="00D3378D">
        <w:rPr>
          <w:rFonts w:hint="cs"/>
          <w:rtl/>
        </w:rPr>
        <w:t xml:space="preserve"> גזר עונש של 24 חודשי מאסר בפועל. עונשם של שני הנאשמים הועמד על 32 חודשי מאסר בפועל. </w:t>
      </w:r>
    </w:p>
    <w:p w14:paraId="622FCEC9" w14:textId="77777777" w:rsidR="00D3378D" w:rsidRDefault="00D3378D" w:rsidP="00D3378D">
      <w:pPr>
        <w:spacing w:line="360" w:lineRule="auto"/>
        <w:ind w:left="720"/>
        <w:jc w:val="both"/>
        <w:rPr>
          <w:rtl/>
        </w:rPr>
      </w:pPr>
    </w:p>
    <w:p w14:paraId="5F1CE0C4" w14:textId="77777777" w:rsidR="00D3378D" w:rsidRDefault="00121947" w:rsidP="00D3378D">
      <w:pPr>
        <w:spacing w:line="360" w:lineRule="auto"/>
        <w:ind w:left="720"/>
        <w:jc w:val="both"/>
      </w:pPr>
      <w:hyperlink r:id="rId26" w:history="1">
        <w:r w:rsidRPr="00121947">
          <w:rPr>
            <w:color w:val="0000FF"/>
            <w:u w:val="single"/>
            <w:rtl/>
          </w:rPr>
          <w:t>ע"פ 8617/23</w:t>
        </w:r>
      </w:hyperlink>
      <w:r w:rsidR="00D3378D">
        <w:rPr>
          <w:rFonts w:hint="cs"/>
          <w:rtl/>
        </w:rPr>
        <w:t xml:space="preserve"> </w:t>
      </w:r>
      <w:r w:rsidR="00D3378D">
        <w:rPr>
          <w:rFonts w:hint="cs"/>
          <w:b/>
          <w:bCs/>
          <w:rtl/>
        </w:rPr>
        <w:t>פלוני נ'  מדינת ישראל</w:t>
      </w:r>
      <w:r w:rsidR="00D3378D">
        <w:rPr>
          <w:rFonts w:hint="cs"/>
          <w:rtl/>
        </w:rPr>
        <w:t xml:space="preserve"> (09.07.24)  על פי כתב האישום נהג המערער ברכבו, כשרישיונו נפסל, בעודו נושא, שלא כדין, אקדח חצי-אוטומטי ומחסנית. במהלך נסיעתו נעצר המערער על-ידי כוח בילוש של המשטרה, ובניסיון למנוע את מעצרו דחף שניים משוטרי הכוח. הורשע בעבירות של נשיאה</w:t>
      </w:r>
      <w:r w:rsidR="00D3378D">
        <w:rPr>
          <w:rFonts w:hint="cs"/>
        </w:rPr>
        <w:t xml:space="preserve"> </w:t>
      </w:r>
      <w:r w:rsidR="00D3378D">
        <w:rPr>
          <w:rFonts w:hint="cs"/>
          <w:rtl/>
        </w:rPr>
        <w:t>והובלת</w:t>
      </w:r>
      <w:r w:rsidR="00D3378D">
        <w:rPr>
          <w:rFonts w:hint="cs"/>
        </w:rPr>
        <w:t xml:space="preserve"> </w:t>
      </w:r>
      <w:r w:rsidR="00D3378D">
        <w:rPr>
          <w:rFonts w:hint="cs"/>
          <w:rtl/>
        </w:rPr>
        <w:t>נשק</w:t>
      </w:r>
      <w:r w:rsidR="00D3378D">
        <w:t xml:space="preserve">, </w:t>
      </w:r>
      <w:r w:rsidR="00D3378D">
        <w:rPr>
          <w:rFonts w:hint="cs"/>
          <w:rtl/>
        </w:rPr>
        <w:t>אבזר ותחמושת, נהיגה</w:t>
      </w:r>
      <w:r w:rsidR="00D3378D">
        <w:rPr>
          <w:rFonts w:hint="cs"/>
        </w:rPr>
        <w:t xml:space="preserve"> </w:t>
      </w:r>
      <w:r w:rsidR="00D3378D">
        <w:rPr>
          <w:rFonts w:hint="cs"/>
          <w:rtl/>
        </w:rPr>
        <w:t>בזמן פסילה, תקיפת</w:t>
      </w:r>
      <w:r w:rsidR="00D3378D">
        <w:rPr>
          <w:rFonts w:hint="cs"/>
        </w:rPr>
        <w:t xml:space="preserve"> </w:t>
      </w:r>
      <w:r w:rsidR="00D3378D">
        <w:rPr>
          <w:rFonts w:hint="cs"/>
          <w:rtl/>
        </w:rPr>
        <w:t>שוטר בנסיבות</w:t>
      </w:r>
      <w:r w:rsidR="00D3378D">
        <w:rPr>
          <w:rFonts w:hint="cs"/>
        </w:rPr>
        <w:t xml:space="preserve"> </w:t>
      </w:r>
      <w:r w:rsidR="00D3378D">
        <w:rPr>
          <w:rFonts w:hint="cs"/>
          <w:rtl/>
        </w:rPr>
        <w:t>מחמירות, נהיגה ללא</w:t>
      </w:r>
      <w:r w:rsidR="00D3378D">
        <w:rPr>
          <w:rFonts w:hint="cs"/>
        </w:rPr>
        <w:t xml:space="preserve"> </w:t>
      </w:r>
      <w:r w:rsidR="00D3378D">
        <w:rPr>
          <w:rFonts w:hint="cs"/>
          <w:rtl/>
        </w:rPr>
        <w:t>רישיון</w:t>
      </w:r>
      <w:r w:rsidR="00D3378D">
        <w:rPr>
          <w:rFonts w:hint="cs"/>
        </w:rPr>
        <w:t xml:space="preserve"> </w:t>
      </w:r>
      <w:r w:rsidR="00D3378D">
        <w:rPr>
          <w:rFonts w:hint="cs"/>
          <w:rtl/>
        </w:rPr>
        <w:t>נהיגה</w:t>
      </w:r>
      <w:r w:rsidR="00D3378D">
        <w:rPr>
          <w:rFonts w:hint="cs"/>
        </w:rPr>
        <w:t xml:space="preserve"> </w:t>
      </w:r>
      <w:r w:rsidR="00D3378D">
        <w:rPr>
          <w:rFonts w:hint="cs"/>
          <w:rtl/>
        </w:rPr>
        <w:t>תקף</w:t>
      </w:r>
      <w:r w:rsidR="00D3378D">
        <w:rPr>
          <w:rFonts w:hint="cs"/>
        </w:rPr>
        <w:t xml:space="preserve"> </w:t>
      </w:r>
      <w:r w:rsidR="00D3378D">
        <w:rPr>
          <w:rFonts w:hint="cs"/>
          <w:rtl/>
        </w:rPr>
        <w:t>ונהיגה ללא</w:t>
      </w:r>
      <w:r w:rsidR="00D3378D">
        <w:rPr>
          <w:rFonts w:hint="cs"/>
        </w:rPr>
        <w:t xml:space="preserve"> </w:t>
      </w:r>
      <w:r w:rsidR="00D3378D">
        <w:rPr>
          <w:rFonts w:hint="cs"/>
          <w:rtl/>
        </w:rPr>
        <w:t>פוליסת</w:t>
      </w:r>
      <w:r w:rsidR="00D3378D">
        <w:rPr>
          <w:rFonts w:hint="cs"/>
        </w:rPr>
        <w:t xml:space="preserve"> </w:t>
      </w:r>
      <w:r w:rsidR="00D3378D">
        <w:rPr>
          <w:rFonts w:hint="cs"/>
          <w:rtl/>
        </w:rPr>
        <w:t>ביטוח. נקבע מתחם ענישה נע בין 25 ל- 50 חודשי מאסר. נדון ל- 40 חודשי מאסר לריצוי בפועל וענישה נלוות. הערעור נדחה.</w:t>
      </w:r>
    </w:p>
    <w:p w14:paraId="71E7A0AF" w14:textId="77777777" w:rsidR="00D3378D" w:rsidRDefault="00D3378D" w:rsidP="00D3378D">
      <w:pPr>
        <w:spacing w:line="360" w:lineRule="auto"/>
        <w:ind w:left="720"/>
        <w:jc w:val="both"/>
        <w:rPr>
          <w:color w:val="000000"/>
          <w:shd w:val="clear" w:color="auto" w:fill="FFFFFF"/>
          <w:rtl/>
        </w:rPr>
      </w:pPr>
    </w:p>
    <w:p w14:paraId="5E0C3F7A" w14:textId="77777777" w:rsidR="00D3378D" w:rsidRDefault="00121947" w:rsidP="00D3378D">
      <w:pPr>
        <w:spacing w:line="360" w:lineRule="auto"/>
        <w:ind w:left="720"/>
        <w:jc w:val="both"/>
        <w:rPr>
          <w:color w:val="000000"/>
          <w:shd w:val="clear" w:color="auto" w:fill="FFFFFF"/>
        </w:rPr>
      </w:pPr>
      <w:hyperlink r:id="rId27" w:history="1">
        <w:r w:rsidRPr="00121947">
          <w:rPr>
            <w:color w:val="0000FF"/>
            <w:u w:val="single"/>
            <w:shd w:val="clear" w:color="auto" w:fill="FFFFFF"/>
            <w:rtl/>
          </w:rPr>
          <w:t>ע"פ 3851/23</w:t>
        </w:r>
      </w:hyperlink>
      <w:r w:rsidR="00D3378D">
        <w:rPr>
          <w:rFonts w:hint="cs"/>
          <w:color w:val="000000"/>
          <w:shd w:val="clear" w:color="auto" w:fill="FFFFFF"/>
          <w:rtl/>
        </w:rPr>
        <w:t xml:space="preserve"> </w:t>
      </w:r>
      <w:r w:rsidR="00D3378D">
        <w:rPr>
          <w:rFonts w:hint="cs"/>
          <w:b/>
          <w:bCs/>
          <w:color w:val="000000"/>
          <w:shd w:val="clear" w:color="auto" w:fill="FFFFFF"/>
          <w:rtl/>
        </w:rPr>
        <w:t>בוהדנה נ' מדינת ישראל</w:t>
      </w:r>
      <w:r w:rsidR="00D3378D">
        <w:rPr>
          <w:rFonts w:hint="cs"/>
          <w:color w:val="000000"/>
          <w:shd w:val="clear" w:color="auto" w:fill="FFFFFF"/>
          <w:rtl/>
        </w:rPr>
        <w:t xml:space="preserve"> (13.6.2023) - המערער </w:t>
      </w:r>
      <w:r w:rsidR="00D3378D">
        <w:rPr>
          <w:rFonts w:hint="cs"/>
          <w:rtl/>
        </w:rPr>
        <w:t xml:space="preserve">הורשע על יסוד הודאתו במסגרת הסדר טיעון בעבירות של החזקה, נשיאה והובלה של נשק ובעבירת החזקת סם מסוכן לצריכה עצמית. על פי עובדות כתב האישום המתוקן המערער נסע ברכב במושב שליד הנהג, הרכב נעצר על ידי שוטרים כשהמערער מחזיק, נושא ומוביל אקדח מסוג </w:t>
      </w:r>
      <w:r w:rsidR="00D3378D">
        <w:t>ZAGROS</w:t>
      </w:r>
      <w:r w:rsidR="00D3378D">
        <w:rPr>
          <w:rFonts w:hint="cs"/>
          <w:rtl/>
        </w:rPr>
        <w:t xml:space="preserve"> תוצרת אזרבייג'ן, מודל </w:t>
      </w:r>
      <w:r w:rsidR="00D3378D">
        <w:t>K-16</w:t>
      </w:r>
      <w:r w:rsidR="00D3378D">
        <w:rPr>
          <w:rFonts w:hint="cs"/>
          <w:rtl/>
        </w:rPr>
        <w:t xml:space="preserve"> קליבר 9 מ"מ ובתוכו מחסנית תואמת שהכילה 15 כדורים. האקדח היה צמוד למערער ברווח שבין המושב שליד הנהג לבין ידית ההילוכים. במהלך מעצרו נמצאו עליו סם מסוכן מסוג חשיש בכמות של 2.87 גרם נטו וכן, סם מסוכן מסוג קנבוס בכמות של 0.55 גרם נטו. בית המשפט המחוזי קבע </w:t>
      </w:r>
      <w:r w:rsidR="00D3378D">
        <w:rPr>
          <w:rFonts w:hint="cs"/>
          <w:b/>
          <w:bCs/>
          <w:rtl/>
        </w:rPr>
        <w:t>מתחם הנע בין 30 ל-48 חודשי מאסר</w:t>
      </w:r>
      <w:r w:rsidR="00D3378D">
        <w:rPr>
          <w:rFonts w:hint="cs"/>
          <w:rtl/>
        </w:rPr>
        <w:t xml:space="preserve"> וגזר עליו 42 חודשי מאסר לצד ענישה נלווית.</w:t>
      </w:r>
      <w:r w:rsidR="00D3378D">
        <w:rPr>
          <w:rFonts w:hint="cs"/>
          <w:color w:val="000000"/>
          <w:shd w:val="clear" w:color="auto" w:fill="FFFFFF"/>
          <w:rtl/>
        </w:rPr>
        <w:t xml:space="preserve"> ערעורו לבית המשפט העליון נדחה.</w:t>
      </w:r>
    </w:p>
    <w:p w14:paraId="16EC065C" w14:textId="77777777" w:rsidR="00D3378D" w:rsidRDefault="00D3378D" w:rsidP="00D3378D">
      <w:pPr>
        <w:spacing w:line="360" w:lineRule="auto"/>
        <w:ind w:left="720"/>
        <w:jc w:val="both"/>
        <w:rPr>
          <w:rtl/>
        </w:rPr>
      </w:pPr>
    </w:p>
    <w:p w14:paraId="77BCC57E" w14:textId="77777777" w:rsidR="00D3378D" w:rsidRDefault="00121947" w:rsidP="00D3378D">
      <w:pPr>
        <w:spacing w:line="360" w:lineRule="auto"/>
        <w:ind w:left="720"/>
        <w:jc w:val="both"/>
        <w:rPr>
          <w:rtl/>
        </w:rPr>
      </w:pPr>
      <w:hyperlink r:id="rId28" w:history="1">
        <w:r w:rsidRPr="00121947">
          <w:rPr>
            <w:color w:val="0000FF"/>
            <w:u w:val="single"/>
            <w:rtl/>
          </w:rPr>
          <w:t>ע"פ 5856/22</w:t>
        </w:r>
      </w:hyperlink>
      <w:r>
        <w:rPr>
          <w:rFonts w:hint="cs"/>
          <w:b/>
          <w:bCs/>
          <w:rtl/>
        </w:rPr>
        <w:t xml:space="preserve"> </w:t>
      </w:r>
      <w:r w:rsidR="00D3378D" w:rsidRPr="00CE6957">
        <w:rPr>
          <w:rFonts w:hint="cs"/>
          <w:b/>
          <w:bCs/>
          <w:rtl/>
        </w:rPr>
        <w:t xml:space="preserve"> טאיע סויטאת נ' מדינת ישראל</w:t>
      </w:r>
      <w:r w:rsidR="00D3378D" w:rsidRPr="00CE6957">
        <w:rPr>
          <w:rFonts w:hint="cs"/>
          <w:rtl/>
        </w:rPr>
        <w:t xml:space="preserve"> (21.03.23) הורשע המערער בכך שנסע עם אדם אחר כשהוא נושא אקדח מסוג</w:t>
      </w:r>
      <w:r>
        <w:rPr>
          <w:rFonts w:hint="cs"/>
          <w:rtl/>
        </w:rPr>
        <w:t xml:space="preserve"> </w:t>
      </w:r>
      <w:r w:rsidR="00D3378D" w:rsidRPr="00CE6957">
        <w:t>FN</w:t>
      </w:r>
      <w:r>
        <w:rPr>
          <w:rFonts w:hint="cs"/>
          <w:rtl/>
        </w:rPr>
        <w:t xml:space="preserve"> </w:t>
      </w:r>
      <w:r w:rsidR="00D3378D" w:rsidRPr="00CE6957">
        <w:rPr>
          <w:rFonts w:hint="cs"/>
          <w:rtl/>
        </w:rPr>
        <w:t>ובו מחסנית ריקה. כאשר הגיע הרכב למחסום משטרתי הנהג עצר את הרכב, המערער יצא מהרכב והחל להימלט מהמקום ובחלוף מרדף קצר, שבמהלכו השליך את האקדח, נתפס. בגין כך הורשע המערער בעבירות של נשיאה והובלת נשק שלא כדין; נשיאה והובלת אביזר לנשק שלא כדין; והפרעה לשוטר בשעת מילוי תפקידו, על המערער נגזרו, בין היתר, 28 חודשי מאסר בפועל.</w:t>
      </w:r>
      <w:r>
        <w:rPr>
          <w:rFonts w:hint="cs"/>
          <w:rtl/>
        </w:rPr>
        <w:t xml:space="preserve"> </w:t>
      </w:r>
      <w:r w:rsidR="00D3378D" w:rsidRPr="00CE6957">
        <w:rPr>
          <w:rFonts w:hint="cs"/>
          <w:rtl/>
        </w:rPr>
        <w:t>הערעור נדחה.</w:t>
      </w:r>
    </w:p>
    <w:p w14:paraId="1FF17D51" w14:textId="77777777" w:rsidR="00D3378D" w:rsidRDefault="00D3378D" w:rsidP="00D3378D">
      <w:pPr>
        <w:spacing w:line="360" w:lineRule="auto"/>
        <w:ind w:left="720"/>
        <w:jc w:val="both"/>
        <w:rPr>
          <w:rtl/>
        </w:rPr>
      </w:pPr>
    </w:p>
    <w:p w14:paraId="0E6160B9" w14:textId="77777777" w:rsidR="00D3378D" w:rsidRDefault="00121947" w:rsidP="00D3378D">
      <w:pPr>
        <w:spacing w:line="360" w:lineRule="auto"/>
        <w:ind w:left="720"/>
        <w:jc w:val="both"/>
        <w:rPr>
          <w:rtl/>
        </w:rPr>
      </w:pPr>
      <w:hyperlink r:id="rId29" w:history="1">
        <w:r w:rsidRPr="00121947">
          <w:rPr>
            <w:color w:val="0000FF"/>
            <w:u w:val="single"/>
            <w:rtl/>
          </w:rPr>
          <w:t>ע"פ 4303/22</w:t>
        </w:r>
      </w:hyperlink>
      <w:r w:rsidR="00D3378D">
        <w:rPr>
          <w:rFonts w:hint="cs"/>
          <w:b/>
          <w:bCs/>
          <w:rtl/>
        </w:rPr>
        <w:t xml:space="preserve"> ‏אמיר אבו גאנם נ' מדינת ישראל</w:t>
      </w:r>
      <w:r w:rsidR="00D3378D">
        <w:rPr>
          <w:rFonts w:hint="cs"/>
          <w:rtl/>
        </w:rPr>
        <w:t xml:space="preserve"> (06.12.22)</w:t>
      </w:r>
      <w:r w:rsidR="00D3378D">
        <w:rPr>
          <w:rFonts w:hint="cs"/>
          <w:color w:val="000000"/>
          <w:spacing w:val="10"/>
          <w:sz w:val="14"/>
          <w:szCs w:val="14"/>
        </w:rPr>
        <w:t xml:space="preserve"> </w:t>
      </w:r>
      <w:r>
        <w:t xml:space="preserve"> </w:t>
      </w:r>
      <w:r w:rsidR="00D3378D">
        <w:rPr>
          <w:rFonts w:hint="cs"/>
          <w:rtl/>
        </w:rPr>
        <w:t xml:space="preserve">המערער הורשע על פי הודאתו בעובדות כתב אישום מתוקן במסגרת הסדר טיעון, בעבירה של הובלה ונשיאת נשק. כמפורט בכתב האישום, נסע המערער יחד עם אחר אשר נהג ברכב בבעלות המערער, בכביש 6 לכיוון דרום. בסמוך לשמורת פורה נעצר המערער על ידי המשטרה כאשר אקדח חצי אוטומטי </w:t>
      </w:r>
      <w:r w:rsidR="00D3378D" w:rsidRPr="003A06F0">
        <w:rPr>
          <w:rFonts w:ascii="David" w:hAnsi="David"/>
          <w:rtl/>
        </w:rPr>
        <w:t>מסוג</w:t>
      </w:r>
      <w:r>
        <w:rPr>
          <w:rFonts w:ascii="David" w:hAnsi="David"/>
          <w:rtl/>
        </w:rPr>
        <w:t xml:space="preserve"> </w:t>
      </w:r>
      <w:r w:rsidR="00D3378D" w:rsidRPr="00210940">
        <w:rPr>
          <w:rFonts w:ascii="David" w:hAnsi="David"/>
          <w:sz w:val="20"/>
          <w:szCs w:val="20"/>
        </w:rPr>
        <w:t>D.D.G</w:t>
      </w:r>
      <w:r>
        <w:rPr>
          <w:rFonts w:ascii="David" w:hAnsi="David"/>
        </w:rPr>
        <w:t xml:space="preserve"> </w:t>
      </w:r>
      <w:r w:rsidR="00D3378D" w:rsidRPr="003A06F0">
        <w:rPr>
          <w:rFonts w:ascii="David" w:hAnsi="David"/>
          <w:rtl/>
        </w:rPr>
        <w:t xml:space="preserve"> קליבר 9 מ"מ פרבלום, שהוא כלי נשק יורה ובכוחו להמית ובתוכו מחסנית</w:t>
      </w:r>
      <w:r w:rsidR="00D3378D">
        <w:rPr>
          <w:rFonts w:hint="cs"/>
          <w:rtl/>
        </w:rPr>
        <w:t xml:space="preserve"> ריקה המתאימה לאקדח, מוסלקים בבד תקרת הרכב מעל מושב הנוסע. מאסר בפועל לתקופה של 31 חודשים תוך הפעלת מאסר על תנאי לתקופה של 12 חודשים בחופף וענישה נלוות. הערעור נדחה.</w:t>
      </w:r>
    </w:p>
    <w:p w14:paraId="48C859F2" w14:textId="77777777" w:rsidR="00D3378D" w:rsidRDefault="00D3378D" w:rsidP="00D3378D">
      <w:pPr>
        <w:spacing w:line="360" w:lineRule="auto"/>
        <w:ind w:left="720"/>
        <w:jc w:val="both"/>
      </w:pPr>
    </w:p>
    <w:p w14:paraId="492F705B" w14:textId="77777777" w:rsidR="00D3378D" w:rsidRPr="00210940" w:rsidRDefault="00121947" w:rsidP="00D3378D">
      <w:pPr>
        <w:spacing w:line="360" w:lineRule="auto"/>
        <w:ind w:left="720"/>
        <w:jc w:val="both"/>
      </w:pPr>
      <w:hyperlink r:id="rId30" w:history="1">
        <w:r w:rsidRPr="00121947">
          <w:rPr>
            <w:color w:val="0000FF"/>
            <w:u w:val="single"/>
            <w:rtl/>
          </w:rPr>
          <w:t>ע"פ 5602/22</w:t>
        </w:r>
      </w:hyperlink>
      <w:r w:rsidR="00D3378D" w:rsidRPr="00210940">
        <w:rPr>
          <w:rFonts w:hint="cs"/>
          <w:rtl/>
        </w:rPr>
        <w:t xml:space="preserve"> </w:t>
      </w:r>
      <w:r w:rsidR="00D3378D" w:rsidRPr="00210940">
        <w:rPr>
          <w:rFonts w:hint="cs"/>
          <w:b/>
          <w:bCs/>
          <w:rtl/>
        </w:rPr>
        <w:t>מדינת ישראל נ' פלוני</w:t>
      </w:r>
      <w:r w:rsidR="00D3378D" w:rsidRPr="00210940">
        <w:rPr>
          <w:rFonts w:hint="cs"/>
          <w:rtl/>
        </w:rPr>
        <w:t xml:space="preserve"> (14.09.2022) - הנאשם הורשע על יסוד הודאתו במסגרת הסדר טיעון בעבירות של נשיאת נשק (לפי </w:t>
      </w:r>
      <w:hyperlink r:id="rId31" w:history="1">
        <w:r w:rsidR="000E2A37" w:rsidRPr="000E2A37">
          <w:rPr>
            <w:rStyle w:val="Hyperlink"/>
            <w:rFonts w:hint="eastAsia"/>
            <w:color w:val="0000FF"/>
            <w:rtl/>
          </w:rPr>
          <w:t>סעיף</w:t>
        </w:r>
        <w:r w:rsidR="000E2A37" w:rsidRPr="000E2A37">
          <w:rPr>
            <w:rStyle w:val="Hyperlink"/>
            <w:color w:val="0000FF"/>
            <w:rtl/>
          </w:rPr>
          <w:t xml:space="preserve"> 144(ב)</w:t>
        </w:r>
      </w:hyperlink>
      <w:r w:rsidR="00D3378D" w:rsidRPr="00210940">
        <w:rPr>
          <w:rFonts w:hint="cs"/>
          <w:rtl/>
        </w:rPr>
        <w:t xml:space="preserve"> רישא וסיפא, הפרעה לשוטר במילוי תפקידו ושהייה בישראל בניגוד לחוק. הנאשם תושב ג'נין שאינו מורשה כניסה לישראל, שהה ברכב אשר נסע ברחבי העיר אום אל פאחם כשהוא נושא על גופו אקדח חצי אוטומטי עם מחסנית וכדורים תואמים. כשנהג הרכב התבקש לעצור לבדיקת שוטרים, יצא הנאשם מהרכב כשהוא נושא עמו את הנשר והחל להימלט, כשנתפס נאבק בשוטר. בית המשפט המחוזי קבע בעניינו מתחם הנע בין 16 ל-40 חודשי מאסר והטיל עליו עונש של 18 חודשים לצד ענישה נלווית. בית המשפט העליון קבע כי </w:t>
      </w:r>
      <w:r w:rsidR="00D3378D" w:rsidRPr="00210940">
        <w:rPr>
          <w:rFonts w:hint="cs"/>
          <w:b/>
          <w:bCs/>
          <w:rtl/>
        </w:rPr>
        <w:t>"בית משפט שמקל בעונשו של עבריין נשק מכביד על החברה שנאלצת להגן על עצמה -על כל בניה ובנותיה - מעברייני נשק</w:t>
      </w:r>
      <w:r w:rsidR="00D3378D" w:rsidRPr="00210940">
        <w:rPr>
          <w:rFonts w:hint="cs"/>
          <w:rtl/>
        </w:rPr>
        <w:t xml:space="preserve">" וכי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לאור האמור, ומשום שערכאת הערעור אינה ממצה את הדין, החמיר בית המשפט העליון את עונשו ל28 חודשי מאסר. </w:t>
      </w:r>
    </w:p>
    <w:p w14:paraId="3BF62BED" w14:textId="77777777" w:rsidR="00D3378D" w:rsidRDefault="00D3378D" w:rsidP="00D3378D">
      <w:pPr>
        <w:spacing w:line="360" w:lineRule="auto"/>
        <w:rPr>
          <w:rtl/>
        </w:rPr>
      </w:pPr>
    </w:p>
    <w:p w14:paraId="6DFFE6E8" w14:textId="77777777" w:rsidR="00D3378D" w:rsidRDefault="00D3378D" w:rsidP="00D3378D">
      <w:pPr>
        <w:spacing w:line="360" w:lineRule="auto"/>
        <w:rPr>
          <w:rtl/>
        </w:rPr>
      </w:pPr>
    </w:p>
    <w:p w14:paraId="0D4A3AE2" w14:textId="77777777" w:rsidR="00D3378D" w:rsidRPr="00210940" w:rsidRDefault="00D3378D" w:rsidP="00D3378D">
      <w:pPr>
        <w:spacing w:line="360" w:lineRule="auto"/>
        <w:rPr>
          <w:rtl/>
        </w:rPr>
      </w:pPr>
    </w:p>
    <w:p w14:paraId="73C1B974" w14:textId="77777777" w:rsidR="00D3378D" w:rsidRDefault="00D3378D" w:rsidP="00D3378D">
      <w:pPr>
        <w:snapToGrid w:val="0"/>
        <w:spacing w:line="360" w:lineRule="auto"/>
        <w:ind w:left="720" w:hanging="720"/>
        <w:jc w:val="both"/>
        <w:rPr>
          <w:lang w:eastAsia="he-IL"/>
        </w:rPr>
      </w:pPr>
      <w:r>
        <w:rPr>
          <w:rFonts w:hint="cs"/>
          <w:rtl/>
          <w:lang w:eastAsia="he-IL"/>
        </w:rPr>
        <w:t>9.</w:t>
      </w:r>
      <w:r>
        <w:rPr>
          <w:rtl/>
          <w:lang w:eastAsia="he-IL"/>
        </w:rPr>
        <w:tab/>
        <w:t xml:space="preserve">בהתאם לסעיף </w:t>
      </w:r>
      <w:hyperlink r:id="rId32" w:history="1">
        <w:r w:rsidR="000E2A37" w:rsidRPr="000E2A37">
          <w:rPr>
            <w:rStyle w:val="Hyperlink"/>
            <w:color w:val="0000FF"/>
            <w:rtl/>
            <w:lang w:eastAsia="he-IL"/>
          </w:rPr>
          <w:t>40 ג(א)</w:t>
        </w:r>
      </w:hyperlink>
      <w:r>
        <w:rPr>
          <w:rtl/>
          <w:lang w:eastAsia="he-IL"/>
        </w:rPr>
        <w:t xml:space="preserve"> ל</w:t>
      </w:r>
      <w:hyperlink r:id="rId33" w:history="1">
        <w:r w:rsidR="00121947" w:rsidRPr="00121947">
          <w:rPr>
            <w:color w:val="0000FF"/>
            <w:u w:val="single"/>
            <w:rtl/>
            <w:lang w:eastAsia="he-IL"/>
          </w:rPr>
          <w:t>חוק העונשין</w:t>
        </w:r>
      </w:hyperlink>
      <w:r>
        <w:rPr>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w:t>
      </w:r>
      <w:r>
        <w:rPr>
          <w:rFonts w:hint="cs"/>
          <w:rtl/>
          <w:lang w:eastAsia="he-IL"/>
        </w:rPr>
        <w:t xml:space="preserve">במקרה הנוכחי לא ניתן להתעלם מהעובדה כי הנשק אכן נישא ע"י הנאשם אולם הוא הועבר לידיו זמן קצר לאחר שבעליו החוקי איבד אותו ערב קודם לנשיאת הנשק. בנוסף לא ניתן להתעלם מהעובדה כי בנשק היה מונח כדור בצורה הפוכה דבר שמנע את השימוש בנשק באופן מידי. </w:t>
      </w:r>
      <w:r>
        <w:rPr>
          <w:rtl/>
          <w:lang w:eastAsia="he-IL"/>
        </w:rPr>
        <w:t xml:space="preserve">סבורני כי מתחם העונש ההולם בגין האירוע הוא </w:t>
      </w:r>
      <w:r>
        <w:rPr>
          <w:rFonts w:hint="cs"/>
          <w:rtl/>
          <w:lang w:eastAsia="he-IL"/>
        </w:rPr>
        <w:t>28-42 חודשי מאסר</w:t>
      </w:r>
      <w:r>
        <w:rPr>
          <w:rtl/>
          <w:lang w:eastAsia="he-IL"/>
        </w:rPr>
        <w:t>.</w:t>
      </w:r>
    </w:p>
    <w:p w14:paraId="69F490AC" w14:textId="77777777" w:rsidR="00D3378D" w:rsidRDefault="00D3378D" w:rsidP="00D3378D">
      <w:pPr>
        <w:snapToGrid w:val="0"/>
        <w:spacing w:line="360" w:lineRule="auto"/>
        <w:jc w:val="both"/>
        <w:rPr>
          <w:lang w:eastAsia="he-IL"/>
        </w:rPr>
      </w:pPr>
    </w:p>
    <w:p w14:paraId="665F084C" w14:textId="77777777" w:rsidR="00D3378D" w:rsidRPr="00983EF6" w:rsidRDefault="00D3378D" w:rsidP="00D3378D">
      <w:pPr>
        <w:spacing w:line="360" w:lineRule="auto"/>
        <w:ind w:left="720" w:hanging="720"/>
        <w:jc w:val="both"/>
        <w:rPr>
          <w:lang w:eastAsia="he-IL"/>
        </w:rPr>
      </w:pPr>
      <w:r>
        <w:rPr>
          <w:rFonts w:hint="cs"/>
          <w:rtl/>
          <w:lang w:eastAsia="he-IL"/>
        </w:rPr>
        <w:t>10.</w:t>
      </w:r>
      <w:r>
        <w:rPr>
          <w:rtl/>
          <w:lang w:eastAsia="he-IL"/>
        </w:rPr>
        <w:tab/>
      </w:r>
      <w:r w:rsidRPr="00983EF6">
        <w:rPr>
          <w:rtl/>
          <w:lang w:eastAsia="he-IL"/>
        </w:rPr>
        <w:t>רצידיביזם - עברו של הנאשם מכביד בהתחשב בגילו, 45 שנים. המרשם הפלילי כולל 12 רישומים, כשהראשון מהם משנת 1999 בגין עבירת תגרה. לאורך השנים צבר הנאשם הרשעות בעבירות בתחומי האלימות, הסדר הציבורי, הסמים והרכוש. הנאשם ריצה עונשי מאסר לתקופות שונות, המסתכמים בתקופה מצטברת של 51 חודשי מאסר. הרשעתו האחרונה של הנאשם מיום 6.12.22 הייתה בגין עבירה מיום 28.5.22 של החזקת נשק שלא כדין, שבגינה ריצה מאסר של 17 חודשים. ענישה זו לא הרתיעה אותו מביצוע העבירה הנוכחית</w:t>
      </w:r>
      <w:r w:rsidRPr="00983EF6">
        <w:rPr>
          <w:lang w:eastAsia="he-IL"/>
        </w:rPr>
        <w:t>.</w:t>
      </w:r>
    </w:p>
    <w:p w14:paraId="66CE4870" w14:textId="77777777" w:rsidR="00D3378D" w:rsidRDefault="00D3378D" w:rsidP="00D3378D">
      <w:pPr>
        <w:pStyle w:val="a9"/>
        <w:spacing w:line="360" w:lineRule="auto"/>
        <w:jc w:val="both"/>
        <w:rPr>
          <w:rtl/>
          <w:lang w:eastAsia="he-IL"/>
        </w:rPr>
      </w:pPr>
    </w:p>
    <w:p w14:paraId="12BDE20F" w14:textId="77777777" w:rsidR="00D3378D" w:rsidRDefault="00D3378D" w:rsidP="00D3378D">
      <w:pPr>
        <w:spacing w:line="360" w:lineRule="auto"/>
        <w:ind w:left="720" w:hanging="720"/>
        <w:jc w:val="both"/>
        <w:rPr>
          <w:rtl/>
          <w:lang w:eastAsia="he-IL"/>
        </w:rPr>
      </w:pPr>
      <w:r>
        <w:rPr>
          <w:rFonts w:hint="cs"/>
          <w:rtl/>
          <w:lang w:eastAsia="he-IL"/>
        </w:rPr>
        <w:t>11.</w:t>
      </w:r>
      <w:r>
        <w:rPr>
          <w:rtl/>
          <w:lang w:eastAsia="he-IL"/>
        </w:rPr>
        <w:tab/>
        <w:t>חומרת העבירה – עבירות נשיאת נשק הן עבירות חמורות, נוכח פוטנציאל הפגיעה הקיים בשימוש בנשק חם. הנאשם אינו מואשם בשימוש בנשק אלא רק בנשיאתו. עם זאת, המצופה היה, לאור עברו וריצוי מאסר קודם בגין עבירת החזקת נשק שלא כדין, כי ישכיל להימנע מביצוע עבירה דומה במהותה. בנוסף, יש להביא בחשבון את פוטנציאל הנזק של כלי ירייה המוחזק בידי מי שאינו מורשה לכך.</w:t>
      </w:r>
    </w:p>
    <w:p w14:paraId="1996061C" w14:textId="77777777" w:rsidR="00D3378D" w:rsidRPr="00AF6EC0" w:rsidRDefault="00D3378D" w:rsidP="00D3378D">
      <w:pPr>
        <w:pStyle w:val="a9"/>
        <w:spacing w:line="360" w:lineRule="auto"/>
        <w:jc w:val="both"/>
        <w:rPr>
          <w:lang w:eastAsia="he-IL"/>
        </w:rPr>
      </w:pPr>
      <w:r>
        <w:rPr>
          <w:rtl/>
          <w:lang w:eastAsia="he-IL"/>
        </w:rPr>
        <w:t xml:space="preserve">יחד עם זאת, קיימים שני שיקולים מקלים בנוגע לחומרת העבירה: ראשית, הנאשם נשא את הנשק לאחר שבעליו החוקי איבד אותו בערב שקדם לביצוע העבירה. גם אם בית המשפט יתחשב במשך הנשיאה מרגע האובדן, ולכך אין אינדיקציה, הרי שמדובר בשעות בודדות בלבד. שנית, באקדח היה מונח כדור בצורה הפוכה, דבר שמנע אפשרות לירי </w:t>
      </w:r>
      <w:r>
        <w:rPr>
          <w:rFonts w:hint="cs"/>
          <w:rtl/>
          <w:lang w:eastAsia="he-IL"/>
        </w:rPr>
        <w:t>מידי</w:t>
      </w:r>
      <w:r>
        <w:rPr>
          <w:rtl/>
          <w:lang w:eastAsia="he-IL"/>
        </w:rPr>
        <w:t>.</w:t>
      </w:r>
    </w:p>
    <w:p w14:paraId="2B751D8A" w14:textId="77777777" w:rsidR="00D3378D" w:rsidRPr="00AF6EC0" w:rsidRDefault="00D3378D" w:rsidP="00D3378D">
      <w:pPr>
        <w:pStyle w:val="a9"/>
        <w:rPr>
          <w:rtl/>
          <w:lang w:eastAsia="he-IL"/>
        </w:rPr>
      </w:pPr>
    </w:p>
    <w:p w14:paraId="46FB07E8" w14:textId="77777777" w:rsidR="00D3378D" w:rsidRPr="00814C5A" w:rsidRDefault="00D3378D" w:rsidP="00D3378D">
      <w:pPr>
        <w:snapToGrid w:val="0"/>
        <w:spacing w:line="360" w:lineRule="auto"/>
        <w:ind w:left="720" w:hanging="720"/>
        <w:jc w:val="both"/>
        <w:rPr>
          <w:lang w:eastAsia="he-IL"/>
        </w:rPr>
      </w:pPr>
      <w:r>
        <w:rPr>
          <w:rFonts w:hint="cs"/>
          <w:rtl/>
          <w:lang w:eastAsia="he-IL"/>
        </w:rPr>
        <w:t>12.</w:t>
      </w:r>
      <w:r>
        <w:rPr>
          <w:rtl/>
          <w:lang w:eastAsia="he-IL"/>
        </w:rPr>
        <w:tab/>
      </w:r>
      <w:r w:rsidRPr="00814C5A">
        <w:rPr>
          <w:rtl/>
          <w:lang w:eastAsia="he-IL"/>
        </w:rPr>
        <w:t>נסיבותיו האישיות של הנאשם - הנאשם הודה והביע חרטה על ביצוע העבירה, חסך זמן שיפוטי יקר ולקח אחריות - דבר שיש לתת לו משקל לקולא. באת כוח הנאשם תיארה את מצבה הקשה של אמו. לדבריה, הנאשם ואחיו סועדים את אמם החולה, שאינה מסוגלת לבצע פעולות בסיסיות ללא עזרה. בשל מצבה, האם אינה יכולה לבקר את בנה, וכל עונש שיוטל עליו הוא פרק זמן שבו לא יוכל לראותה בשל מצבה הפיזי. עיינתי במסמכים הרפואיים של אם הנאשם, ואכן מדובר במצב מורכב שבו היא מצויה בשל מחלתה</w:t>
      </w:r>
      <w:r w:rsidRPr="00814C5A">
        <w:rPr>
          <w:lang w:eastAsia="he-IL"/>
        </w:rPr>
        <w:t>.</w:t>
      </w:r>
    </w:p>
    <w:p w14:paraId="276B21C7" w14:textId="77777777" w:rsidR="00D3378D" w:rsidRPr="00814C5A" w:rsidRDefault="00D3378D" w:rsidP="00D3378D">
      <w:pPr>
        <w:snapToGrid w:val="0"/>
        <w:spacing w:line="360" w:lineRule="auto"/>
        <w:jc w:val="both"/>
        <w:rPr>
          <w:rtl/>
          <w:lang w:eastAsia="he-IL"/>
        </w:rPr>
      </w:pPr>
    </w:p>
    <w:p w14:paraId="53FBA89B" w14:textId="77777777" w:rsidR="00D3378D" w:rsidRDefault="00D3378D" w:rsidP="00D3378D">
      <w:pPr>
        <w:snapToGrid w:val="0"/>
        <w:spacing w:line="360" w:lineRule="auto"/>
        <w:ind w:left="720" w:hanging="720"/>
        <w:jc w:val="both"/>
        <w:rPr>
          <w:lang w:eastAsia="he-IL"/>
        </w:rPr>
      </w:pPr>
      <w:r>
        <w:rPr>
          <w:rFonts w:hint="cs"/>
          <w:rtl/>
          <w:lang w:eastAsia="he-IL"/>
        </w:rPr>
        <w:t>13.</w:t>
      </w:r>
      <w:r>
        <w:rPr>
          <w:rtl/>
          <w:lang w:eastAsia="he-IL"/>
        </w:rPr>
        <w:tab/>
        <w:t xml:space="preserve">בהינתן המתחם האמור, יש לגזור את עונשו של הנאשם תוך שקילת המתחם ותוך התחשבות בנסיבות המשליכות על קביעת העונש המתאים, כאשר בעניינה יש ליתן משקל להלימה בגזירת העונש לביצוע העבירה ע"י הנאשם; נסיבות ביצוע העבירה וחומרתה; מידת הפגיעה בערך המוגן; גילו של הנאשם; </w:t>
      </w:r>
      <w:r>
        <w:rPr>
          <w:rtl/>
        </w:rPr>
        <w:t>הנסיבות עליהן עמדו הצדדים בטיעוניהם</w:t>
      </w:r>
      <w:r>
        <w:rPr>
          <w:rtl/>
          <w:lang w:eastAsia="he-IL"/>
        </w:rPr>
        <w:t>; הודאתו המצביעה על נטילת אחריות; עבר</w:t>
      </w:r>
      <w:r>
        <w:rPr>
          <w:rFonts w:hint="cs"/>
          <w:rtl/>
          <w:lang w:eastAsia="he-IL"/>
        </w:rPr>
        <w:t>ו</w:t>
      </w:r>
      <w:r>
        <w:rPr>
          <w:rtl/>
          <w:lang w:eastAsia="he-IL"/>
        </w:rPr>
        <w:t xml:space="preserve"> </w:t>
      </w:r>
      <w:r>
        <w:rPr>
          <w:rFonts w:hint="cs"/>
          <w:rtl/>
          <w:lang w:eastAsia="he-IL"/>
        </w:rPr>
        <w:t>ה</w:t>
      </w:r>
      <w:r>
        <w:rPr>
          <w:rtl/>
          <w:lang w:eastAsia="he-IL"/>
        </w:rPr>
        <w:t xml:space="preserve">פלילי </w:t>
      </w:r>
      <w:r>
        <w:rPr>
          <w:rFonts w:hint="cs"/>
          <w:rtl/>
          <w:lang w:eastAsia="he-IL"/>
        </w:rPr>
        <w:t xml:space="preserve">הכולל מאסר על תנאי. </w:t>
      </w:r>
    </w:p>
    <w:p w14:paraId="78802FED" w14:textId="77777777" w:rsidR="00D3378D" w:rsidRDefault="00D3378D" w:rsidP="00D3378D">
      <w:pPr>
        <w:bidi w:val="0"/>
        <w:rPr>
          <w:rtl/>
          <w:lang w:eastAsia="he-IL"/>
        </w:rPr>
      </w:pPr>
      <w:r>
        <w:rPr>
          <w:rtl/>
          <w:lang w:eastAsia="he-IL"/>
        </w:rPr>
        <w:br w:type="page"/>
      </w:r>
    </w:p>
    <w:p w14:paraId="68BB8D55" w14:textId="77777777" w:rsidR="00D3378D" w:rsidRDefault="00D3378D" w:rsidP="00D3378D">
      <w:pPr>
        <w:snapToGrid w:val="0"/>
        <w:spacing w:line="360" w:lineRule="auto"/>
        <w:jc w:val="both"/>
        <w:rPr>
          <w:rtl/>
          <w:lang w:eastAsia="he-IL"/>
        </w:rPr>
      </w:pPr>
    </w:p>
    <w:p w14:paraId="7E29E7FE" w14:textId="77777777" w:rsidR="00D3378D" w:rsidRDefault="00D3378D" w:rsidP="00D3378D">
      <w:pPr>
        <w:spacing w:line="360" w:lineRule="auto"/>
        <w:ind w:left="720" w:hanging="720"/>
        <w:jc w:val="both"/>
        <w:rPr>
          <w:b/>
          <w:bCs/>
        </w:rPr>
      </w:pPr>
      <w:r w:rsidRPr="00863A50">
        <w:rPr>
          <w:rFonts w:hint="cs"/>
          <w:rtl/>
        </w:rPr>
        <w:t>14.</w:t>
      </w:r>
      <w:r>
        <w:rPr>
          <w:b/>
          <w:bCs/>
          <w:rtl/>
        </w:rPr>
        <w:tab/>
      </w:r>
      <w:r>
        <w:rPr>
          <w:b/>
          <w:bCs/>
          <w:rtl/>
          <w:lang w:eastAsia="he-IL"/>
        </w:rPr>
        <w:t xml:space="preserve">לאחר ששמעתי את הצדדים בהתחשב בטיעוניהם, </w:t>
      </w:r>
      <w:r>
        <w:rPr>
          <w:b/>
          <w:bCs/>
          <w:rtl/>
        </w:rPr>
        <w:t>על פי כל השיקולים הצריכים לגזר הדין אני קובע כי אלה העונשים שאני משית על הנאשם:</w:t>
      </w:r>
    </w:p>
    <w:p w14:paraId="28B5ED9E" w14:textId="77777777" w:rsidR="00D3378D" w:rsidRDefault="00D3378D" w:rsidP="00D3378D">
      <w:pPr>
        <w:spacing w:line="360" w:lineRule="auto"/>
        <w:jc w:val="both"/>
        <w:rPr>
          <w:b/>
          <w:bCs/>
          <w:rtl/>
        </w:rPr>
      </w:pPr>
    </w:p>
    <w:p w14:paraId="66698111" w14:textId="77777777" w:rsidR="00D3378D" w:rsidRDefault="00D3378D" w:rsidP="00D3378D">
      <w:pPr>
        <w:numPr>
          <w:ilvl w:val="0"/>
          <w:numId w:val="1"/>
        </w:numPr>
        <w:snapToGrid w:val="0"/>
        <w:spacing w:line="360" w:lineRule="auto"/>
        <w:contextualSpacing/>
        <w:jc w:val="both"/>
        <w:rPr>
          <w:sz w:val="28"/>
          <w:rtl/>
          <w:lang w:eastAsia="he-IL"/>
        </w:rPr>
      </w:pPr>
      <w:r>
        <w:rPr>
          <w:sz w:val="28"/>
          <w:rtl/>
          <w:lang w:eastAsia="he-IL"/>
        </w:rPr>
        <w:t xml:space="preserve">אני דן את הנאשם לעונש מאסר למשך </w:t>
      </w:r>
      <w:r>
        <w:rPr>
          <w:rFonts w:hint="cs"/>
          <w:sz w:val="28"/>
          <w:rtl/>
          <w:lang w:eastAsia="he-IL"/>
        </w:rPr>
        <w:t xml:space="preserve">32 </w:t>
      </w:r>
      <w:r>
        <w:rPr>
          <w:sz w:val="28"/>
          <w:rtl/>
          <w:lang w:eastAsia="he-IL"/>
        </w:rPr>
        <w:t>חודשים.</w:t>
      </w:r>
    </w:p>
    <w:p w14:paraId="78894BA1" w14:textId="77777777" w:rsidR="00D3378D" w:rsidRDefault="00D3378D" w:rsidP="00D3378D">
      <w:pPr>
        <w:snapToGrid w:val="0"/>
        <w:spacing w:line="360" w:lineRule="auto"/>
        <w:jc w:val="both"/>
        <w:rPr>
          <w:sz w:val="28"/>
          <w:rtl/>
          <w:lang w:eastAsia="he-IL"/>
        </w:rPr>
      </w:pPr>
    </w:p>
    <w:p w14:paraId="46275341" w14:textId="77777777" w:rsidR="00D3378D" w:rsidRDefault="00D3378D" w:rsidP="00D3378D">
      <w:pPr>
        <w:numPr>
          <w:ilvl w:val="0"/>
          <w:numId w:val="1"/>
        </w:numPr>
        <w:snapToGrid w:val="0"/>
        <w:spacing w:line="360" w:lineRule="auto"/>
        <w:contextualSpacing/>
        <w:jc w:val="both"/>
        <w:rPr>
          <w:sz w:val="28"/>
          <w:lang w:eastAsia="he-IL"/>
        </w:rPr>
      </w:pPr>
      <w:r>
        <w:rPr>
          <w:sz w:val="28"/>
          <w:rtl/>
          <w:lang w:eastAsia="he-IL"/>
        </w:rPr>
        <w:t xml:space="preserve">הנני מורה על הפעלת עונש מאסר </w:t>
      </w:r>
      <w:r>
        <w:rPr>
          <w:rFonts w:hint="cs"/>
          <w:sz w:val="28"/>
          <w:rtl/>
          <w:lang w:eastAsia="he-IL"/>
        </w:rPr>
        <w:t>בן 10</w:t>
      </w:r>
      <w:r>
        <w:rPr>
          <w:sz w:val="28"/>
          <w:rtl/>
          <w:lang w:eastAsia="he-IL"/>
        </w:rPr>
        <w:t xml:space="preserve"> חודשים, כפי שנפסק על תנאי בבימ"ש השלום ב</w:t>
      </w:r>
      <w:r>
        <w:rPr>
          <w:rFonts w:hint="cs"/>
          <w:sz w:val="28"/>
          <w:rtl/>
          <w:lang w:eastAsia="he-IL"/>
        </w:rPr>
        <w:t>חדרה</w:t>
      </w:r>
      <w:r>
        <w:rPr>
          <w:sz w:val="28"/>
          <w:rtl/>
          <w:lang w:eastAsia="he-IL"/>
        </w:rPr>
        <w:t xml:space="preserve">, בתאריך </w:t>
      </w:r>
      <w:r>
        <w:rPr>
          <w:rFonts w:hint="cs"/>
          <w:sz w:val="28"/>
          <w:rtl/>
          <w:lang w:eastAsia="he-IL"/>
        </w:rPr>
        <w:t>06.12.22</w:t>
      </w:r>
      <w:r>
        <w:rPr>
          <w:sz w:val="28"/>
          <w:rtl/>
          <w:lang w:eastAsia="he-IL"/>
        </w:rPr>
        <w:t xml:space="preserve">, תיק מס' </w:t>
      </w:r>
      <w:r>
        <w:rPr>
          <w:rFonts w:hint="cs"/>
          <w:sz w:val="28"/>
          <w:rtl/>
          <w:lang w:eastAsia="he-IL"/>
        </w:rPr>
        <w:t>10171-06-22</w:t>
      </w:r>
      <w:r>
        <w:rPr>
          <w:sz w:val="28"/>
          <w:rtl/>
          <w:lang w:eastAsia="he-IL"/>
        </w:rPr>
        <w:t xml:space="preserve"> , </w:t>
      </w:r>
      <w:r>
        <w:rPr>
          <w:rFonts w:hint="cs"/>
          <w:sz w:val="28"/>
          <w:rtl/>
          <w:lang w:eastAsia="he-IL"/>
        </w:rPr>
        <w:t>באו</w:t>
      </w:r>
      <w:r>
        <w:rPr>
          <w:sz w:val="28"/>
          <w:rtl/>
          <w:lang w:eastAsia="he-IL"/>
        </w:rPr>
        <w:t xml:space="preserve">פן </w:t>
      </w:r>
      <w:r>
        <w:rPr>
          <w:rFonts w:hint="cs"/>
          <w:sz w:val="28"/>
          <w:rtl/>
          <w:lang w:eastAsia="he-IL"/>
        </w:rPr>
        <w:t>ש- 6 חודשים ירוצו במצטבר לעונש שהוטל בסעיף "א" ו- 4 חודשים בחופף.</w:t>
      </w:r>
    </w:p>
    <w:p w14:paraId="6DB1B083" w14:textId="77777777" w:rsidR="00D3378D" w:rsidRPr="005D4BC3" w:rsidRDefault="00D3378D" w:rsidP="00D3378D">
      <w:pPr>
        <w:snapToGrid w:val="0"/>
        <w:spacing w:line="360" w:lineRule="auto"/>
        <w:jc w:val="both"/>
        <w:rPr>
          <w:sz w:val="28"/>
          <w:rtl/>
          <w:lang w:eastAsia="he-IL"/>
        </w:rPr>
      </w:pPr>
    </w:p>
    <w:p w14:paraId="54CD91DE" w14:textId="77777777" w:rsidR="00D3378D" w:rsidRPr="007A64DD" w:rsidRDefault="00D3378D" w:rsidP="00D3378D">
      <w:pPr>
        <w:numPr>
          <w:ilvl w:val="0"/>
          <w:numId w:val="1"/>
        </w:numPr>
        <w:snapToGrid w:val="0"/>
        <w:spacing w:line="360" w:lineRule="auto"/>
        <w:contextualSpacing/>
        <w:jc w:val="both"/>
        <w:rPr>
          <w:b/>
          <w:bCs/>
          <w:sz w:val="28"/>
          <w:lang w:eastAsia="he-IL"/>
        </w:rPr>
      </w:pPr>
      <w:r>
        <w:rPr>
          <w:b/>
          <w:bCs/>
          <w:sz w:val="28"/>
          <w:rtl/>
          <w:lang w:eastAsia="he-IL"/>
        </w:rPr>
        <w:t>ס</w:t>
      </w:r>
      <w:r>
        <w:rPr>
          <w:rFonts w:hint="cs"/>
          <w:b/>
          <w:bCs/>
          <w:sz w:val="28"/>
          <w:rtl/>
          <w:lang w:eastAsia="he-IL"/>
        </w:rPr>
        <w:t xml:space="preserve">ך הכל </w:t>
      </w:r>
      <w:r w:rsidRPr="007A64DD">
        <w:rPr>
          <w:b/>
          <w:bCs/>
          <w:sz w:val="28"/>
          <w:rtl/>
          <w:lang w:eastAsia="he-IL"/>
        </w:rPr>
        <w:t xml:space="preserve">ירצה הנאשם מאסר למשך </w:t>
      </w:r>
      <w:r w:rsidRPr="007A64DD">
        <w:rPr>
          <w:rFonts w:hint="cs"/>
          <w:b/>
          <w:bCs/>
          <w:sz w:val="28"/>
          <w:rtl/>
          <w:lang w:eastAsia="he-IL"/>
        </w:rPr>
        <w:t>38</w:t>
      </w:r>
      <w:r w:rsidRPr="007A64DD">
        <w:rPr>
          <w:b/>
          <w:bCs/>
          <w:sz w:val="28"/>
          <w:rtl/>
          <w:lang w:eastAsia="he-IL"/>
        </w:rPr>
        <w:t xml:space="preserve">  חודשים, לריצוי בפועל</w:t>
      </w:r>
      <w:r w:rsidRPr="007A64DD">
        <w:rPr>
          <w:rFonts w:hint="cs"/>
          <w:b/>
          <w:bCs/>
          <w:sz w:val="28"/>
          <w:rtl/>
          <w:lang w:eastAsia="he-IL"/>
        </w:rPr>
        <w:t xml:space="preserve"> </w:t>
      </w:r>
      <w:r>
        <w:rPr>
          <w:rFonts w:hint="cs"/>
          <w:b/>
          <w:bCs/>
          <w:sz w:val="28"/>
          <w:rtl/>
          <w:lang w:eastAsia="he-IL"/>
        </w:rPr>
        <w:t xml:space="preserve">החל מיום מעצרו - </w:t>
      </w:r>
      <w:r w:rsidRPr="007A64DD">
        <w:rPr>
          <w:rFonts w:hint="cs"/>
          <w:b/>
          <w:bCs/>
          <w:sz w:val="28"/>
          <w:rtl/>
          <w:lang w:eastAsia="he-IL"/>
        </w:rPr>
        <w:t>10.08.24</w:t>
      </w:r>
      <w:r w:rsidRPr="007A64DD">
        <w:rPr>
          <w:b/>
          <w:bCs/>
          <w:sz w:val="28"/>
          <w:rtl/>
          <w:lang w:eastAsia="he-IL"/>
        </w:rPr>
        <w:t xml:space="preserve">.  </w:t>
      </w:r>
    </w:p>
    <w:p w14:paraId="6D61CA49" w14:textId="77777777" w:rsidR="00D3378D" w:rsidRDefault="00D3378D" w:rsidP="00D3378D">
      <w:pPr>
        <w:snapToGrid w:val="0"/>
        <w:spacing w:line="360" w:lineRule="auto"/>
        <w:jc w:val="both"/>
        <w:rPr>
          <w:lang w:eastAsia="he-IL"/>
        </w:rPr>
      </w:pPr>
    </w:p>
    <w:p w14:paraId="5B9A4E26" w14:textId="77777777" w:rsidR="00D3378D" w:rsidRDefault="00D3378D" w:rsidP="00D3378D">
      <w:pPr>
        <w:numPr>
          <w:ilvl w:val="0"/>
          <w:numId w:val="1"/>
        </w:numPr>
        <w:snapToGrid w:val="0"/>
        <w:spacing w:line="360" w:lineRule="auto"/>
        <w:contextualSpacing/>
        <w:jc w:val="both"/>
        <w:rPr>
          <w:sz w:val="28"/>
          <w:lang w:eastAsia="he-IL"/>
        </w:rPr>
      </w:pPr>
      <w:r>
        <w:rPr>
          <w:sz w:val="28"/>
          <w:rtl/>
          <w:lang w:eastAsia="he-IL"/>
        </w:rPr>
        <w:t xml:space="preserve">אני דן את הנאשם למאסר למשך </w:t>
      </w:r>
      <w:r>
        <w:rPr>
          <w:rFonts w:hint="cs"/>
          <w:sz w:val="28"/>
          <w:rtl/>
          <w:lang w:eastAsia="he-IL"/>
        </w:rPr>
        <w:t>9</w:t>
      </w:r>
      <w:r>
        <w:rPr>
          <w:b/>
          <w:bCs/>
          <w:sz w:val="28"/>
          <w:rtl/>
          <w:lang w:eastAsia="he-IL"/>
        </w:rPr>
        <w:t xml:space="preserve"> </w:t>
      </w:r>
      <w:r>
        <w:rPr>
          <w:sz w:val="28"/>
          <w:rtl/>
          <w:lang w:eastAsia="he-IL"/>
        </w:rPr>
        <w:t>חודשים וזאת על תנאי למשך שלוש שנים</w:t>
      </w:r>
      <w:r>
        <w:rPr>
          <w:rFonts w:hint="cs"/>
          <w:sz w:val="28"/>
          <w:rtl/>
          <w:lang w:eastAsia="he-IL"/>
        </w:rPr>
        <w:t xml:space="preserve"> מיום שחרורו, וה</w:t>
      </w:r>
      <w:r>
        <w:rPr>
          <w:sz w:val="28"/>
          <w:rtl/>
          <w:lang w:eastAsia="he-IL"/>
        </w:rPr>
        <w:t xml:space="preserve">תנאי הוא שלא יעבור </w:t>
      </w:r>
      <w:r>
        <w:rPr>
          <w:rFonts w:hint="cs"/>
          <w:sz w:val="28"/>
          <w:rtl/>
          <w:lang w:eastAsia="he-IL"/>
        </w:rPr>
        <w:t xml:space="preserve">עבירה לפי </w:t>
      </w:r>
      <w:hyperlink r:id="rId34" w:history="1">
        <w:r w:rsidR="000E2A37" w:rsidRPr="000E2A37">
          <w:rPr>
            <w:rStyle w:val="Hyperlink"/>
            <w:rFonts w:hint="eastAsia"/>
            <w:color w:val="0000FF"/>
            <w:sz w:val="28"/>
            <w:rtl/>
            <w:lang w:eastAsia="he-IL"/>
          </w:rPr>
          <w:t>סעיף</w:t>
        </w:r>
        <w:r w:rsidR="000E2A37" w:rsidRPr="000E2A37">
          <w:rPr>
            <w:rStyle w:val="Hyperlink"/>
            <w:color w:val="0000FF"/>
            <w:sz w:val="28"/>
            <w:rtl/>
            <w:lang w:eastAsia="he-IL"/>
          </w:rPr>
          <w:t xml:space="preserve"> 144</w:t>
        </w:r>
      </w:hyperlink>
      <w:r>
        <w:rPr>
          <w:rFonts w:hint="cs"/>
          <w:sz w:val="28"/>
          <w:rtl/>
          <w:lang w:eastAsia="he-IL"/>
        </w:rPr>
        <w:t xml:space="preserve"> ל</w:t>
      </w:r>
      <w:hyperlink r:id="rId35" w:history="1">
        <w:r w:rsidR="00121947" w:rsidRPr="00121947">
          <w:rPr>
            <w:color w:val="0000FF"/>
            <w:sz w:val="28"/>
            <w:u w:val="single"/>
            <w:rtl/>
            <w:lang w:eastAsia="he-IL"/>
          </w:rPr>
          <w:t>חוק העונשין</w:t>
        </w:r>
      </w:hyperlink>
      <w:r>
        <w:rPr>
          <w:rFonts w:hint="cs"/>
          <w:sz w:val="28"/>
          <w:rtl/>
          <w:lang w:eastAsia="he-IL"/>
        </w:rPr>
        <w:t xml:space="preserve"> התשל"ז </w:t>
      </w:r>
      <w:r>
        <w:rPr>
          <w:sz w:val="28"/>
          <w:rtl/>
          <w:lang w:eastAsia="he-IL"/>
        </w:rPr>
        <w:t>–</w:t>
      </w:r>
      <w:r>
        <w:rPr>
          <w:rFonts w:hint="cs"/>
          <w:sz w:val="28"/>
          <w:rtl/>
          <w:lang w:eastAsia="he-IL"/>
        </w:rPr>
        <w:t xml:space="preserve"> 1977 על החלופות עונשיות השונות שלו. </w:t>
      </w:r>
    </w:p>
    <w:p w14:paraId="49B4FCEB" w14:textId="77777777" w:rsidR="00D3378D" w:rsidRPr="007A64DD" w:rsidRDefault="00D3378D" w:rsidP="00D3378D">
      <w:pPr>
        <w:pStyle w:val="a9"/>
        <w:rPr>
          <w:sz w:val="28"/>
          <w:rtl/>
          <w:lang w:eastAsia="he-IL"/>
        </w:rPr>
      </w:pPr>
    </w:p>
    <w:p w14:paraId="3F57998A" w14:textId="77777777" w:rsidR="00D3378D" w:rsidRDefault="00D3378D" w:rsidP="00D3378D">
      <w:pPr>
        <w:numPr>
          <w:ilvl w:val="0"/>
          <w:numId w:val="1"/>
        </w:numPr>
        <w:snapToGrid w:val="0"/>
        <w:spacing w:line="360" w:lineRule="auto"/>
        <w:contextualSpacing/>
        <w:jc w:val="both"/>
        <w:rPr>
          <w:sz w:val="28"/>
          <w:lang w:eastAsia="he-IL"/>
        </w:rPr>
      </w:pPr>
      <w:r>
        <w:rPr>
          <w:sz w:val="28"/>
          <w:rtl/>
          <w:lang w:eastAsia="he-IL"/>
        </w:rPr>
        <w:t xml:space="preserve">הנאשם ישלם קנס בסך </w:t>
      </w:r>
      <w:r>
        <w:rPr>
          <w:rFonts w:hint="cs"/>
          <w:sz w:val="28"/>
          <w:rtl/>
          <w:lang w:eastAsia="he-IL"/>
        </w:rPr>
        <w:t>5,000</w:t>
      </w:r>
      <w:r>
        <w:rPr>
          <w:sz w:val="28"/>
          <w:rtl/>
          <w:lang w:eastAsia="he-IL"/>
        </w:rPr>
        <w:t xml:space="preserve"> </w:t>
      </w:r>
      <w:r>
        <w:rPr>
          <w:b/>
          <w:bCs/>
          <w:sz w:val="28"/>
          <w:rtl/>
          <w:lang w:eastAsia="he-IL"/>
        </w:rPr>
        <w:t xml:space="preserve">₪ </w:t>
      </w:r>
      <w:r>
        <w:rPr>
          <w:sz w:val="28"/>
          <w:rtl/>
          <w:lang w:eastAsia="he-IL"/>
        </w:rPr>
        <w:t xml:space="preserve">או </w:t>
      </w:r>
      <w:r>
        <w:rPr>
          <w:rFonts w:hint="cs"/>
          <w:sz w:val="28"/>
          <w:rtl/>
          <w:lang w:eastAsia="he-IL"/>
        </w:rPr>
        <w:t>50</w:t>
      </w:r>
      <w:r>
        <w:rPr>
          <w:sz w:val="28"/>
          <w:rtl/>
          <w:lang w:eastAsia="he-IL"/>
        </w:rPr>
        <w:t xml:space="preserve"> ימי מאסר תמורת</w:t>
      </w:r>
      <w:r>
        <w:rPr>
          <w:rFonts w:hint="cs"/>
          <w:sz w:val="28"/>
          <w:rtl/>
          <w:lang w:eastAsia="he-IL"/>
        </w:rPr>
        <w:t>ו</w:t>
      </w:r>
      <w:r>
        <w:rPr>
          <w:sz w:val="28"/>
          <w:rtl/>
          <w:lang w:eastAsia="he-IL"/>
        </w:rPr>
        <w:t xml:space="preserve">. </w:t>
      </w:r>
    </w:p>
    <w:p w14:paraId="1EAA18A1" w14:textId="77777777" w:rsidR="00D3378D" w:rsidRDefault="00D3378D" w:rsidP="00D3378D">
      <w:pPr>
        <w:snapToGrid w:val="0"/>
        <w:spacing w:line="360" w:lineRule="auto"/>
        <w:ind w:left="720"/>
        <w:contextualSpacing/>
        <w:jc w:val="both"/>
        <w:rPr>
          <w:b/>
          <w:bCs/>
          <w:noProof/>
          <w:sz w:val="28"/>
          <w:u w:val="single"/>
          <w:rtl/>
        </w:rPr>
      </w:pPr>
      <w:r>
        <w:rPr>
          <w:sz w:val="28"/>
          <w:rtl/>
          <w:lang w:eastAsia="he-IL"/>
        </w:rPr>
        <w:t xml:space="preserve">הקנס ישולם </w:t>
      </w:r>
      <w:r>
        <w:rPr>
          <w:rFonts w:hint="cs"/>
          <w:sz w:val="28"/>
          <w:rtl/>
          <w:lang w:eastAsia="he-IL"/>
        </w:rPr>
        <w:t xml:space="preserve">בתוך 180 ימים. </w:t>
      </w:r>
    </w:p>
    <w:p w14:paraId="7E7F95A0" w14:textId="77777777" w:rsidR="00D3378D" w:rsidRDefault="00D3378D" w:rsidP="00D3378D">
      <w:pPr>
        <w:snapToGrid w:val="0"/>
        <w:spacing w:line="360" w:lineRule="auto"/>
        <w:ind w:left="720" w:hanging="720"/>
        <w:jc w:val="both"/>
        <w:rPr>
          <w:b/>
          <w:bCs/>
          <w:sz w:val="28"/>
          <w:u w:val="single"/>
          <w:lang w:eastAsia="he-IL"/>
        </w:rPr>
      </w:pPr>
    </w:p>
    <w:p w14:paraId="7F9C23B7" w14:textId="77777777" w:rsidR="00D3378D" w:rsidRPr="007A64DD" w:rsidRDefault="00D3378D" w:rsidP="00D3378D">
      <w:pPr>
        <w:snapToGrid w:val="0"/>
        <w:spacing w:line="360" w:lineRule="auto"/>
        <w:ind w:left="1440" w:hanging="720"/>
        <w:jc w:val="both"/>
        <w:rPr>
          <w:b/>
          <w:bCs/>
          <w:sz w:val="28"/>
          <w:lang w:eastAsia="he-IL"/>
        </w:rPr>
      </w:pPr>
      <w:r w:rsidRPr="007A64DD">
        <w:rPr>
          <w:b/>
          <w:bCs/>
          <w:sz w:val="28"/>
          <w:rtl/>
          <w:lang w:eastAsia="he-IL"/>
        </w:rPr>
        <w:t>זכות ערעור לבית המשפט העליון, תוך 45 יום מהיום.</w:t>
      </w:r>
    </w:p>
    <w:p w14:paraId="241328C8" w14:textId="77777777" w:rsidR="00D3378D" w:rsidRPr="007A64DD" w:rsidRDefault="00D3378D" w:rsidP="00D3378D">
      <w:pPr>
        <w:snapToGrid w:val="0"/>
        <w:spacing w:line="360" w:lineRule="auto"/>
        <w:ind w:left="1440" w:hanging="720"/>
        <w:jc w:val="both"/>
        <w:rPr>
          <w:b/>
          <w:bCs/>
          <w:sz w:val="28"/>
          <w:lang w:eastAsia="he-IL"/>
        </w:rPr>
      </w:pPr>
    </w:p>
    <w:p w14:paraId="0E103988" w14:textId="77777777" w:rsidR="00D3378D" w:rsidRPr="007A64DD" w:rsidRDefault="00D3378D" w:rsidP="00D3378D">
      <w:pPr>
        <w:snapToGrid w:val="0"/>
        <w:spacing w:line="360" w:lineRule="auto"/>
        <w:ind w:left="720"/>
        <w:jc w:val="both"/>
        <w:rPr>
          <w:b/>
          <w:bCs/>
          <w:sz w:val="20"/>
          <w:rtl/>
          <w:lang w:eastAsia="he-IL"/>
        </w:rPr>
      </w:pPr>
      <w:r>
        <w:rPr>
          <w:rFonts w:hint="cs"/>
          <w:b/>
          <w:bCs/>
          <w:sz w:val="20"/>
          <w:rtl/>
          <w:lang w:eastAsia="he-IL"/>
        </w:rPr>
        <w:t>ניתן צו למוצגים לשיקול דעת קצין משטרה ו/או התביעה.</w:t>
      </w:r>
    </w:p>
    <w:p w14:paraId="1F7BC4B7" w14:textId="77777777" w:rsidR="00D3378D" w:rsidRDefault="00D3378D" w:rsidP="00D3378D">
      <w:pPr>
        <w:snapToGrid w:val="0"/>
        <w:spacing w:line="360" w:lineRule="auto"/>
        <w:jc w:val="both"/>
        <w:rPr>
          <w:b/>
          <w:bCs/>
          <w:sz w:val="20"/>
          <w:u w:val="single"/>
          <w:rtl/>
          <w:lang w:eastAsia="he-IL"/>
        </w:rPr>
      </w:pPr>
    </w:p>
    <w:p w14:paraId="6A365DB2" w14:textId="77777777" w:rsidR="00D3378D" w:rsidRDefault="00D3378D" w:rsidP="00D3378D">
      <w:pPr>
        <w:spacing w:line="360" w:lineRule="auto"/>
        <w:ind w:left="720"/>
        <w:jc w:val="both"/>
        <w:rPr>
          <w:b/>
          <w:bCs/>
          <w:rtl/>
        </w:rPr>
      </w:pPr>
      <w:r w:rsidRPr="007A64DD">
        <w:rPr>
          <w:b/>
          <w:bCs/>
          <w:rtl/>
        </w:rPr>
        <w:t>המרשם הפלילי הושב לידיה הנאמנות של התביעה</w:t>
      </w:r>
      <w:r>
        <w:rPr>
          <w:rFonts w:hint="cs"/>
          <w:b/>
          <w:bCs/>
          <w:rtl/>
        </w:rPr>
        <w:t>.</w:t>
      </w:r>
    </w:p>
    <w:p w14:paraId="42B55EDD" w14:textId="77777777" w:rsidR="00D3378D" w:rsidRDefault="00D3378D" w:rsidP="00D3378D">
      <w:pPr>
        <w:spacing w:line="360" w:lineRule="auto"/>
        <w:ind w:left="720"/>
        <w:jc w:val="both"/>
      </w:pPr>
      <w:r>
        <w:rPr>
          <w:rtl/>
        </w:rPr>
        <w:t>ניתן</w:t>
      </w:r>
      <w:r>
        <w:rPr>
          <w:rFonts w:hint="cs"/>
        </w:rPr>
        <w:t xml:space="preserve"> </w:t>
      </w:r>
      <w:r>
        <w:rPr>
          <w:rtl/>
        </w:rPr>
        <w:t>יהיה</w:t>
      </w:r>
      <w:r>
        <w:rPr>
          <w:rFonts w:hint="cs"/>
        </w:rPr>
        <w:t xml:space="preserve"> </w:t>
      </w:r>
      <w:r>
        <w:rPr>
          <w:rtl/>
        </w:rPr>
        <w:t>לשלם</w:t>
      </w:r>
      <w:r>
        <w:rPr>
          <w:rFonts w:hint="cs"/>
        </w:rPr>
        <w:t xml:space="preserve"> </w:t>
      </w:r>
      <w:r>
        <w:rPr>
          <w:rtl/>
        </w:rPr>
        <w:t>את</w:t>
      </w:r>
      <w:r>
        <w:rPr>
          <w:rFonts w:hint="cs"/>
        </w:rPr>
        <w:t xml:space="preserve"> </w:t>
      </w:r>
      <w:r>
        <w:rPr>
          <w:rtl/>
        </w:rPr>
        <w:t>הקנס</w:t>
      </w:r>
      <w:r>
        <w:t xml:space="preserve">/ </w:t>
      </w:r>
      <w:r>
        <w:rPr>
          <w:rtl/>
        </w:rPr>
        <w:t>פיצוי</w:t>
      </w:r>
      <w:r>
        <w:t xml:space="preserve">/ </w:t>
      </w:r>
      <w:r>
        <w:rPr>
          <w:rtl/>
        </w:rPr>
        <w:t>ההוצאות</w:t>
      </w:r>
      <w:r>
        <w:rPr>
          <w:rFonts w:hint="cs"/>
        </w:rPr>
        <w:t xml:space="preserve"> </w:t>
      </w:r>
      <w:r>
        <w:rPr>
          <w:rtl/>
        </w:rPr>
        <w:t>כעבור</w:t>
      </w:r>
      <w:r>
        <w:rPr>
          <w:rFonts w:hint="cs"/>
        </w:rPr>
        <w:t xml:space="preserve"> </w:t>
      </w:r>
      <w:r>
        <w:rPr>
          <w:rtl/>
        </w:rPr>
        <w:t>שלושה</w:t>
      </w:r>
      <w:r>
        <w:rPr>
          <w:rFonts w:hint="cs"/>
        </w:rPr>
        <w:t xml:space="preserve"> </w:t>
      </w:r>
      <w:r>
        <w:rPr>
          <w:rtl/>
        </w:rPr>
        <w:t>ימים</w:t>
      </w:r>
      <w:r>
        <w:rPr>
          <w:rFonts w:hint="cs"/>
        </w:rPr>
        <w:t xml:space="preserve"> </w:t>
      </w:r>
      <w:r>
        <w:rPr>
          <w:rtl/>
        </w:rPr>
        <w:t>מיום</w:t>
      </w:r>
      <w:r>
        <w:rPr>
          <w:rFonts w:hint="cs"/>
        </w:rPr>
        <w:t xml:space="preserve"> </w:t>
      </w:r>
      <w:r>
        <w:rPr>
          <w:rtl/>
        </w:rPr>
        <w:t>מתן</w:t>
      </w:r>
      <w:r>
        <w:rPr>
          <w:rFonts w:hint="cs"/>
        </w:rPr>
        <w:t xml:space="preserve"> </w:t>
      </w:r>
      <w:r>
        <w:rPr>
          <w:rtl/>
        </w:rPr>
        <w:t>ההחלטה</w:t>
      </w:r>
      <w:r>
        <w:t xml:space="preserve">/ </w:t>
      </w:r>
      <w:r>
        <w:rPr>
          <w:rtl/>
        </w:rPr>
        <w:t>גזר</w:t>
      </w:r>
      <w:r>
        <w:rPr>
          <w:rFonts w:hint="cs"/>
        </w:rPr>
        <w:t xml:space="preserve"> </w:t>
      </w:r>
      <w:r>
        <w:rPr>
          <w:rtl/>
        </w:rPr>
        <w:t>הדין</w:t>
      </w:r>
    </w:p>
    <w:p w14:paraId="43051F06" w14:textId="77777777" w:rsidR="00D3378D" w:rsidRDefault="00D3378D" w:rsidP="00D3378D">
      <w:pPr>
        <w:spacing w:line="360" w:lineRule="auto"/>
        <w:ind w:left="720"/>
        <w:jc w:val="both"/>
      </w:pPr>
      <w:r>
        <w:rPr>
          <w:rtl/>
        </w:rPr>
        <w:t>לחשבון</w:t>
      </w:r>
      <w:r>
        <w:rPr>
          <w:rFonts w:hint="cs"/>
        </w:rPr>
        <w:t xml:space="preserve"> </w:t>
      </w:r>
      <w:r>
        <w:rPr>
          <w:rtl/>
        </w:rPr>
        <w:t>המרכז</w:t>
      </w:r>
      <w:r>
        <w:rPr>
          <w:rFonts w:hint="cs"/>
        </w:rPr>
        <w:t xml:space="preserve"> </w:t>
      </w:r>
      <w:r>
        <w:rPr>
          <w:rtl/>
        </w:rPr>
        <w:t>לגביית</w:t>
      </w:r>
      <w:r>
        <w:rPr>
          <w:rFonts w:hint="cs"/>
        </w:rPr>
        <w:t xml:space="preserve"> </w:t>
      </w:r>
      <w:r>
        <w:rPr>
          <w:rtl/>
        </w:rPr>
        <w:t>קנסות</w:t>
      </w:r>
      <w:r>
        <w:t xml:space="preserve">, </w:t>
      </w:r>
      <w:r>
        <w:rPr>
          <w:rtl/>
        </w:rPr>
        <w:t>אגרות</w:t>
      </w:r>
      <w:r>
        <w:rPr>
          <w:rFonts w:hint="cs"/>
        </w:rPr>
        <w:t xml:space="preserve"> </w:t>
      </w:r>
      <w:r>
        <w:rPr>
          <w:rtl/>
        </w:rPr>
        <w:t>והוצאות</w:t>
      </w:r>
      <w:r>
        <w:rPr>
          <w:rFonts w:hint="cs"/>
        </w:rPr>
        <w:t xml:space="preserve"> </w:t>
      </w:r>
      <w:r>
        <w:rPr>
          <w:rtl/>
        </w:rPr>
        <w:t>ברשות</w:t>
      </w:r>
      <w:r>
        <w:rPr>
          <w:rFonts w:hint="cs"/>
        </w:rPr>
        <w:t xml:space="preserve"> </w:t>
      </w:r>
      <w:r>
        <w:rPr>
          <w:rtl/>
        </w:rPr>
        <w:t>האכיפה</w:t>
      </w:r>
      <w:r>
        <w:rPr>
          <w:rFonts w:hint="cs"/>
        </w:rPr>
        <w:t xml:space="preserve"> </w:t>
      </w:r>
      <w:r>
        <w:rPr>
          <w:rtl/>
        </w:rPr>
        <w:t>והגבייה</w:t>
      </w:r>
      <w:r>
        <w:rPr>
          <w:rFonts w:hint="cs"/>
        </w:rPr>
        <w:t xml:space="preserve"> </w:t>
      </w:r>
      <w:r>
        <w:rPr>
          <w:rtl/>
        </w:rPr>
        <w:t>באחת</w:t>
      </w:r>
      <w:r>
        <w:rPr>
          <w:rFonts w:hint="cs"/>
        </w:rPr>
        <w:t xml:space="preserve"> </w:t>
      </w:r>
      <w:r>
        <w:rPr>
          <w:rtl/>
        </w:rPr>
        <w:t>מהדרכים</w:t>
      </w:r>
      <w:r>
        <w:rPr>
          <w:rFonts w:hint="cs"/>
        </w:rPr>
        <w:t xml:space="preserve"> </w:t>
      </w:r>
      <w:r>
        <w:rPr>
          <w:rtl/>
        </w:rPr>
        <w:t>הבאות</w:t>
      </w:r>
      <w:r>
        <w:t>:</w:t>
      </w:r>
    </w:p>
    <w:p w14:paraId="368401BF" w14:textId="77777777" w:rsidR="00D3378D" w:rsidRDefault="00D3378D" w:rsidP="00D3378D">
      <w:pPr>
        <w:pStyle w:val="a9"/>
        <w:spacing w:line="360" w:lineRule="auto"/>
        <w:jc w:val="both"/>
      </w:pPr>
      <w:r>
        <w:rPr>
          <w:rtl/>
        </w:rPr>
        <w:t>בכרטיס</w:t>
      </w:r>
      <w:r>
        <w:rPr>
          <w:rFonts w:hint="cs"/>
        </w:rPr>
        <w:t xml:space="preserve"> </w:t>
      </w:r>
      <w:r>
        <w:rPr>
          <w:rtl/>
        </w:rPr>
        <w:t>אשראי</w:t>
      </w:r>
      <w:r>
        <w:t xml:space="preserve"> – </w:t>
      </w:r>
      <w:r>
        <w:rPr>
          <w:rtl/>
        </w:rPr>
        <w:t>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 </w:t>
      </w:r>
      <w:hyperlink r:id="rId36" w:history="1">
        <w:r>
          <w:rPr>
            <w:rStyle w:val="Hyperlink"/>
          </w:rPr>
          <w:t>www.eca.gov.il</w:t>
        </w:r>
      </w:hyperlink>
      <w:r>
        <w:t xml:space="preserve"> </w:t>
      </w:r>
    </w:p>
    <w:p w14:paraId="0143CAB1" w14:textId="77777777" w:rsidR="00D3378D" w:rsidRDefault="00D3378D" w:rsidP="00D3378D">
      <w:pPr>
        <w:pStyle w:val="a9"/>
        <w:spacing w:line="360" w:lineRule="auto"/>
        <w:jc w:val="both"/>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 xml:space="preserve"> - מרכז גבייה בטלפון</w:t>
      </w:r>
      <w:r>
        <w:t xml:space="preserve"> 35592 * </w:t>
      </w:r>
      <w:r>
        <w:rPr>
          <w:rtl/>
        </w:rPr>
        <w:t>או</w:t>
      </w:r>
      <w:r>
        <w:rPr>
          <w:rFonts w:hint="cs"/>
        </w:rPr>
        <w:t xml:space="preserve"> </w:t>
      </w:r>
      <w:r>
        <w:rPr>
          <w:rtl/>
        </w:rPr>
        <w:t>בטלפון</w:t>
      </w:r>
      <w:r>
        <w:t xml:space="preserve"> 073-2055000</w:t>
      </w:r>
    </w:p>
    <w:p w14:paraId="20C394A9" w14:textId="77777777" w:rsidR="00D3378D" w:rsidRDefault="00D3378D" w:rsidP="00D3378D">
      <w:pPr>
        <w:pStyle w:val="a9"/>
        <w:spacing w:line="360" w:lineRule="auto"/>
        <w:jc w:val="both"/>
        <w:rPr>
          <w:rtl/>
        </w:rPr>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w:t>
      </w:r>
      <w:r>
        <w:t xml:space="preserve"> – </w:t>
      </w:r>
      <w:r>
        <w:rPr>
          <w:rtl/>
        </w:rPr>
        <w:t>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 צורך בשוברי תשלום).</w:t>
      </w:r>
    </w:p>
    <w:p w14:paraId="0A2ADF41" w14:textId="77777777" w:rsidR="00D3378D" w:rsidRDefault="00D3378D" w:rsidP="00D3378D">
      <w:pPr>
        <w:pStyle w:val="a9"/>
        <w:jc w:val="both"/>
        <w:rPr>
          <w:rtl/>
        </w:rPr>
      </w:pPr>
    </w:p>
    <w:p w14:paraId="29C38703" w14:textId="77777777" w:rsidR="00D3378D" w:rsidRDefault="00121947" w:rsidP="00D3378D">
      <w:pPr>
        <w:rPr>
          <w:rtl/>
        </w:rPr>
      </w:pPr>
      <w:bookmarkStart w:id="8" w:name="Nitan"/>
      <w:r>
        <w:rPr>
          <w:b/>
          <w:bCs/>
          <w:rtl/>
        </w:rPr>
        <w:t xml:space="preserve">ניתן והודע היום ב' אדר תשפ"ה, 2/3/2025 במעמד הצדדים. </w:t>
      </w:r>
      <w:bookmarkEnd w:id="8"/>
    </w:p>
    <w:p w14:paraId="4D1F375F" w14:textId="77777777" w:rsidR="00D3378D" w:rsidRPr="00121947" w:rsidRDefault="00121947" w:rsidP="00D3378D">
      <w:pPr>
        <w:pStyle w:val="a9"/>
        <w:spacing w:line="360" w:lineRule="auto"/>
        <w:jc w:val="both"/>
        <w:rPr>
          <w:color w:val="FFFFFF"/>
          <w:sz w:val="2"/>
          <w:szCs w:val="2"/>
          <w:rtl/>
        </w:rPr>
      </w:pPr>
      <w:r w:rsidRPr="0012194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3378D" w14:paraId="1C9E5337" w14:textId="77777777" w:rsidTr="00D3378D">
        <w:trPr>
          <w:trHeight w:val="316"/>
          <w:jc w:val="right"/>
        </w:trPr>
        <w:tc>
          <w:tcPr>
            <w:tcW w:w="3936" w:type="dxa"/>
            <w:tcBorders>
              <w:top w:val="nil"/>
              <w:left w:val="nil"/>
              <w:bottom w:val="single" w:sz="4" w:space="0" w:color="auto"/>
              <w:right w:val="nil"/>
            </w:tcBorders>
            <w:shd w:val="clear" w:color="auto" w:fill="auto"/>
            <w:vAlign w:val="center"/>
          </w:tcPr>
          <w:p w14:paraId="419C1F53" w14:textId="77777777" w:rsidR="00D3378D" w:rsidRPr="00121947" w:rsidRDefault="00121947" w:rsidP="00D3378D">
            <w:pPr>
              <w:jc w:val="center"/>
              <w:rPr>
                <w:color w:val="FFFFFF"/>
                <w:sz w:val="2"/>
                <w:szCs w:val="2"/>
                <w:rtl/>
              </w:rPr>
            </w:pPr>
            <w:r w:rsidRPr="00121947">
              <w:rPr>
                <w:color w:val="FFFFFF"/>
                <w:sz w:val="2"/>
                <w:szCs w:val="2"/>
                <w:rtl/>
              </w:rPr>
              <w:t>54678313</w:t>
            </w:r>
          </w:p>
          <w:p w14:paraId="1D6A9336" w14:textId="77777777" w:rsidR="00D3378D" w:rsidRDefault="00D3378D" w:rsidP="00D3378D">
            <w:pPr>
              <w:jc w:val="center"/>
            </w:pPr>
          </w:p>
        </w:tc>
      </w:tr>
      <w:tr w:rsidR="00D3378D" w14:paraId="56806D64" w14:textId="77777777" w:rsidTr="00D3378D">
        <w:trPr>
          <w:trHeight w:val="361"/>
          <w:jc w:val="right"/>
        </w:trPr>
        <w:tc>
          <w:tcPr>
            <w:tcW w:w="3936" w:type="dxa"/>
            <w:tcBorders>
              <w:top w:val="single" w:sz="4" w:space="0" w:color="auto"/>
              <w:left w:val="nil"/>
              <w:bottom w:val="nil"/>
              <w:right w:val="nil"/>
            </w:tcBorders>
            <w:shd w:val="clear" w:color="auto" w:fill="auto"/>
            <w:vAlign w:val="center"/>
          </w:tcPr>
          <w:p w14:paraId="00EB1B3C" w14:textId="77777777" w:rsidR="00D3378D" w:rsidRPr="00D3378D" w:rsidRDefault="00D3378D" w:rsidP="00D3378D">
            <w:pPr>
              <w:jc w:val="center"/>
              <w:rPr>
                <w:b/>
                <w:bCs/>
                <w:rtl/>
              </w:rPr>
            </w:pPr>
            <w:r w:rsidRPr="00D3378D">
              <w:rPr>
                <w:b/>
                <w:bCs/>
                <w:rtl/>
              </w:rPr>
              <w:t>שמואל</w:t>
            </w:r>
            <w:r w:rsidRPr="00D3378D">
              <w:rPr>
                <w:rFonts w:hint="cs"/>
                <w:b/>
                <w:bCs/>
                <w:rtl/>
              </w:rPr>
              <w:t xml:space="preserve"> </w:t>
            </w:r>
            <w:r w:rsidRPr="00D3378D">
              <w:rPr>
                <w:b/>
                <w:bCs/>
                <w:rtl/>
              </w:rPr>
              <w:t>מלמד</w:t>
            </w:r>
            <w:r w:rsidRPr="00D3378D">
              <w:rPr>
                <w:rFonts w:hint="cs"/>
                <w:b/>
                <w:bCs/>
                <w:rtl/>
              </w:rPr>
              <w:t xml:space="preserve">, </w:t>
            </w:r>
            <w:r w:rsidRPr="00D3378D">
              <w:rPr>
                <w:b/>
                <w:bCs/>
                <w:rtl/>
              </w:rPr>
              <w:t>שופט</w:t>
            </w:r>
          </w:p>
        </w:tc>
      </w:tr>
    </w:tbl>
    <w:p w14:paraId="17F16FB2" w14:textId="77777777" w:rsidR="00D3378D" w:rsidRDefault="00D3378D" w:rsidP="00D3378D">
      <w:pPr>
        <w:pStyle w:val="a9"/>
        <w:spacing w:line="360" w:lineRule="auto"/>
        <w:jc w:val="both"/>
      </w:pPr>
    </w:p>
    <w:p w14:paraId="2456C0DB" w14:textId="77777777" w:rsidR="00D3378D" w:rsidRPr="000E2A37" w:rsidRDefault="000E2A37" w:rsidP="00D3378D">
      <w:pPr>
        <w:spacing w:line="360" w:lineRule="auto"/>
        <w:ind w:left="720"/>
        <w:jc w:val="both"/>
        <w:rPr>
          <w:b/>
          <w:bCs/>
          <w:color w:val="FFFFFF"/>
          <w:sz w:val="2"/>
          <w:szCs w:val="2"/>
          <w:rtl/>
        </w:rPr>
      </w:pPr>
      <w:r w:rsidRPr="000E2A37">
        <w:rPr>
          <w:b/>
          <w:bCs/>
          <w:color w:val="FFFFFF"/>
          <w:sz w:val="2"/>
          <w:szCs w:val="2"/>
          <w:rtl/>
        </w:rPr>
        <w:t>5129371</w:t>
      </w:r>
    </w:p>
    <w:p w14:paraId="2F314616" w14:textId="77777777" w:rsidR="00121947" w:rsidRDefault="000E2A37" w:rsidP="00121947">
      <w:r w:rsidRPr="000E2A37">
        <w:rPr>
          <w:rFonts w:ascii="David" w:hAnsi="David"/>
          <w:color w:val="FFFFFF"/>
          <w:sz w:val="2"/>
          <w:szCs w:val="2"/>
          <w:rtl/>
        </w:rPr>
        <w:t>54678313</w:t>
      </w:r>
    </w:p>
    <w:p w14:paraId="105A7A22" w14:textId="77777777" w:rsidR="00121947" w:rsidRDefault="00121947" w:rsidP="00121947">
      <w:pPr>
        <w:rPr>
          <w:rtl/>
        </w:rPr>
      </w:pPr>
    </w:p>
    <w:p w14:paraId="7A0C3068" w14:textId="77777777" w:rsidR="00121947" w:rsidRDefault="00121947" w:rsidP="0012194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0A9FF9D" w14:textId="77777777" w:rsidR="000E2A37" w:rsidRPr="000E2A37" w:rsidRDefault="000E2A37" w:rsidP="000E2A37">
      <w:pPr>
        <w:keepNext/>
        <w:rPr>
          <w:rFonts w:ascii="David" w:hAnsi="David"/>
          <w:color w:val="000000"/>
          <w:sz w:val="22"/>
          <w:szCs w:val="22"/>
          <w:rtl/>
        </w:rPr>
      </w:pPr>
    </w:p>
    <w:p w14:paraId="54C0115C" w14:textId="77777777" w:rsidR="000E2A37" w:rsidRPr="000E2A37" w:rsidRDefault="000E2A37" w:rsidP="000E2A37">
      <w:pPr>
        <w:keepNext/>
        <w:rPr>
          <w:rFonts w:ascii="David" w:hAnsi="David"/>
          <w:color w:val="000000"/>
          <w:sz w:val="22"/>
          <w:szCs w:val="22"/>
          <w:rtl/>
        </w:rPr>
      </w:pPr>
      <w:r w:rsidRPr="000E2A37">
        <w:rPr>
          <w:rFonts w:ascii="David" w:hAnsi="David"/>
          <w:color w:val="000000"/>
          <w:sz w:val="22"/>
          <w:szCs w:val="22"/>
          <w:rtl/>
        </w:rPr>
        <w:t>שמואל מלמד 54678313-/</w:t>
      </w:r>
    </w:p>
    <w:p w14:paraId="6766E2C4" w14:textId="77777777" w:rsidR="00121947" w:rsidRPr="00121947" w:rsidRDefault="000E2A37" w:rsidP="000E2A37">
      <w:pPr>
        <w:rPr>
          <w:color w:val="0000FF"/>
          <w:u w:val="single"/>
        </w:rPr>
      </w:pPr>
      <w:r w:rsidRPr="000E2A37">
        <w:rPr>
          <w:color w:val="000000"/>
          <w:u w:val="single"/>
          <w:rtl/>
        </w:rPr>
        <w:t>נוסח מסמך זה כפוף לשינויי ניסוח ועריכה</w:t>
      </w:r>
    </w:p>
    <w:sectPr w:rsidR="00121947" w:rsidRPr="00121947" w:rsidSect="000E2A37">
      <w:headerReference w:type="even" r:id="rId38"/>
      <w:headerReference w:type="default" r:id="rId39"/>
      <w:footerReference w:type="even" r:id="rId40"/>
      <w:footerReference w:type="default" r:id="rId4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834F1" w14:textId="77777777" w:rsidR="00D00200" w:rsidRDefault="00D00200" w:rsidP="009A6B1E">
      <w:r>
        <w:separator/>
      </w:r>
    </w:p>
  </w:endnote>
  <w:endnote w:type="continuationSeparator" w:id="0">
    <w:p w14:paraId="3B58FEA0" w14:textId="77777777" w:rsidR="00D00200" w:rsidRDefault="00D00200" w:rsidP="009A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9689B" w14:textId="77777777" w:rsidR="000E2A37" w:rsidRDefault="000E2A37" w:rsidP="000E2A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53EBAE1" w14:textId="77777777" w:rsidR="000C32A8" w:rsidRPr="000E2A37" w:rsidRDefault="000E2A37" w:rsidP="000E2A37">
    <w:pPr>
      <w:pStyle w:val="a5"/>
      <w:pBdr>
        <w:top w:val="single" w:sz="4" w:space="1" w:color="auto"/>
        <w:between w:val="single" w:sz="4" w:space="0" w:color="auto"/>
      </w:pBdr>
      <w:spacing w:after="60"/>
      <w:jc w:val="center"/>
      <w:rPr>
        <w:rFonts w:ascii="FrankRuehl" w:hAnsi="FrankRuehl" w:cs="FrankRuehl"/>
        <w:color w:val="000000"/>
      </w:rPr>
    </w:pPr>
    <w:r w:rsidRPr="000E2A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E442" w14:textId="77777777" w:rsidR="000E2A37" w:rsidRDefault="000E2A37" w:rsidP="000E2A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6EDC">
      <w:rPr>
        <w:rFonts w:ascii="FrankRuehl" w:hAnsi="FrankRuehl" w:cs="FrankRuehl"/>
        <w:noProof/>
        <w:rtl/>
      </w:rPr>
      <w:t>1</w:t>
    </w:r>
    <w:r>
      <w:rPr>
        <w:rFonts w:ascii="FrankRuehl" w:hAnsi="FrankRuehl" w:cs="FrankRuehl"/>
        <w:rtl/>
      </w:rPr>
      <w:fldChar w:fldCharType="end"/>
    </w:r>
  </w:p>
  <w:p w14:paraId="22CE969D" w14:textId="77777777" w:rsidR="000C32A8" w:rsidRPr="000E2A37" w:rsidRDefault="000E2A37" w:rsidP="000E2A37">
    <w:pPr>
      <w:pStyle w:val="a5"/>
      <w:pBdr>
        <w:top w:val="single" w:sz="4" w:space="1" w:color="auto"/>
        <w:between w:val="single" w:sz="4" w:space="0" w:color="auto"/>
      </w:pBdr>
      <w:spacing w:after="60"/>
      <w:jc w:val="center"/>
      <w:rPr>
        <w:rFonts w:ascii="FrankRuehl" w:hAnsi="FrankRuehl" w:cs="FrankRuehl"/>
        <w:color w:val="000000"/>
      </w:rPr>
    </w:pPr>
    <w:r w:rsidRPr="000E2A37">
      <w:rPr>
        <w:rFonts w:ascii="FrankRuehl" w:hAnsi="FrankRuehl" w:cs="FrankRuehl"/>
        <w:color w:val="000000"/>
      </w:rPr>
      <w:pict w14:anchorId="34786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CB37A" w14:textId="77777777" w:rsidR="00D00200" w:rsidRDefault="00D00200" w:rsidP="009A6B1E">
      <w:r>
        <w:separator/>
      </w:r>
    </w:p>
  </w:footnote>
  <w:footnote w:type="continuationSeparator" w:id="0">
    <w:p w14:paraId="401F168A" w14:textId="77777777" w:rsidR="00D00200" w:rsidRDefault="00D00200" w:rsidP="009A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12FD6" w14:textId="77777777" w:rsidR="00121947" w:rsidRPr="000E2A37" w:rsidRDefault="000E2A37" w:rsidP="000E2A3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45138-08-24</w:t>
    </w:r>
    <w:r>
      <w:rPr>
        <w:rFonts w:ascii="David" w:hAnsi="David"/>
        <w:color w:val="000000"/>
        <w:sz w:val="22"/>
        <w:szCs w:val="22"/>
        <w:rtl/>
      </w:rPr>
      <w:tab/>
      <w:t xml:space="preserve"> מדינת ישראל נ' סובחי עמאש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78CE8" w14:textId="77777777" w:rsidR="00121947" w:rsidRPr="000E2A37" w:rsidRDefault="000E2A37" w:rsidP="000E2A3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45138-08-24</w:t>
    </w:r>
    <w:r>
      <w:rPr>
        <w:rFonts w:ascii="David" w:hAnsi="David"/>
        <w:color w:val="000000"/>
        <w:sz w:val="22"/>
        <w:szCs w:val="22"/>
        <w:rtl/>
      </w:rPr>
      <w:tab/>
      <w:t xml:space="preserve"> מדינת ישראל נ' סובחי עמאש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01880D52"/>
    <w:lvl w:ilvl="0" w:tplc="67D2434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8494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378D"/>
    <w:rsid w:val="000C32A8"/>
    <w:rsid w:val="000E2A37"/>
    <w:rsid w:val="00121947"/>
    <w:rsid w:val="005F0DAE"/>
    <w:rsid w:val="006D5D8D"/>
    <w:rsid w:val="008C6EDC"/>
    <w:rsid w:val="009A4E4C"/>
    <w:rsid w:val="009A6B1E"/>
    <w:rsid w:val="00D00200"/>
    <w:rsid w:val="00D337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4D2982"/>
  <w15:chartTrackingRefBased/>
  <w15:docId w15:val="{B5964C8E-137E-4DCA-B5FE-EEC16B8E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37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78D"/>
    <w:pPr>
      <w:tabs>
        <w:tab w:val="center" w:pos="4153"/>
        <w:tab w:val="right" w:pos="8306"/>
      </w:tabs>
    </w:pPr>
  </w:style>
  <w:style w:type="character" w:customStyle="1" w:styleId="a4">
    <w:name w:val="כותרת עליונה תו"/>
    <w:link w:val="a3"/>
    <w:rsid w:val="00D3378D"/>
    <w:rPr>
      <w:rFonts w:ascii="Times New Roman" w:eastAsia="Times New Roman" w:hAnsi="Times New Roman" w:cs="David"/>
      <w:sz w:val="24"/>
      <w:szCs w:val="24"/>
    </w:rPr>
  </w:style>
  <w:style w:type="paragraph" w:styleId="a5">
    <w:name w:val="footer"/>
    <w:basedOn w:val="a"/>
    <w:link w:val="a6"/>
    <w:rsid w:val="00D3378D"/>
    <w:pPr>
      <w:tabs>
        <w:tab w:val="center" w:pos="4153"/>
        <w:tab w:val="right" w:pos="8306"/>
      </w:tabs>
    </w:pPr>
  </w:style>
  <w:style w:type="character" w:customStyle="1" w:styleId="a6">
    <w:name w:val="כותרת תחתונה תו"/>
    <w:link w:val="a5"/>
    <w:rsid w:val="00D3378D"/>
    <w:rPr>
      <w:rFonts w:ascii="Times New Roman" w:eastAsia="Times New Roman" w:hAnsi="Times New Roman" w:cs="David"/>
      <w:sz w:val="24"/>
      <w:szCs w:val="24"/>
    </w:rPr>
  </w:style>
  <w:style w:type="table" w:styleId="a7">
    <w:name w:val="Table Grid"/>
    <w:basedOn w:val="a1"/>
    <w:rsid w:val="00D337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378D"/>
  </w:style>
  <w:style w:type="paragraph" w:styleId="a9">
    <w:name w:val="List Paragraph"/>
    <w:basedOn w:val="a"/>
    <w:qFormat/>
    <w:rsid w:val="00D3378D"/>
    <w:pPr>
      <w:ind w:left="720"/>
      <w:contextualSpacing/>
    </w:pPr>
  </w:style>
  <w:style w:type="paragraph" w:customStyle="1" w:styleId="ruller40">
    <w:name w:val="ruller40"/>
    <w:basedOn w:val="a"/>
    <w:rsid w:val="00D3378D"/>
    <w:pPr>
      <w:bidi w:val="0"/>
      <w:spacing w:before="100" w:beforeAutospacing="1" w:after="100" w:afterAutospacing="1"/>
    </w:pPr>
    <w:rPr>
      <w:rFonts w:cs="Times New Roman"/>
    </w:rPr>
  </w:style>
  <w:style w:type="character" w:customStyle="1" w:styleId="TimesNewRomanTimesNewRoman">
    <w:name w:val="סגנון (לטיני) Times New Roman (עברית ושפות אחרות) Times New Roman..."/>
    <w:rsid w:val="00D3378D"/>
    <w:rPr>
      <w:rFonts w:ascii="Times New Roman" w:hAnsi="Times New Roman" w:cs="David" w:hint="default"/>
      <w:b/>
      <w:bCs/>
      <w:sz w:val="26"/>
      <w:szCs w:val="26"/>
    </w:rPr>
  </w:style>
  <w:style w:type="character" w:styleId="Hyperlink">
    <w:name w:val="Hyperlink"/>
    <w:rsid w:val="00D3378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30252057" TargetMode="External"/><Relationship Id="rId39" Type="http://schemas.openxmlformats.org/officeDocument/2006/relationships/header" Target="header2.xml"/><Relationship Id="rId21" Type="http://schemas.openxmlformats.org/officeDocument/2006/relationships/hyperlink" Target="http://www.nevo.co.il/law/70301/275" TargetMode="External"/><Relationship Id="rId34" Type="http://schemas.openxmlformats.org/officeDocument/2006/relationships/hyperlink" Target="http://www.nevo.co.il/law/70301/144"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192" TargetMode="External"/><Relationship Id="rId29" Type="http://schemas.openxmlformats.org/officeDocument/2006/relationships/hyperlink" Target="http://www.nevo.co.il/case/2872269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30168342"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30360377" TargetMode="External"/><Relationship Id="rId28" Type="http://schemas.openxmlformats.org/officeDocument/2006/relationships/hyperlink" Target="http://www.nevo.co.il/case/28916087" TargetMode="External"/><Relationship Id="rId36" Type="http://schemas.openxmlformats.org/officeDocument/2006/relationships/hyperlink" Target="http://www.eca.gov.il"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40a.b.1" TargetMode="External"/><Relationship Id="rId31"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9677445"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case/30493100" TargetMode="External"/><Relationship Id="rId25" Type="http://schemas.openxmlformats.org/officeDocument/2006/relationships/hyperlink" Target="http://www.nevo.co.il/case/30315066"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2573</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15408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4063352</vt:i4>
      </vt:variant>
      <vt:variant>
        <vt:i4>66</vt:i4>
      </vt:variant>
      <vt:variant>
        <vt:i4>0</vt:i4>
      </vt:variant>
      <vt:variant>
        <vt:i4>5</vt:i4>
      </vt:variant>
      <vt:variant>
        <vt:lpwstr>http://www.nevo.co.il/case/28722692</vt:lpwstr>
      </vt:variant>
      <vt:variant>
        <vt:lpwstr/>
      </vt:variant>
      <vt:variant>
        <vt:i4>3473533</vt:i4>
      </vt:variant>
      <vt:variant>
        <vt:i4>63</vt:i4>
      </vt:variant>
      <vt:variant>
        <vt:i4>0</vt:i4>
      </vt:variant>
      <vt:variant>
        <vt:i4>5</vt:i4>
      </vt:variant>
      <vt:variant>
        <vt:lpwstr>http://www.nevo.co.il/case/28916087</vt:lpwstr>
      </vt:variant>
      <vt:variant>
        <vt:lpwstr/>
      </vt:variant>
      <vt:variant>
        <vt:i4>3604606</vt:i4>
      </vt:variant>
      <vt:variant>
        <vt:i4>60</vt:i4>
      </vt:variant>
      <vt:variant>
        <vt:i4>0</vt:i4>
      </vt:variant>
      <vt:variant>
        <vt:i4>5</vt:i4>
      </vt:variant>
      <vt:variant>
        <vt:lpwstr>http://www.nevo.co.il/case/29677445</vt:lpwstr>
      </vt:variant>
      <vt:variant>
        <vt:lpwstr/>
      </vt:variant>
      <vt:variant>
        <vt:i4>3539057</vt:i4>
      </vt:variant>
      <vt:variant>
        <vt:i4>57</vt:i4>
      </vt:variant>
      <vt:variant>
        <vt:i4>0</vt:i4>
      </vt:variant>
      <vt:variant>
        <vt:i4>5</vt:i4>
      </vt:variant>
      <vt:variant>
        <vt:lpwstr>http://www.nevo.co.il/case/30252057</vt:lpwstr>
      </vt:variant>
      <vt:variant>
        <vt:lpwstr/>
      </vt:variant>
      <vt:variant>
        <vt:i4>3342453</vt:i4>
      </vt:variant>
      <vt:variant>
        <vt:i4>54</vt:i4>
      </vt:variant>
      <vt:variant>
        <vt:i4>0</vt:i4>
      </vt:variant>
      <vt:variant>
        <vt:i4>5</vt:i4>
      </vt:variant>
      <vt:variant>
        <vt:lpwstr>http://www.nevo.co.il/case/30315066</vt:lpwstr>
      </vt:variant>
      <vt:variant>
        <vt:lpwstr/>
      </vt:variant>
      <vt:variant>
        <vt:i4>4063345</vt:i4>
      </vt:variant>
      <vt:variant>
        <vt:i4>51</vt:i4>
      </vt:variant>
      <vt:variant>
        <vt:i4>0</vt:i4>
      </vt:variant>
      <vt:variant>
        <vt:i4>5</vt:i4>
      </vt:variant>
      <vt:variant>
        <vt:lpwstr>http://www.nevo.co.il/case/30168342</vt:lpwstr>
      </vt:variant>
      <vt:variant>
        <vt:lpwstr/>
      </vt:variant>
      <vt:variant>
        <vt:i4>3604593</vt:i4>
      </vt:variant>
      <vt:variant>
        <vt:i4>48</vt:i4>
      </vt:variant>
      <vt:variant>
        <vt:i4>0</vt:i4>
      </vt:variant>
      <vt:variant>
        <vt:i4>5</vt:i4>
      </vt:variant>
      <vt:variant>
        <vt:lpwstr>http://www.nevo.co.il/case/30360377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3407996</vt:i4>
      </vt:variant>
      <vt:variant>
        <vt:i4>30</vt:i4>
      </vt:variant>
      <vt:variant>
        <vt:i4>0</vt:i4>
      </vt:variant>
      <vt:variant>
        <vt:i4>5</vt:i4>
      </vt:variant>
      <vt:variant>
        <vt:lpwstr>http://www.nevo.co.il/case/30493100</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45138</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סובחי עמאש  </vt:lpwstr>
  </property>
  <property fmtid="{D5CDD505-2E9C-101B-9397-08002B2CF9AE}" pid="10" name="LAWYER">
    <vt:lpwstr>רביד שיפמן;לילך כץ;ענבר פלש;שם טוב</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20250302</vt:lpwstr>
  </property>
  <property fmtid="{D5CDD505-2E9C-101B-9397-08002B2CF9AE}" pid="14" name="TYPE_N_DATE">
    <vt:lpwstr>39020250302</vt:lpwstr>
  </property>
  <property fmtid="{D5CDD505-2E9C-101B-9397-08002B2CF9AE}" pid="15" name="CASESLISTTMP1">
    <vt:lpwstr>30493100;30360377;30168342;30315066;30252057;29677445;28916087;28722692;28883087</vt:lpwstr>
  </property>
  <property fmtid="{D5CDD505-2E9C-101B-9397-08002B2CF9AE}" pid="16" name="CASENOTES1">
    <vt:lpwstr>ProcID=184&amp;PartA=28&amp;PartC=42</vt:lpwstr>
  </property>
  <property fmtid="{D5CDD505-2E9C-101B-9397-08002B2CF9AE}" pid="17" name="WORDNUMPAGES">
    <vt:lpwstr>7</vt:lpwstr>
  </property>
  <property fmtid="{D5CDD505-2E9C-101B-9397-08002B2CF9AE}" pid="18" name="TYPE_ABS_DATE">
    <vt:lpwstr>390020250302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70301/144.b:4;340a.b.1;192;275;040c.a;144</vt:lpwstr>
  </property>
  <property fmtid="{D5CDD505-2E9C-101B-9397-08002B2CF9AE}" pid="37" name="ISABSTRACT">
    <vt:lpwstr>Y</vt:lpwstr>
  </property>
</Properties>
</file>