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508B1" w:rsidRPr="00DC32C9" w14:paraId="35654510" w14:textId="77777777" w:rsidTr="00651351">
        <w:trPr>
          <w:trHeight w:hRule="exact" w:val="418"/>
          <w:jc w:val="center"/>
        </w:trPr>
        <w:tc>
          <w:tcPr>
            <w:tcW w:w="8721" w:type="dxa"/>
            <w:gridSpan w:val="2"/>
          </w:tcPr>
          <w:p w14:paraId="16722E42" w14:textId="77777777" w:rsidR="002508B1" w:rsidRPr="00DC32C9" w:rsidRDefault="002508B1" w:rsidP="003B34C5">
            <w:pPr>
              <w:pStyle w:val="a3"/>
              <w:jc w:val="center"/>
              <w:rPr>
                <w:rFonts w:ascii="Tahoma" w:hAnsi="Tahoma" w:cs="Tahoma"/>
                <w:color w:val="000080"/>
                <w:rtl/>
              </w:rPr>
            </w:pPr>
            <w:r w:rsidRPr="00DC32C9">
              <w:rPr>
                <w:rFonts w:ascii="Tahoma" w:hAnsi="Tahoma" w:cs="Tahoma"/>
                <w:b/>
                <w:bCs/>
                <w:color w:val="000080"/>
                <w:rtl/>
              </w:rPr>
              <w:t>בית המשפט המחוזי בחיפה</w:t>
            </w:r>
          </w:p>
        </w:tc>
      </w:tr>
      <w:tr w:rsidR="002508B1" w:rsidRPr="00DC32C9" w14:paraId="5AE34828" w14:textId="77777777" w:rsidTr="00651351">
        <w:trPr>
          <w:trHeight w:val="337"/>
          <w:jc w:val="center"/>
        </w:trPr>
        <w:tc>
          <w:tcPr>
            <w:tcW w:w="5058" w:type="dxa"/>
          </w:tcPr>
          <w:p w14:paraId="09173B4D" w14:textId="77777777" w:rsidR="002508B1" w:rsidRPr="00DC32C9" w:rsidRDefault="002508B1" w:rsidP="003B34C5">
            <w:pPr>
              <w:rPr>
                <w:rFonts w:cs="FrankRuehl"/>
                <w:sz w:val="28"/>
                <w:szCs w:val="28"/>
                <w:rtl/>
              </w:rPr>
            </w:pPr>
            <w:r w:rsidRPr="00DC32C9">
              <w:rPr>
                <w:b/>
                <w:bCs/>
                <w:sz w:val="26"/>
                <w:szCs w:val="26"/>
                <w:rtl/>
              </w:rPr>
              <w:t>ת"פ</w:t>
            </w:r>
            <w:r w:rsidRPr="00DC32C9">
              <w:rPr>
                <w:rFonts w:cs="FrankRuehl" w:hint="cs"/>
                <w:sz w:val="28"/>
                <w:szCs w:val="28"/>
                <w:rtl/>
              </w:rPr>
              <w:t xml:space="preserve"> </w:t>
            </w:r>
            <w:r w:rsidRPr="00DC32C9">
              <w:rPr>
                <w:b/>
                <w:bCs/>
                <w:sz w:val="26"/>
                <w:szCs w:val="26"/>
                <w:rtl/>
              </w:rPr>
              <w:t>54568-08-24</w:t>
            </w:r>
            <w:r w:rsidRPr="00DC32C9">
              <w:rPr>
                <w:rFonts w:cs="FrankRuehl" w:hint="cs"/>
                <w:sz w:val="28"/>
                <w:szCs w:val="28"/>
                <w:rtl/>
              </w:rPr>
              <w:t xml:space="preserve"> </w:t>
            </w:r>
            <w:r w:rsidRPr="00DC32C9">
              <w:rPr>
                <w:b/>
                <w:bCs/>
                <w:sz w:val="26"/>
                <w:szCs w:val="26"/>
                <w:rtl/>
              </w:rPr>
              <w:t>מדינת ישראל נ' עזאם(עציר)</w:t>
            </w:r>
          </w:p>
        </w:tc>
        <w:tc>
          <w:tcPr>
            <w:tcW w:w="3663" w:type="dxa"/>
          </w:tcPr>
          <w:p w14:paraId="5B4AAD32" w14:textId="77777777" w:rsidR="002508B1" w:rsidRPr="00DC32C9" w:rsidRDefault="002508B1" w:rsidP="003B34C5">
            <w:pPr>
              <w:pStyle w:val="a3"/>
              <w:jc w:val="right"/>
              <w:rPr>
                <w:rFonts w:cs="FrankRuehl"/>
                <w:sz w:val="28"/>
                <w:szCs w:val="28"/>
                <w:rtl/>
              </w:rPr>
            </w:pPr>
          </w:p>
        </w:tc>
      </w:tr>
    </w:tbl>
    <w:p w14:paraId="5C53FD12" w14:textId="77777777" w:rsidR="002508B1" w:rsidRPr="00DC32C9" w:rsidRDefault="002508B1" w:rsidP="002508B1">
      <w:pPr>
        <w:pStyle w:val="a3"/>
        <w:rPr>
          <w:rtl/>
        </w:rPr>
      </w:pPr>
      <w:r w:rsidRPr="00DC32C9">
        <w:rPr>
          <w:rFonts w:hint="cs"/>
          <w:rtl/>
        </w:rPr>
        <w:t xml:space="preserve"> </w:t>
      </w:r>
    </w:p>
    <w:p w14:paraId="1D2093E0" w14:textId="77777777" w:rsidR="002508B1" w:rsidRPr="00DC32C9" w:rsidRDefault="002508B1" w:rsidP="002508B1">
      <w:pPr>
        <w:rPr>
          <w:rtl/>
        </w:rPr>
      </w:pPr>
    </w:p>
    <w:p w14:paraId="05D5C747" w14:textId="77777777" w:rsidR="002508B1" w:rsidRPr="00DC32C9" w:rsidRDefault="002508B1" w:rsidP="002508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508B1" w:rsidRPr="00DC32C9" w14:paraId="75649124" w14:textId="77777777" w:rsidTr="002508B1">
        <w:trPr>
          <w:trHeight w:val="295"/>
          <w:jc w:val="center"/>
        </w:trPr>
        <w:tc>
          <w:tcPr>
            <w:tcW w:w="923" w:type="dxa"/>
            <w:tcBorders>
              <w:top w:val="nil"/>
              <w:left w:val="nil"/>
              <w:bottom w:val="nil"/>
              <w:right w:val="nil"/>
            </w:tcBorders>
            <w:shd w:val="clear" w:color="auto" w:fill="auto"/>
          </w:tcPr>
          <w:p w14:paraId="754AAC88" w14:textId="77777777" w:rsidR="002508B1" w:rsidRPr="00DC32C9" w:rsidRDefault="002508B1" w:rsidP="003B34C5">
            <w:pPr>
              <w:rPr>
                <w:b/>
                <w:bCs/>
              </w:rPr>
            </w:pPr>
            <w:r w:rsidRPr="00DC32C9">
              <w:rPr>
                <w:b/>
                <w:bCs/>
                <w:rtl/>
              </w:rPr>
              <w:t>לפני</w:t>
            </w:r>
          </w:p>
        </w:tc>
        <w:tc>
          <w:tcPr>
            <w:tcW w:w="7897" w:type="dxa"/>
            <w:gridSpan w:val="2"/>
            <w:tcBorders>
              <w:top w:val="nil"/>
              <w:left w:val="nil"/>
              <w:bottom w:val="nil"/>
              <w:right w:val="nil"/>
            </w:tcBorders>
            <w:shd w:val="clear" w:color="auto" w:fill="auto"/>
          </w:tcPr>
          <w:p w14:paraId="4CC9D105" w14:textId="77777777" w:rsidR="002508B1" w:rsidRPr="00DC32C9" w:rsidRDefault="002508B1" w:rsidP="003B34C5">
            <w:pPr>
              <w:rPr>
                <w:b/>
                <w:bCs/>
              </w:rPr>
            </w:pPr>
            <w:r w:rsidRPr="00DC32C9">
              <w:rPr>
                <w:b/>
                <w:bCs/>
                <w:rtl/>
              </w:rPr>
              <w:t>כב' הנשיא, השופט אבי לוי</w:t>
            </w:r>
          </w:p>
        </w:tc>
      </w:tr>
      <w:tr w:rsidR="002508B1" w:rsidRPr="00DC32C9" w14:paraId="4F16714B" w14:textId="77777777" w:rsidTr="002508B1">
        <w:trPr>
          <w:trHeight w:val="355"/>
          <w:jc w:val="center"/>
        </w:trPr>
        <w:tc>
          <w:tcPr>
            <w:tcW w:w="923" w:type="dxa"/>
            <w:tcBorders>
              <w:top w:val="nil"/>
              <w:left w:val="nil"/>
              <w:bottom w:val="nil"/>
              <w:right w:val="nil"/>
            </w:tcBorders>
            <w:shd w:val="clear" w:color="auto" w:fill="auto"/>
          </w:tcPr>
          <w:p w14:paraId="2E211A99" w14:textId="77777777" w:rsidR="002508B1" w:rsidRPr="00DC32C9" w:rsidRDefault="002508B1" w:rsidP="003B34C5">
            <w:pPr>
              <w:rPr>
                <w:b/>
                <w:bCs/>
              </w:rPr>
            </w:pPr>
            <w:bookmarkStart w:id="0" w:name="FirstAppellant"/>
            <w:bookmarkStart w:id="1" w:name="LastJudge"/>
            <w:bookmarkEnd w:id="1"/>
            <w:r w:rsidRPr="00DC32C9">
              <w:rPr>
                <w:rFonts w:hint="cs"/>
                <w:b/>
                <w:bCs/>
                <w:rtl/>
              </w:rPr>
              <w:t>בעניין:</w:t>
            </w:r>
          </w:p>
        </w:tc>
        <w:tc>
          <w:tcPr>
            <w:tcW w:w="4126" w:type="dxa"/>
            <w:tcBorders>
              <w:top w:val="nil"/>
              <w:left w:val="nil"/>
              <w:bottom w:val="nil"/>
              <w:right w:val="nil"/>
            </w:tcBorders>
            <w:shd w:val="clear" w:color="auto" w:fill="auto"/>
          </w:tcPr>
          <w:p w14:paraId="4706379F" w14:textId="77777777" w:rsidR="002508B1" w:rsidRPr="00DC32C9" w:rsidRDefault="002508B1" w:rsidP="003B34C5">
            <w:pPr>
              <w:rPr>
                <w:b/>
                <w:bCs/>
              </w:rPr>
            </w:pPr>
            <w:r w:rsidRPr="00DC32C9">
              <w:rPr>
                <w:rFonts w:hint="cs"/>
                <w:b/>
                <w:bCs/>
                <w:rtl/>
              </w:rPr>
              <w:t>המאשימה</w:t>
            </w:r>
          </w:p>
        </w:tc>
        <w:tc>
          <w:tcPr>
            <w:tcW w:w="3771" w:type="dxa"/>
            <w:tcBorders>
              <w:top w:val="nil"/>
              <w:left w:val="nil"/>
              <w:bottom w:val="nil"/>
              <w:right w:val="nil"/>
            </w:tcBorders>
            <w:shd w:val="clear" w:color="auto" w:fill="auto"/>
          </w:tcPr>
          <w:p w14:paraId="5490B902" w14:textId="77777777" w:rsidR="002508B1" w:rsidRPr="00DC32C9" w:rsidRDefault="002508B1" w:rsidP="003B34C5">
            <w:pPr>
              <w:rPr>
                <w:b/>
                <w:bCs/>
              </w:rPr>
            </w:pPr>
            <w:r w:rsidRPr="00DC32C9">
              <w:rPr>
                <w:rFonts w:hint="cs"/>
                <w:b/>
                <w:bCs/>
                <w:rtl/>
              </w:rPr>
              <w:t xml:space="preserve">מדינת ישראל </w:t>
            </w:r>
          </w:p>
        </w:tc>
      </w:tr>
      <w:bookmarkEnd w:id="0"/>
      <w:tr w:rsidR="002508B1" w:rsidRPr="00DC32C9" w14:paraId="11B3181E" w14:textId="77777777" w:rsidTr="002508B1">
        <w:trPr>
          <w:trHeight w:val="355"/>
          <w:jc w:val="center"/>
        </w:trPr>
        <w:tc>
          <w:tcPr>
            <w:tcW w:w="923" w:type="dxa"/>
            <w:tcBorders>
              <w:top w:val="nil"/>
              <w:left w:val="nil"/>
              <w:bottom w:val="nil"/>
              <w:right w:val="nil"/>
            </w:tcBorders>
            <w:shd w:val="clear" w:color="auto" w:fill="auto"/>
          </w:tcPr>
          <w:p w14:paraId="2B0535D8" w14:textId="77777777" w:rsidR="002508B1" w:rsidRPr="00DC32C9" w:rsidRDefault="002508B1" w:rsidP="003B34C5">
            <w:pPr>
              <w:rPr>
                <w:b/>
                <w:bCs/>
                <w:rtl/>
              </w:rPr>
            </w:pPr>
          </w:p>
        </w:tc>
        <w:tc>
          <w:tcPr>
            <w:tcW w:w="7897" w:type="dxa"/>
            <w:gridSpan w:val="2"/>
            <w:tcBorders>
              <w:top w:val="nil"/>
              <w:left w:val="nil"/>
              <w:bottom w:val="nil"/>
              <w:right w:val="nil"/>
            </w:tcBorders>
            <w:shd w:val="clear" w:color="auto" w:fill="auto"/>
          </w:tcPr>
          <w:p w14:paraId="01EF7305" w14:textId="77777777" w:rsidR="002508B1" w:rsidRPr="00DC32C9" w:rsidRDefault="002508B1" w:rsidP="003B34C5">
            <w:pPr>
              <w:rPr>
                <w:b/>
                <w:bCs/>
                <w:rtl/>
              </w:rPr>
            </w:pPr>
          </w:p>
          <w:p w14:paraId="5A1C283C" w14:textId="77777777" w:rsidR="002508B1" w:rsidRPr="00DC32C9" w:rsidRDefault="002508B1" w:rsidP="002508B1">
            <w:pPr>
              <w:jc w:val="center"/>
              <w:rPr>
                <w:b/>
                <w:bCs/>
                <w:rtl/>
              </w:rPr>
            </w:pPr>
            <w:r w:rsidRPr="00DC32C9">
              <w:rPr>
                <w:b/>
                <w:bCs/>
                <w:rtl/>
              </w:rPr>
              <w:t>נגד</w:t>
            </w:r>
          </w:p>
          <w:p w14:paraId="05406017" w14:textId="77777777" w:rsidR="002508B1" w:rsidRPr="00DC32C9" w:rsidRDefault="002508B1" w:rsidP="003B34C5">
            <w:pPr>
              <w:rPr>
                <w:b/>
                <w:bCs/>
              </w:rPr>
            </w:pPr>
          </w:p>
        </w:tc>
      </w:tr>
      <w:tr w:rsidR="002508B1" w:rsidRPr="00DC32C9" w14:paraId="09420AA2" w14:textId="77777777" w:rsidTr="002508B1">
        <w:trPr>
          <w:trHeight w:val="355"/>
          <w:jc w:val="center"/>
        </w:trPr>
        <w:tc>
          <w:tcPr>
            <w:tcW w:w="923" w:type="dxa"/>
            <w:tcBorders>
              <w:top w:val="nil"/>
              <w:left w:val="nil"/>
              <w:bottom w:val="nil"/>
              <w:right w:val="nil"/>
            </w:tcBorders>
            <w:shd w:val="clear" w:color="auto" w:fill="auto"/>
          </w:tcPr>
          <w:p w14:paraId="1EB0EE7F" w14:textId="77777777" w:rsidR="002508B1" w:rsidRPr="00DC32C9" w:rsidRDefault="002508B1" w:rsidP="003B34C5">
            <w:pPr>
              <w:rPr>
                <w:b/>
                <w:bCs/>
                <w:rtl/>
              </w:rPr>
            </w:pPr>
          </w:p>
        </w:tc>
        <w:tc>
          <w:tcPr>
            <w:tcW w:w="4126" w:type="dxa"/>
            <w:tcBorders>
              <w:top w:val="nil"/>
              <w:left w:val="nil"/>
              <w:bottom w:val="nil"/>
              <w:right w:val="nil"/>
            </w:tcBorders>
            <w:shd w:val="clear" w:color="auto" w:fill="auto"/>
          </w:tcPr>
          <w:p w14:paraId="04BA4F70" w14:textId="77777777" w:rsidR="002508B1" w:rsidRPr="00DC32C9" w:rsidRDefault="002508B1" w:rsidP="003B34C5">
            <w:pPr>
              <w:rPr>
                <w:b/>
                <w:bCs/>
                <w:rtl/>
              </w:rPr>
            </w:pPr>
            <w:r w:rsidRPr="00DC32C9">
              <w:rPr>
                <w:b/>
                <w:bCs/>
                <w:rtl/>
              </w:rPr>
              <w:t>נדאל עזאם (עציר)</w:t>
            </w:r>
          </w:p>
        </w:tc>
        <w:tc>
          <w:tcPr>
            <w:tcW w:w="3771" w:type="dxa"/>
            <w:tcBorders>
              <w:top w:val="nil"/>
              <w:left w:val="nil"/>
              <w:bottom w:val="nil"/>
              <w:right w:val="nil"/>
            </w:tcBorders>
            <w:shd w:val="clear" w:color="auto" w:fill="auto"/>
          </w:tcPr>
          <w:p w14:paraId="7A86323B" w14:textId="77777777" w:rsidR="002508B1" w:rsidRPr="00DC32C9" w:rsidRDefault="002508B1" w:rsidP="002508B1">
            <w:pPr>
              <w:jc w:val="right"/>
              <w:rPr>
                <w:b/>
                <w:bCs/>
              </w:rPr>
            </w:pPr>
          </w:p>
        </w:tc>
      </w:tr>
      <w:tr w:rsidR="002508B1" w:rsidRPr="00DC32C9" w14:paraId="2A717E55" w14:textId="77777777" w:rsidTr="002508B1">
        <w:trPr>
          <w:trHeight w:val="355"/>
          <w:jc w:val="center"/>
        </w:trPr>
        <w:tc>
          <w:tcPr>
            <w:tcW w:w="923" w:type="dxa"/>
            <w:tcBorders>
              <w:top w:val="nil"/>
              <w:left w:val="nil"/>
              <w:bottom w:val="nil"/>
              <w:right w:val="nil"/>
            </w:tcBorders>
            <w:shd w:val="clear" w:color="auto" w:fill="auto"/>
          </w:tcPr>
          <w:p w14:paraId="459E8C71" w14:textId="77777777" w:rsidR="002508B1" w:rsidRPr="00DC32C9" w:rsidRDefault="002508B1" w:rsidP="003B34C5">
            <w:pPr>
              <w:rPr>
                <w:b/>
                <w:bCs/>
                <w:rtl/>
              </w:rPr>
            </w:pPr>
          </w:p>
        </w:tc>
        <w:tc>
          <w:tcPr>
            <w:tcW w:w="4126" w:type="dxa"/>
            <w:tcBorders>
              <w:top w:val="nil"/>
              <w:left w:val="nil"/>
              <w:bottom w:val="nil"/>
              <w:right w:val="nil"/>
            </w:tcBorders>
            <w:shd w:val="clear" w:color="auto" w:fill="auto"/>
          </w:tcPr>
          <w:p w14:paraId="6E7EAF9A" w14:textId="77777777" w:rsidR="002508B1" w:rsidRPr="00DC32C9" w:rsidRDefault="002508B1" w:rsidP="003B34C5">
            <w:pPr>
              <w:rPr>
                <w:b/>
                <w:bCs/>
                <w:rtl/>
              </w:rPr>
            </w:pPr>
          </w:p>
        </w:tc>
        <w:tc>
          <w:tcPr>
            <w:tcW w:w="3771" w:type="dxa"/>
            <w:tcBorders>
              <w:top w:val="nil"/>
              <w:left w:val="nil"/>
              <w:bottom w:val="nil"/>
              <w:right w:val="nil"/>
            </w:tcBorders>
            <w:shd w:val="clear" w:color="auto" w:fill="auto"/>
          </w:tcPr>
          <w:p w14:paraId="0D239E03" w14:textId="77777777" w:rsidR="002508B1" w:rsidRPr="00DC32C9" w:rsidRDefault="002508B1" w:rsidP="003B34C5">
            <w:pPr>
              <w:rPr>
                <w:b/>
                <w:bCs/>
              </w:rPr>
            </w:pPr>
            <w:r w:rsidRPr="00DC32C9">
              <w:rPr>
                <w:rFonts w:hint="cs"/>
                <w:b/>
                <w:bCs/>
                <w:rtl/>
              </w:rPr>
              <w:t>ה</w:t>
            </w:r>
            <w:r w:rsidRPr="00DC32C9">
              <w:rPr>
                <w:b/>
                <w:bCs/>
                <w:rtl/>
              </w:rPr>
              <w:t>נאשמים</w:t>
            </w:r>
          </w:p>
        </w:tc>
      </w:tr>
    </w:tbl>
    <w:p w14:paraId="5F0840EB" w14:textId="77777777" w:rsidR="00651351" w:rsidRDefault="00651351" w:rsidP="002508B1">
      <w:pPr>
        <w:rPr>
          <w:rtl/>
        </w:rPr>
      </w:pPr>
      <w:bookmarkStart w:id="2" w:name="LawTable"/>
      <w:bookmarkEnd w:id="2"/>
    </w:p>
    <w:p w14:paraId="5AAF607F" w14:textId="77777777" w:rsidR="00651351" w:rsidRPr="00651351" w:rsidRDefault="00651351" w:rsidP="00651351">
      <w:pPr>
        <w:spacing w:after="120" w:line="240" w:lineRule="exact"/>
        <w:ind w:left="283" w:hanging="283"/>
        <w:jc w:val="both"/>
        <w:rPr>
          <w:rFonts w:ascii="FrankRuehl" w:hAnsi="FrankRuehl" w:cs="FrankRuehl" w:hint="cs"/>
          <w:rtl/>
        </w:rPr>
      </w:pPr>
    </w:p>
    <w:p w14:paraId="1515BBE9" w14:textId="77777777" w:rsidR="00651351" w:rsidRPr="00651351" w:rsidRDefault="00651351" w:rsidP="00651351">
      <w:pPr>
        <w:spacing w:after="120" w:line="240" w:lineRule="exact"/>
        <w:ind w:left="283" w:hanging="283"/>
        <w:jc w:val="both"/>
        <w:rPr>
          <w:rFonts w:ascii="FrankRuehl" w:hAnsi="FrankRuehl" w:cs="FrankRuehl"/>
          <w:rtl/>
        </w:rPr>
      </w:pPr>
      <w:r w:rsidRPr="00651351">
        <w:rPr>
          <w:rFonts w:ascii="FrankRuehl" w:hAnsi="FrankRuehl" w:cs="FrankRuehl"/>
          <w:rtl/>
        </w:rPr>
        <w:t xml:space="preserve">חקיקה שאוזכרה: </w:t>
      </w:r>
    </w:p>
    <w:p w14:paraId="7DD68FF7" w14:textId="77777777" w:rsidR="00651351" w:rsidRPr="00651351" w:rsidRDefault="00651351" w:rsidP="00651351">
      <w:pPr>
        <w:spacing w:after="120" w:line="240" w:lineRule="exact"/>
        <w:ind w:left="283" w:hanging="283"/>
        <w:jc w:val="both"/>
        <w:rPr>
          <w:rFonts w:ascii="FrankRuehl" w:hAnsi="FrankRuehl" w:cs="FrankRuehl"/>
          <w:rtl/>
        </w:rPr>
      </w:pPr>
      <w:hyperlink r:id="rId7" w:history="1">
        <w:r w:rsidRPr="00651351">
          <w:rPr>
            <w:rFonts w:ascii="FrankRuehl" w:hAnsi="FrankRuehl" w:cs="FrankRuehl"/>
            <w:color w:val="0000FF"/>
            <w:u w:val="single"/>
            <w:rtl/>
          </w:rPr>
          <w:t>חוק העונשין, תשל"ז-1977</w:t>
        </w:r>
      </w:hyperlink>
      <w:r w:rsidRPr="00651351">
        <w:rPr>
          <w:rFonts w:ascii="FrankRuehl" w:hAnsi="FrankRuehl" w:cs="FrankRuehl"/>
          <w:rtl/>
        </w:rPr>
        <w:t xml:space="preserve">: סע'  </w:t>
      </w:r>
      <w:hyperlink r:id="rId8" w:history="1">
        <w:r w:rsidRPr="00651351">
          <w:rPr>
            <w:rFonts w:ascii="FrankRuehl" w:hAnsi="FrankRuehl" w:cs="FrankRuehl"/>
            <w:color w:val="0000FF"/>
            <w:u w:val="single"/>
            <w:rtl/>
          </w:rPr>
          <w:t>40ז</w:t>
        </w:r>
      </w:hyperlink>
      <w:r w:rsidRPr="00651351">
        <w:rPr>
          <w:rFonts w:ascii="FrankRuehl" w:hAnsi="FrankRuehl" w:cs="FrankRuehl"/>
          <w:rtl/>
        </w:rPr>
        <w:t xml:space="preserve">, </w:t>
      </w:r>
      <w:hyperlink r:id="rId9" w:history="1">
        <w:r w:rsidRPr="00651351">
          <w:rPr>
            <w:rFonts w:ascii="FrankRuehl" w:hAnsi="FrankRuehl" w:cs="FrankRuehl"/>
            <w:color w:val="0000FF"/>
            <w:u w:val="single"/>
            <w:rtl/>
          </w:rPr>
          <w:t>40ט</w:t>
        </w:r>
      </w:hyperlink>
      <w:r w:rsidRPr="00651351">
        <w:rPr>
          <w:rFonts w:ascii="FrankRuehl" w:hAnsi="FrankRuehl" w:cs="FrankRuehl"/>
          <w:rtl/>
        </w:rPr>
        <w:t xml:space="preserve">, </w:t>
      </w:r>
      <w:hyperlink r:id="rId10" w:history="1">
        <w:r w:rsidRPr="00651351">
          <w:rPr>
            <w:rFonts w:ascii="FrankRuehl" w:hAnsi="FrankRuehl" w:cs="FrankRuehl"/>
            <w:color w:val="0000FF"/>
            <w:u w:val="single"/>
            <w:rtl/>
          </w:rPr>
          <w:t>144</w:t>
        </w:r>
      </w:hyperlink>
      <w:r w:rsidRPr="00651351">
        <w:rPr>
          <w:rFonts w:ascii="FrankRuehl" w:hAnsi="FrankRuehl" w:cs="FrankRuehl"/>
          <w:rtl/>
        </w:rPr>
        <w:t xml:space="preserve">, </w:t>
      </w:r>
      <w:hyperlink r:id="rId11" w:history="1">
        <w:r w:rsidRPr="00651351">
          <w:rPr>
            <w:rFonts w:ascii="FrankRuehl" w:hAnsi="FrankRuehl" w:cs="FrankRuehl"/>
            <w:color w:val="0000FF"/>
            <w:u w:val="single"/>
            <w:rtl/>
          </w:rPr>
          <w:t>144(א)</w:t>
        </w:r>
      </w:hyperlink>
      <w:r w:rsidRPr="00651351">
        <w:rPr>
          <w:rFonts w:ascii="FrankRuehl" w:hAnsi="FrankRuehl" w:cs="FrankRuehl"/>
          <w:rtl/>
        </w:rPr>
        <w:t xml:space="preserve">, </w:t>
      </w:r>
      <w:hyperlink r:id="rId12" w:history="1">
        <w:r w:rsidRPr="00651351">
          <w:rPr>
            <w:rFonts w:ascii="FrankRuehl" w:hAnsi="FrankRuehl" w:cs="FrankRuehl"/>
            <w:color w:val="0000FF"/>
            <w:u w:val="single"/>
            <w:rtl/>
          </w:rPr>
          <w:t>144(ב)</w:t>
        </w:r>
      </w:hyperlink>
      <w:r w:rsidRPr="00651351">
        <w:rPr>
          <w:rFonts w:ascii="FrankRuehl" w:hAnsi="FrankRuehl" w:cs="FrankRuehl"/>
          <w:rtl/>
        </w:rPr>
        <w:t xml:space="preserve">, </w:t>
      </w:r>
      <w:hyperlink r:id="rId13" w:history="1">
        <w:r w:rsidRPr="00651351">
          <w:rPr>
            <w:rFonts w:ascii="FrankRuehl" w:hAnsi="FrankRuehl" w:cs="FrankRuehl"/>
            <w:color w:val="0000FF"/>
            <w:u w:val="single"/>
            <w:rtl/>
          </w:rPr>
          <w:t>40יא</w:t>
        </w:r>
      </w:hyperlink>
      <w:r w:rsidRPr="00651351">
        <w:rPr>
          <w:rFonts w:ascii="FrankRuehl" w:hAnsi="FrankRuehl" w:cs="FrankRuehl"/>
          <w:rtl/>
        </w:rPr>
        <w:t xml:space="preserve">, </w:t>
      </w:r>
      <w:hyperlink r:id="rId14" w:history="1">
        <w:r w:rsidRPr="00651351">
          <w:rPr>
            <w:rFonts w:ascii="FrankRuehl" w:hAnsi="FrankRuehl" w:cs="FrankRuehl"/>
            <w:color w:val="0000FF"/>
            <w:u w:val="single"/>
            <w:rtl/>
          </w:rPr>
          <w:t>40יג(א)</w:t>
        </w:r>
      </w:hyperlink>
      <w:r w:rsidRPr="00651351">
        <w:rPr>
          <w:rFonts w:ascii="FrankRuehl" w:hAnsi="FrankRuehl" w:cs="FrankRuehl"/>
          <w:rtl/>
        </w:rPr>
        <w:t xml:space="preserve">, </w:t>
      </w:r>
      <w:hyperlink r:id="rId15" w:history="1">
        <w:r w:rsidRPr="00651351">
          <w:rPr>
            <w:rFonts w:ascii="FrankRuehl" w:hAnsi="FrankRuehl" w:cs="FrankRuehl"/>
            <w:color w:val="0000FF"/>
            <w:u w:val="single"/>
            <w:rtl/>
          </w:rPr>
          <w:t>40יג(ג)</w:t>
        </w:r>
      </w:hyperlink>
    </w:p>
    <w:p w14:paraId="2B5DEB05" w14:textId="77777777" w:rsidR="00651351" w:rsidRPr="00651351" w:rsidRDefault="00651351" w:rsidP="00651351">
      <w:pPr>
        <w:spacing w:after="120" w:line="240" w:lineRule="exact"/>
        <w:ind w:left="283" w:hanging="283"/>
        <w:jc w:val="both"/>
        <w:rPr>
          <w:rFonts w:ascii="FrankRuehl" w:hAnsi="FrankRuehl" w:cs="FrankRuehl"/>
          <w:rtl/>
        </w:rPr>
      </w:pPr>
    </w:p>
    <w:p w14:paraId="4D0DF50F" w14:textId="77777777" w:rsidR="00651351" w:rsidRPr="00651351" w:rsidRDefault="00651351" w:rsidP="002508B1">
      <w:pPr>
        <w:rPr>
          <w:rtl/>
        </w:rPr>
      </w:pPr>
      <w:bookmarkStart w:id="3" w:name="LawTable_End"/>
      <w:bookmarkEnd w:id="3"/>
    </w:p>
    <w:p w14:paraId="2B7F1CEA" w14:textId="77777777" w:rsidR="00651351" w:rsidRPr="00651351" w:rsidRDefault="00651351" w:rsidP="002508B1">
      <w:pPr>
        <w:rPr>
          <w:rtl/>
        </w:rPr>
      </w:pPr>
    </w:p>
    <w:p w14:paraId="4684F607" w14:textId="77777777" w:rsidR="00651351" w:rsidRPr="00DC32C9" w:rsidRDefault="00651351" w:rsidP="00DC32C9">
      <w:pPr>
        <w:spacing w:line="360" w:lineRule="auto"/>
        <w:jc w:val="both"/>
        <w:rPr>
          <w:rFonts w:ascii="Arial" w:hAnsi="Arial" w:hint="cs"/>
          <w:rtl/>
        </w:rPr>
      </w:pPr>
    </w:p>
    <w:p w14:paraId="75DF4D25" w14:textId="77777777" w:rsidR="002508B1" w:rsidRPr="00DC32C9" w:rsidRDefault="002508B1" w:rsidP="002508B1">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08B1" w14:paraId="079FA91D" w14:textId="77777777" w:rsidTr="002508B1">
        <w:trPr>
          <w:trHeight w:val="355"/>
          <w:jc w:val="center"/>
        </w:trPr>
        <w:tc>
          <w:tcPr>
            <w:tcW w:w="8820" w:type="dxa"/>
            <w:tcBorders>
              <w:top w:val="nil"/>
              <w:left w:val="nil"/>
              <w:bottom w:val="nil"/>
              <w:right w:val="nil"/>
            </w:tcBorders>
            <w:shd w:val="clear" w:color="auto" w:fill="auto"/>
          </w:tcPr>
          <w:p w14:paraId="129F8625" w14:textId="77777777" w:rsidR="00DC32C9" w:rsidRPr="00DC32C9" w:rsidRDefault="00DC32C9" w:rsidP="00DC32C9">
            <w:pPr>
              <w:jc w:val="center"/>
              <w:rPr>
                <w:rFonts w:ascii="Arial" w:hAnsi="Arial"/>
                <w:b/>
                <w:bCs/>
                <w:sz w:val="28"/>
                <w:szCs w:val="28"/>
                <w:u w:val="single"/>
                <w:rtl/>
              </w:rPr>
            </w:pPr>
            <w:bookmarkStart w:id="4" w:name="PsakDin" w:colFirst="0" w:colLast="0"/>
            <w:r w:rsidRPr="00DC32C9">
              <w:rPr>
                <w:rFonts w:ascii="Arial" w:hAnsi="Arial"/>
                <w:b/>
                <w:bCs/>
                <w:sz w:val="28"/>
                <w:szCs w:val="28"/>
                <w:u w:val="single"/>
                <w:rtl/>
              </w:rPr>
              <w:t>גזר דין</w:t>
            </w:r>
          </w:p>
          <w:p w14:paraId="0CE9FD1B" w14:textId="77777777" w:rsidR="002508B1" w:rsidRPr="00DC32C9" w:rsidRDefault="002508B1" w:rsidP="00DC32C9">
            <w:pPr>
              <w:jc w:val="center"/>
              <w:rPr>
                <w:rFonts w:ascii="Arial" w:hAnsi="Arial"/>
                <w:bCs/>
                <w:sz w:val="28"/>
                <w:szCs w:val="28"/>
                <w:u w:val="single"/>
                <w:rtl/>
              </w:rPr>
            </w:pPr>
          </w:p>
        </w:tc>
      </w:tr>
      <w:bookmarkEnd w:id="4"/>
    </w:tbl>
    <w:p w14:paraId="132768C6" w14:textId="77777777" w:rsidR="002508B1" w:rsidRPr="00B05847" w:rsidRDefault="002508B1" w:rsidP="002508B1">
      <w:pPr>
        <w:spacing w:line="360" w:lineRule="auto"/>
        <w:jc w:val="both"/>
        <w:rPr>
          <w:rFonts w:ascii="Arial" w:hAnsi="Arial"/>
          <w:rtl/>
        </w:rPr>
      </w:pPr>
    </w:p>
    <w:p w14:paraId="69EB1FFC" w14:textId="77777777" w:rsidR="002508B1" w:rsidRPr="00406D5C" w:rsidRDefault="002508B1" w:rsidP="002508B1">
      <w:pPr>
        <w:spacing w:line="360" w:lineRule="auto"/>
        <w:jc w:val="both"/>
        <w:rPr>
          <w:rFonts w:ascii="David" w:eastAsia="Calibri" w:hAnsi="David"/>
          <w:u w:val="single"/>
        </w:rPr>
      </w:pPr>
    </w:p>
    <w:p w14:paraId="7C36FF41" w14:textId="77777777" w:rsidR="002508B1" w:rsidRPr="00406D5C" w:rsidRDefault="002508B1" w:rsidP="002508B1">
      <w:pPr>
        <w:spacing w:line="360" w:lineRule="auto"/>
        <w:jc w:val="both"/>
        <w:rPr>
          <w:rFonts w:ascii="David" w:eastAsia="Calibri" w:hAnsi="David"/>
          <w:rtl/>
        </w:rPr>
      </w:pPr>
      <w:bookmarkStart w:id="5" w:name="ABSTRACT_START"/>
      <w:bookmarkEnd w:id="5"/>
      <w:r w:rsidRPr="00406D5C">
        <w:rPr>
          <w:rFonts w:ascii="David" w:eastAsia="Calibri" w:hAnsi="David"/>
          <w:rtl/>
        </w:rPr>
        <w:t xml:space="preserve">הנאשם, </w:t>
      </w:r>
      <w:r w:rsidRPr="00406D5C">
        <w:rPr>
          <w:rFonts w:ascii="David" w:eastAsia="Calibri" w:hAnsi="David"/>
          <w:b/>
          <w:bCs/>
          <w:rtl/>
        </w:rPr>
        <w:t>נדאל עזאם</w:t>
      </w:r>
      <w:r w:rsidRPr="00406D5C">
        <w:rPr>
          <w:rFonts w:ascii="David" w:eastAsia="Calibri" w:hAnsi="David"/>
          <w:rtl/>
        </w:rPr>
        <w:t xml:space="preserve">, הורשע ביום 4.2.24 - בהתאם להודאתו במסגרת הסדר טיעון - בעבירות שנכללו בכתב אישום מתוקן אשר הוגש נגדו, ואשר עניינן </w:t>
      </w:r>
      <w:r w:rsidRPr="00406D5C">
        <w:rPr>
          <w:rFonts w:ascii="David" w:eastAsia="Calibri" w:hAnsi="David"/>
          <w:b/>
          <w:bCs/>
          <w:rtl/>
        </w:rPr>
        <w:t>החזקת נשק,</w:t>
      </w:r>
      <w:r w:rsidRPr="00406D5C">
        <w:rPr>
          <w:rFonts w:ascii="David" w:eastAsia="Calibri" w:hAnsi="David"/>
          <w:rtl/>
        </w:rPr>
        <w:t xml:space="preserve"> </w:t>
      </w:r>
      <w:r w:rsidRPr="00406D5C">
        <w:rPr>
          <w:rFonts w:ascii="David" w:eastAsia="Calibri" w:hAnsi="David"/>
          <w:b/>
          <w:bCs/>
          <w:rtl/>
        </w:rPr>
        <w:t xml:space="preserve">נשיאתו, והובלתו </w:t>
      </w:r>
      <w:r w:rsidRPr="00406D5C">
        <w:rPr>
          <w:rFonts w:ascii="David" w:eastAsia="Calibri" w:hAnsi="David"/>
          <w:rtl/>
        </w:rPr>
        <w:t xml:space="preserve">לפי </w:t>
      </w:r>
      <w:hyperlink r:id="rId16" w:history="1">
        <w:r w:rsidR="00651351" w:rsidRPr="00651351">
          <w:rPr>
            <w:rFonts w:ascii="David" w:eastAsia="Calibri" w:hAnsi="David"/>
            <w:color w:val="0000FF"/>
            <w:u w:val="single"/>
            <w:rtl/>
          </w:rPr>
          <w:t>סעיפים 144(א)</w:t>
        </w:r>
      </w:hyperlink>
      <w:r w:rsidRPr="00406D5C">
        <w:rPr>
          <w:rFonts w:ascii="David" w:eastAsia="Calibri" w:hAnsi="David"/>
          <w:rtl/>
        </w:rPr>
        <w:t xml:space="preserve"> רישה וסיפה ו - </w:t>
      </w:r>
      <w:hyperlink r:id="rId17" w:history="1">
        <w:r w:rsidR="00651351" w:rsidRPr="00651351">
          <w:rPr>
            <w:rFonts w:ascii="David" w:eastAsia="Calibri" w:hAnsi="David"/>
            <w:color w:val="0000FF"/>
            <w:u w:val="single"/>
            <w:rtl/>
          </w:rPr>
          <w:t>144(ב)</w:t>
        </w:r>
      </w:hyperlink>
      <w:r w:rsidRPr="00406D5C">
        <w:rPr>
          <w:rFonts w:ascii="David" w:eastAsia="Calibri" w:hAnsi="David"/>
          <w:rtl/>
        </w:rPr>
        <w:t xml:space="preserve"> רישה וסיפה, ל</w:t>
      </w:r>
      <w:hyperlink r:id="rId18" w:history="1">
        <w:r w:rsidR="00DC32C9" w:rsidRPr="00DC32C9">
          <w:rPr>
            <w:rFonts w:ascii="David" w:eastAsia="Calibri" w:hAnsi="David"/>
            <w:color w:val="0000FF"/>
            <w:u w:val="single"/>
            <w:rtl/>
          </w:rPr>
          <w:t>חוק העונשין</w:t>
        </w:r>
      </w:hyperlink>
      <w:r w:rsidRPr="00406D5C">
        <w:rPr>
          <w:rFonts w:ascii="David" w:eastAsia="Calibri" w:hAnsi="David"/>
          <w:rtl/>
        </w:rPr>
        <w:t xml:space="preserve"> התשל"ז - 1977 (להלן: "</w:t>
      </w:r>
      <w:r w:rsidRPr="00406D5C">
        <w:rPr>
          <w:rFonts w:ascii="David" w:eastAsia="Calibri" w:hAnsi="David"/>
          <w:b/>
          <w:bCs/>
          <w:rtl/>
        </w:rPr>
        <w:t>חוק העונשין</w:t>
      </w:r>
      <w:r w:rsidRPr="00406D5C">
        <w:rPr>
          <w:rFonts w:ascii="David" w:eastAsia="Calibri" w:hAnsi="David"/>
          <w:rtl/>
        </w:rPr>
        <w:t>" או "</w:t>
      </w:r>
      <w:r w:rsidRPr="00406D5C">
        <w:rPr>
          <w:rFonts w:ascii="David" w:eastAsia="Calibri" w:hAnsi="David"/>
          <w:b/>
          <w:bCs/>
          <w:rtl/>
        </w:rPr>
        <w:t>החוק"</w:t>
      </w:r>
      <w:r w:rsidRPr="00406D5C">
        <w:rPr>
          <w:rFonts w:ascii="David" w:eastAsia="Calibri" w:hAnsi="David"/>
          <w:rtl/>
        </w:rPr>
        <w:t xml:space="preserve">). </w:t>
      </w:r>
    </w:p>
    <w:p w14:paraId="64EB525A" w14:textId="77777777" w:rsidR="002508B1" w:rsidRPr="00406D5C" w:rsidRDefault="002508B1" w:rsidP="002508B1">
      <w:pPr>
        <w:spacing w:line="360" w:lineRule="auto"/>
        <w:jc w:val="both"/>
        <w:rPr>
          <w:rFonts w:ascii="David" w:eastAsia="Calibri" w:hAnsi="David"/>
          <w:rtl/>
        </w:rPr>
      </w:pPr>
      <w:bookmarkStart w:id="6" w:name="ABSTRACT_END"/>
      <w:bookmarkEnd w:id="6"/>
    </w:p>
    <w:p w14:paraId="32C33CB5"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במסגרת ההסדר הנ"ל הוסכם כי הצדדים יטענו לעניין העונש באופן חופשי.   </w:t>
      </w:r>
    </w:p>
    <w:p w14:paraId="06FCC8D2" w14:textId="77777777" w:rsidR="002508B1" w:rsidRPr="00406D5C" w:rsidRDefault="002508B1" w:rsidP="002508B1">
      <w:pPr>
        <w:spacing w:line="360" w:lineRule="auto"/>
        <w:jc w:val="both"/>
        <w:rPr>
          <w:rFonts w:ascii="David" w:eastAsia="Calibri" w:hAnsi="David"/>
          <w:rtl/>
        </w:rPr>
      </w:pPr>
    </w:p>
    <w:p w14:paraId="2AB0C455" w14:textId="77777777" w:rsidR="002508B1" w:rsidRPr="00406D5C" w:rsidRDefault="002508B1" w:rsidP="002508B1">
      <w:pPr>
        <w:spacing w:line="360" w:lineRule="auto"/>
        <w:jc w:val="both"/>
        <w:rPr>
          <w:rFonts w:ascii="David" w:eastAsia="Calibri" w:hAnsi="David"/>
          <w:u w:val="single"/>
          <w:rtl/>
        </w:rPr>
      </w:pPr>
      <w:r w:rsidRPr="00406D5C">
        <w:rPr>
          <w:rFonts w:ascii="David" w:eastAsia="Calibri" w:hAnsi="David"/>
          <w:u w:val="single"/>
          <w:rtl/>
        </w:rPr>
        <w:t>עובדות כתב האישום המתוקן</w:t>
      </w:r>
    </w:p>
    <w:p w14:paraId="5A68B284" w14:textId="77777777" w:rsidR="002508B1" w:rsidRPr="00406D5C" w:rsidRDefault="002508B1" w:rsidP="002508B1">
      <w:pPr>
        <w:spacing w:line="360" w:lineRule="auto"/>
        <w:jc w:val="both"/>
        <w:rPr>
          <w:rFonts w:ascii="David" w:eastAsia="Calibri" w:hAnsi="David"/>
          <w:rtl/>
        </w:rPr>
      </w:pPr>
    </w:p>
    <w:p w14:paraId="7D955049"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בזמנים הרלוונטיים לכתב האישום התגורר הנאשם בבית בדיר חנא.</w:t>
      </w:r>
    </w:p>
    <w:p w14:paraId="6435F4A8"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 </w:t>
      </w:r>
    </w:p>
    <w:p w14:paraId="04F7BFDB"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עובר לתאריך 18.7.24, ממועד שאינו ידוע במדויק למאשימה, ועד ליום 12.8.24, החזיק הנאשם בלא רשות על פי דין בביתו באקדח הזנקה חצי אוטומטי </w:t>
      </w:r>
      <w:r w:rsidRPr="00406D5C">
        <w:rPr>
          <w:rFonts w:ascii="David" w:eastAsia="Calibri" w:hAnsi="David"/>
        </w:rPr>
        <w:t>KUZEY</w:t>
      </w:r>
      <w:r w:rsidRPr="00406D5C">
        <w:rPr>
          <w:rFonts w:ascii="David" w:eastAsia="Calibri" w:hAnsi="David"/>
          <w:rtl/>
        </w:rPr>
        <w:t xml:space="preserve">  מתוצרת תורכייה, מודל </w:t>
      </w:r>
      <w:r w:rsidRPr="00406D5C">
        <w:rPr>
          <w:rFonts w:ascii="David" w:eastAsia="Calibri" w:hAnsi="David"/>
        </w:rPr>
        <w:t xml:space="preserve">GN-19 c </w:t>
      </w:r>
      <w:r w:rsidRPr="00406D5C">
        <w:rPr>
          <w:rFonts w:ascii="David" w:eastAsia="Calibri" w:hAnsi="David"/>
          <w:rtl/>
        </w:rPr>
        <w:t xml:space="preserve">קליבר </w:t>
      </w:r>
      <w:r w:rsidRPr="00406D5C">
        <w:rPr>
          <w:rFonts w:ascii="David" w:eastAsia="Calibri" w:hAnsi="David"/>
        </w:rPr>
        <w:t>P.A.K</w:t>
      </w:r>
      <w:r w:rsidRPr="00406D5C">
        <w:rPr>
          <w:rFonts w:ascii="David" w:eastAsia="Calibri" w:hAnsi="David"/>
          <w:rtl/>
        </w:rPr>
        <w:t xml:space="preserve"> 9 מ"מ, אשר הוסב לירי תחמושת קליעית בקליבר  9 מ"מ קצר. הנאשם החזיק באקדח כשהוא טעון במחסנית מתאימה. </w:t>
      </w:r>
    </w:p>
    <w:p w14:paraId="2F87DA79"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 </w:t>
      </w:r>
    </w:p>
    <w:p w14:paraId="09D52A5A"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lastRenderedPageBreak/>
        <w:t xml:space="preserve">בתאריך 12.8.24 סמוך לשעה 9:30 לערך עמד הנאשם ברחוב, על המדרכה הסמוכה לביתו, כשהוא מחזיק, נושא ומוביל על גופו את האקדח, טעון במחסנית ובתוכה ארבעה כדורים, בלא רשות על פי דין, וזאת למשך זמן קצר. </w:t>
      </w:r>
    </w:p>
    <w:p w14:paraId="51C682BB" w14:textId="77777777" w:rsidR="002508B1" w:rsidRPr="00406D5C" w:rsidRDefault="002508B1" w:rsidP="002508B1">
      <w:pPr>
        <w:spacing w:line="360" w:lineRule="auto"/>
        <w:jc w:val="both"/>
        <w:rPr>
          <w:rFonts w:ascii="David" w:eastAsia="Calibri" w:hAnsi="David"/>
        </w:rPr>
      </w:pPr>
    </w:p>
    <w:p w14:paraId="47921713" w14:textId="77777777" w:rsidR="002508B1" w:rsidRPr="00406D5C" w:rsidRDefault="002508B1" w:rsidP="002508B1">
      <w:pPr>
        <w:spacing w:line="360" w:lineRule="auto"/>
        <w:jc w:val="both"/>
        <w:rPr>
          <w:rFonts w:ascii="David" w:eastAsia="Calibri" w:hAnsi="David"/>
          <w:u w:val="single"/>
          <w:rtl/>
        </w:rPr>
      </w:pPr>
      <w:r w:rsidRPr="00406D5C">
        <w:rPr>
          <w:rFonts w:ascii="David" w:eastAsia="Calibri" w:hAnsi="David"/>
          <w:u w:val="single"/>
          <w:rtl/>
        </w:rPr>
        <w:t>ראיות לעניין העונש</w:t>
      </w:r>
    </w:p>
    <w:p w14:paraId="4A8C1742" w14:textId="77777777" w:rsidR="002508B1" w:rsidRPr="00406D5C" w:rsidRDefault="002508B1" w:rsidP="002508B1">
      <w:pPr>
        <w:spacing w:line="360" w:lineRule="auto"/>
        <w:jc w:val="both"/>
        <w:rPr>
          <w:rFonts w:ascii="David" w:eastAsia="Calibri" w:hAnsi="David"/>
          <w:u w:val="single"/>
          <w:rtl/>
        </w:rPr>
      </w:pPr>
    </w:p>
    <w:p w14:paraId="7B651345" w14:textId="77777777" w:rsidR="002508B1" w:rsidRPr="00406D5C" w:rsidRDefault="002508B1" w:rsidP="002508B1">
      <w:pPr>
        <w:spacing w:line="360" w:lineRule="auto"/>
        <w:jc w:val="both"/>
        <w:rPr>
          <w:rFonts w:ascii="David" w:eastAsia="Calibri" w:hAnsi="David"/>
          <w:i/>
          <w:iCs/>
          <w:rtl/>
        </w:rPr>
      </w:pPr>
      <w:r w:rsidRPr="00406D5C">
        <w:rPr>
          <w:rFonts w:ascii="David" w:eastAsia="Calibri" w:hAnsi="David"/>
          <w:i/>
          <w:iCs/>
          <w:rtl/>
        </w:rPr>
        <w:t>המאשימה</w:t>
      </w:r>
    </w:p>
    <w:p w14:paraId="6FA1252A" w14:textId="77777777" w:rsidR="002508B1" w:rsidRPr="00406D5C" w:rsidRDefault="002508B1" w:rsidP="002508B1">
      <w:pPr>
        <w:spacing w:line="360" w:lineRule="auto"/>
        <w:jc w:val="both"/>
        <w:rPr>
          <w:rFonts w:ascii="David" w:eastAsia="Calibri" w:hAnsi="David"/>
          <w:i/>
          <w:iCs/>
          <w:rtl/>
        </w:rPr>
      </w:pPr>
    </w:p>
    <w:p w14:paraId="141BBA11" w14:textId="77777777" w:rsidR="002508B1" w:rsidRPr="00406D5C" w:rsidRDefault="002508B1" w:rsidP="002508B1">
      <w:pPr>
        <w:spacing w:line="360" w:lineRule="auto"/>
        <w:jc w:val="both"/>
        <w:rPr>
          <w:rFonts w:ascii="David" w:eastAsia="Calibri" w:hAnsi="David"/>
          <w:u w:val="single"/>
          <w:rtl/>
        </w:rPr>
      </w:pPr>
      <w:r w:rsidRPr="00406D5C">
        <w:rPr>
          <w:rFonts w:ascii="David" w:eastAsia="Calibri" w:hAnsi="David"/>
          <w:rtl/>
        </w:rPr>
        <w:t>ב"כ המאשימה המלומד, עו"ד ראיד רחאל, הגיש תדפיס מידע פלילי בעניינו של הנאשם (</w:t>
      </w:r>
      <w:r w:rsidRPr="00406D5C">
        <w:rPr>
          <w:rFonts w:ascii="David" w:eastAsia="Calibri" w:hAnsi="David"/>
          <w:b/>
          <w:bCs/>
          <w:rtl/>
        </w:rPr>
        <w:t>טעת/1</w:t>
      </w:r>
      <w:r w:rsidRPr="00406D5C">
        <w:rPr>
          <w:rFonts w:ascii="David" w:eastAsia="Calibri" w:hAnsi="David"/>
          <w:rtl/>
        </w:rPr>
        <w:t xml:space="preserve">) ממנו עלה, כי לחובת הנאשם זקופות שתי הרשעות קודמות מן השנים 2020 ו- 2022, בגין ביצוע עבירות שעניינן נשיאת נשק, שיבוש מהלכי משפט והחזקת סמים מסוכנים.   </w:t>
      </w:r>
    </w:p>
    <w:p w14:paraId="06BDD0C2" w14:textId="77777777" w:rsidR="002508B1" w:rsidRPr="00406D5C" w:rsidRDefault="002508B1" w:rsidP="002508B1">
      <w:pPr>
        <w:spacing w:line="360" w:lineRule="auto"/>
        <w:jc w:val="both"/>
        <w:rPr>
          <w:rFonts w:ascii="David" w:eastAsia="Calibri" w:hAnsi="David"/>
          <w:i/>
          <w:iCs/>
          <w:rtl/>
        </w:rPr>
      </w:pPr>
      <w:r w:rsidRPr="00406D5C">
        <w:rPr>
          <w:rFonts w:ascii="David" w:eastAsia="Calibri" w:hAnsi="David"/>
          <w:i/>
          <w:iCs/>
          <w:rtl/>
        </w:rPr>
        <w:t>ההגנה</w:t>
      </w:r>
    </w:p>
    <w:p w14:paraId="3AFE46E4" w14:textId="77777777" w:rsidR="002508B1" w:rsidRPr="00406D5C" w:rsidRDefault="002508B1" w:rsidP="002508B1">
      <w:pPr>
        <w:spacing w:line="360" w:lineRule="auto"/>
        <w:jc w:val="both"/>
        <w:rPr>
          <w:rFonts w:ascii="David" w:eastAsia="Calibri" w:hAnsi="David"/>
          <w:rtl/>
        </w:rPr>
      </w:pPr>
    </w:p>
    <w:p w14:paraId="47F27D4F"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אודות אופיו של הנאשם העידה אמו, הגב' סואעד עזאם. העדה ציינה, כי הנאשם היה לה לעזר רב בניהול משק הבית ושהתנהגותו כלפי סביבתו תמיד הייתה ראויה. אמו של הנאשם הביעה את צערה על מעשי בנה וציינה כי היא יודעת שהוא מצטער על מעשיו ולמד את לקחו. </w:t>
      </w:r>
    </w:p>
    <w:p w14:paraId="3CBE096E" w14:textId="77777777" w:rsidR="002508B1" w:rsidRPr="00406D5C" w:rsidRDefault="002508B1" w:rsidP="002508B1">
      <w:pPr>
        <w:spacing w:line="360" w:lineRule="auto"/>
        <w:jc w:val="both"/>
        <w:rPr>
          <w:rFonts w:ascii="David" w:eastAsia="Calibri" w:hAnsi="David"/>
          <w:u w:val="single"/>
          <w:rtl/>
        </w:rPr>
      </w:pPr>
    </w:p>
    <w:p w14:paraId="617C909C"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u w:val="single"/>
          <w:rtl/>
        </w:rPr>
        <w:t xml:space="preserve">טיעוני הצדדים לעניין העונש </w:t>
      </w:r>
    </w:p>
    <w:p w14:paraId="02C48DBD" w14:textId="77777777" w:rsidR="002508B1" w:rsidRPr="00406D5C" w:rsidRDefault="002508B1" w:rsidP="002508B1">
      <w:pPr>
        <w:spacing w:line="360" w:lineRule="auto"/>
        <w:jc w:val="both"/>
        <w:rPr>
          <w:rFonts w:ascii="David" w:eastAsia="Calibri" w:hAnsi="David"/>
          <w:u w:val="single"/>
          <w:rtl/>
        </w:rPr>
      </w:pPr>
    </w:p>
    <w:p w14:paraId="497E2FB3" w14:textId="77777777" w:rsidR="002508B1" w:rsidRPr="00406D5C" w:rsidRDefault="002508B1" w:rsidP="002508B1">
      <w:pPr>
        <w:spacing w:line="360" w:lineRule="auto"/>
        <w:jc w:val="both"/>
        <w:rPr>
          <w:rFonts w:ascii="David" w:eastAsia="Calibri" w:hAnsi="David"/>
          <w:i/>
          <w:iCs/>
          <w:rtl/>
        </w:rPr>
      </w:pPr>
      <w:r w:rsidRPr="00406D5C">
        <w:rPr>
          <w:rFonts w:ascii="David" w:eastAsia="Calibri" w:hAnsi="David"/>
          <w:i/>
          <w:iCs/>
          <w:rtl/>
        </w:rPr>
        <w:t>המאשימה</w:t>
      </w:r>
    </w:p>
    <w:p w14:paraId="08F8CE09" w14:textId="77777777" w:rsidR="002508B1" w:rsidRPr="00406D5C" w:rsidRDefault="002508B1" w:rsidP="002508B1">
      <w:pPr>
        <w:spacing w:line="360" w:lineRule="auto"/>
        <w:jc w:val="both"/>
        <w:rPr>
          <w:rFonts w:ascii="David" w:eastAsia="Calibri" w:hAnsi="David"/>
          <w:i/>
          <w:iCs/>
          <w:rtl/>
        </w:rPr>
      </w:pPr>
    </w:p>
    <w:p w14:paraId="4C04D7E1"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ב"כ המאשימה הגיש את מסמך טיעונים לעונש (</w:t>
      </w:r>
      <w:r w:rsidRPr="00406D5C">
        <w:rPr>
          <w:rFonts w:ascii="David" w:eastAsia="Calibri" w:hAnsi="David"/>
          <w:b/>
          <w:bCs/>
          <w:rtl/>
        </w:rPr>
        <w:t>טעת/2</w:t>
      </w:r>
      <w:r w:rsidRPr="00406D5C">
        <w:rPr>
          <w:rFonts w:ascii="David" w:eastAsia="Calibri" w:hAnsi="David"/>
          <w:rtl/>
        </w:rPr>
        <w:t xml:space="preserve">) בכתב והוסיף על דברים אלו בע"פ. נטען, כי עברו הפלילי של הנאשם מלמד על ביצוען של עבירות דומות לפני זמן לא רב. הוער, כי על אף שאין מתבקשת הפעלת המאסר המותנה שהושת בתיק הנ"ל, יש ליתן לנתון זה משקל ממשי, לחומרה, ביחס לקביעת עונשו של הנאשם. </w:t>
      </w:r>
    </w:p>
    <w:p w14:paraId="70DABDCF" w14:textId="77777777" w:rsidR="002508B1" w:rsidRPr="00406D5C" w:rsidRDefault="002508B1" w:rsidP="002508B1">
      <w:pPr>
        <w:spacing w:line="360" w:lineRule="auto"/>
        <w:jc w:val="both"/>
        <w:rPr>
          <w:rFonts w:ascii="David" w:eastAsia="Calibri" w:hAnsi="David"/>
          <w:rtl/>
        </w:rPr>
      </w:pPr>
    </w:p>
    <w:p w14:paraId="12B09DB2"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הפרקליט המלומד עמד על חומרתן של עבירות הנשק ועל תפקידו של בית המשפט, כחלק מן המאבק בתופעה זו, להגן באמצעות ענישה הולמת על שלום הציבור וביטחונו. צוין, כי הנאשם הוא בגיר אשר שלט באופן מוחלט במעשיו המסוכנים. ב"כ המאשימה הפנה אל הנחיית פרקליט המדינה (9.16)  שעניינה במדיניות ענישה בעבירות נשק והפנה בנוסף אל הפסיקה הנוהגת המתאימה לשיטתו לנסיבות העניין. בשים לב לנתונים אלו נתבקשתי לשרטט מתחם ענישה הנע בין 30 לבין 48 חודשי מאסר לריצוי בפועל. באשר למיקום העונש בתוככי מתחם הענישה הצביע הפרקליט, לחובתו של הנאשם, על עברו הפלילי בעבירות דומות ועל הצורך בהרתעה. לזכותו עמד על הודאתו והחיסכון בזמן שיפוטי יקר הנגזר הימנה. לסיכום התבקשתי להשית על הנאשם עונש ברף הבינוני של המתחם שהוצע, לצד קנס ועונשים נלווים. </w:t>
      </w:r>
    </w:p>
    <w:p w14:paraId="1C9E73EF"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  </w:t>
      </w:r>
    </w:p>
    <w:p w14:paraId="05D24922" w14:textId="77777777" w:rsidR="002508B1" w:rsidRPr="00406D5C" w:rsidRDefault="002508B1" w:rsidP="002508B1">
      <w:pPr>
        <w:spacing w:line="360" w:lineRule="auto"/>
        <w:jc w:val="both"/>
        <w:rPr>
          <w:rFonts w:ascii="David" w:eastAsia="Calibri" w:hAnsi="David"/>
          <w:i/>
          <w:iCs/>
          <w:rtl/>
        </w:rPr>
      </w:pPr>
      <w:r w:rsidRPr="00406D5C">
        <w:rPr>
          <w:rFonts w:ascii="David" w:eastAsia="Calibri" w:hAnsi="David"/>
          <w:i/>
          <w:iCs/>
          <w:rtl/>
        </w:rPr>
        <w:t>ההגנה</w:t>
      </w:r>
    </w:p>
    <w:p w14:paraId="6F4C3E64" w14:textId="77777777" w:rsidR="002508B1" w:rsidRPr="00406D5C" w:rsidRDefault="002508B1" w:rsidP="002508B1">
      <w:pPr>
        <w:spacing w:line="360" w:lineRule="auto"/>
        <w:jc w:val="both"/>
        <w:rPr>
          <w:rFonts w:ascii="David" w:eastAsia="Calibri" w:hAnsi="David"/>
          <w:i/>
          <w:iCs/>
          <w:rtl/>
        </w:rPr>
      </w:pPr>
    </w:p>
    <w:p w14:paraId="5B028680"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lastRenderedPageBreak/>
        <w:t xml:space="preserve">ב"כ המלומד של הנאשם, עו"ד טארק נעאמנה, ציין בפתח דבריו כי הוא מודה למאשימה על הגינותה שלא לעמוד על הפעלת המאסר המותנה שעומד כנגד הנאשם. הסנגור פירט את  התיקונים שנערכו לכתב האישום המקורי והדגיש את הנתון שלפיו הנאשם נשא הנשק "לזמן קצר" בלבד. הופניתי לפסיקה הנוהגת המתאימה לשיטתה של ההגנה לעבירות בכגון דא. עוד עמד הסנגור על כך שהמחסנית שנתפסה בביתו לצד הנשק אמנם הייתה תואמת, אך הייתה ללא תחמושת. משמע, כי הנשק לא היה מוכן לשימוש מיידי כאשר הוחזק בבית. לאור נתונים אלו עתר הסנגור לשרטט מתחם ענישה הנע בין 12 לבין 24 חודשי מאסר לריצוי בפועל. הוסף, כי יש להתחשב בהודאתו של הנאשם, בעזרה שהוא מספק למשפחתו ובתנאי מעצרו הממושך. מכאן סבור הסנגור כי יש למקם את עונשו של הנאשם ברף התחתון של מתחם הענישה המוצע.      </w:t>
      </w:r>
    </w:p>
    <w:p w14:paraId="0AEEC63A" w14:textId="77777777" w:rsidR="002508B1" w:rsidRPr="00406D5C" w:rsidRDefault="002508B1" w:rsidP="002508B1">
      <w:pPr>
        <w:spacing w:line="360" w:lineRule="auto"/>
        <w:jc w:val="both"/>
        <w:rPr>
          <w:rFonts w:ascii="David" w:eastAsia="Calibri" w:hAnsi="David"/>
          <w:i/>
          <w:iCs/>
          <w:rtl/>
        </w:rPr>
      </w:pPr>
    </w:p>
    <w:p w14:paraId="05375DDD" w14:textId="77777777" w:rsidR="002508B1" w:rsidRPr="00406D5C" w:rsidRDefault="002508B1" w:rsidP="002508B1">
      <w:pPr>
        <w:spacing w:line="360" w:lineRule="auto"/>
        <w:jc w:val="both"/>
        <w:rPr>
          <w:rFonts w:ascii="David" w:eastAsia="Calibri" w:hAnsi="David"/>
          <w:i/>
          <w:iCs/>
          <w:rtl/>
        </w:rPr>
      </w:pPr>
      <w:r w:rsidRPr="00406D5C">
        <w:rPr>
          <w:rFonts w:ascii="David" w:eastAsia="Calibri" w:hAnsi="David"/>
          <w:i/>
          <w:iCs/>
          <w:rtl/>
        </w:rPr>
        <w:t>דבריו של הנאשם</w:t>
      </w:r>
    </w:p>
    <w:p w14:paraId="3818A301" w14:textId="77777777" w:rsidR="002508B1" w:rsidRPr="00406D5C" w:rsidRDefault="002508B1" w:rsidP="002508B1">
      <w:pPr>
        <w:spacing w:line="360" w:lineRule="auto"/>
        <w:jc w:val="both"/>
        <w:rPr>
          <w:rFonts w:ascii="David" w:eastAsia="Calibri" w:hAnsi="David"/>
          <w:i/>
          <w:iCs/>
          <w:rtl/>
        </w:rPr>
      </w:pPr>
    </w:p>
    <w:p w14:paraId="24322E4A" w14:textId="77777777" w:rsidR="002508B1" w:rsidRPr="00406D5C" w:rsidRDefault="002508B1" w:rsidP="002508B1">
      <w:pPr>
        <w:spacing w:line="360" w:lineRule="auto"/>
        <w:jc w:val="both"/>
        <w:rPr>
          <w:rFonts w:ascii="David" w:eastAsia="Calibri" w:hAnsi="David"/>
          <w:rtl/>
        </w:rPr>
      </w:pPr>
      <w:r w:rsidRPr="00406D5C">
        <w:rPr>
          <w:rFonts w:ascii="David" w:eastAsia="Calibri" w:hAnsi="David"/>
          <w:rtl/>
        </w:rPr>
        <w:t xml:space="preserve">הנאשם הביע את צערו על מעשיו וציין שלא יחזור על טעותו. </w:t>
      </w:r>
    </w:p>
    <w:p w14:paraId="342686F4" w14:textId="77777777" w:rsidR="002508B1" w:rsidRPr="00406D5C" w:rsidRDefault="002508B1" w:rsidP="002508B1">
      <w:pPr>
        <w:spacing w:line="360" w:lineRule="auto"/>
        <w:jc w:val="both"/>
        <w:rPr>
          <w:rFonts w:ascii="David" w:eastAsia="Calibri" w:hAnsi="David"/>
          <w:rtl/>
        </w:rPr>
      </w:pPr>
    </w:p>
    <w:p w14:paraId="45140FB7" w14:textId="77777777" w:rsidR="002508B1" w:rsidRPr="00406D5C" w:rsidRDefault="002508B1" w:rsidP="002508B1">
      <w:pPr>
        <w:spacing w:line="360" w:lineRule="auto"/>
        <w:jc w:val="both"/>
        <w:rPr>
          <w:rFonts w:ascii="David" w:eastAsia="Calibri" w:hAnsi="David"/>
          <w:b/>
          <w:bCs/>
          <w:u w:val="single"/>
          <w:rtl/>
        </w:rPr>
      </w:pPr>
      <w:r w:rsidRPr="00406D5C">
        <w:rPr>
          <w:rFonts w:ascii="David" w:eastAsia="Calibri" w:hAnsi="David"/>
          <w:b/>
          <w:bCs/>
          <w:u w:val="single"/>
          <w:rtl/>
        </w:rPr>
        <w:t>דיון והכרעה</w:t>
      </w:r>
    </w:p>
    <w:p w14:paraId="2DABA77D" w14:textId="77777777" w:rsidR="002508B1" w:rsidRPr="00406D5C" w:rsidRDefault="002508B1" w:rsidP="002508B1">
      <w:pPr>
        <w:spacing w:line="360" w:lineRule="auto"/>
        <w:jc w:val="both"/>
        <w:rPr>
          <w:rFonts w:ascii="David" w:eastAsia="Calibri" w:hAnsi="David"/>
          <w:b/>
          <w:bCs/>
          <w:u w:val="single"/>
          <w:rtl/>
        </w:rPr>
      </w:pPr>
    </w:p>
    <w:p w14:paraId="2D452F3E" w14:textId="77777777" w:rsidR="002508B1" w:rsidRPr="00406D5C" w:rsidRDefault="002508B1" w:rsidP="002508B1">
      <w:pPr>
        <w:spacing w:after="160" w:line="360" w:lineRule="auto"/>
        <w:jc w:val="both"/>
        <w:rPr>
          <w:rFonts w:ascii="David" w:eastAsia="Calibri" w:hAnsi="David"/>
          <w:b/>
          <w:bCs/>
          <w:u w:val="single"/>
          <w:rtl/>
        </w:rPr>
      </w:pPr>
      <w:r w:rsidRPr="00406D5C">
        <w:rPr>
          <w:rFonts w:ascii="David" w:eastAsia="Calibri" w:hAnsi="David"/>
          <w:b/>
          <w:bCs/>
          <w:rtl/>
        </w:rPr>
        <w:t>החזקת נשק</w:t>
      </w:r>
      <w:r w:rsidRPr="00406D5C">
        <w:rPr>
          <w:rFonts w:ascii="David" w:eastAsia="Calibri" w:hAnsi="David"/>
          <w:rtl/>
        </w:rPr>
        <w:t xml:space="preserve">, נשיאתו והובלתו הפכו למרבה הצער למכת מדינה (ראו לעניין זה למשל: </w:t>
      </w:r>
      <w:hyperlink r:id="rId19" w:history="1">
        <w:r w:rsidR="00DC32C9" w:rsidRPr="00DC32C9">
          <w:rPr>
            <w:rFonts w:ascii="David" w:eastAsia="Calibri" w:hAnsi="David"/>
            <w:color w:val="0000FF"/>
            <w:u w:val="single"/>
            <w:rtl/>
          </w:rPr>
          <w:t>ע"פ 1695/22</w:t>
        </w:r>
      </w:hyperlink>
      <w:r w:rsidRPr="00406D5C">
        <w:rPr>
          <w:rFonts w:ascii="David" w:eastAsia="Calibri" w:hAnsi="David"/>
          <w:rtl/>
        </w:rPr>
        <w:t xml:space="preserve"> </w:t>
      </w:r>
      <w:r w:rsidRPr="00406D5C">
        <w:rPr>
          <w:rFonts w:ascii="David" w:eastAsia="Calibri" w:hAnsi="David"/>
          <w:b/>
          <w:bCs/>
          <w:rtl/>
        </w:rPr>
        <w:t>מדינת ישראל נ' גנאים</w:t>
      </w:r>
      <w:r w:rsidRPr="00406D5C">
        <w:rPr>
          <w:rFonts w:ascii="David" w:eastAsia="Calibri" w:hAnsi="David"/>
          <w:rtl/>
        </w:rPr>
        <w:t xml:space="preserve">, פסקה 11, ביום 29.3.22). ברי, כי מדינה ריבונית ומתוקנת איננה יכולה לקבל כ"מכת-גורל" תופעה שבמסגרתה מוחזק ונישא נשק בלתי-חוקי בקרב אזרחיה ותושביה. תופעה שכזו חותרת תחת שלומם של אזרחיה וביטחונם. </w:t>
      </w:r>
    </w:p>
    <w:p w14:paraId="52322647" w14:textId="77777777" w:rsidR="002508B1" w:rsidRPr="00406D5C" w:rsidRDefault="002508B1" w:rsidP="002508B1">
      <w:pPr>
        <w:spacing w:line="360" w:lineRule="auto"/>
        <w:jc w:val="both"/>
        <w:rPr>
          <w:rFonts w:ascii="David" w:eastAsia="Calibri" w:hAnsi="David"/>
          <w:b/>
          <w:bCs/>
          <w:u w:val="single"/>
          <w:rtl/>
        </w:rPr>
      </w:pPr>
    </w:p>
    <w:p w14:paraId="68F359F1" w14:textId="77777777" w:rsidR="002508B1" w:rsidRPr="00406D5C" w:rsidRDefault="002508B1" w:rsidP="002508B1">
      <w:pPr>
        <w:spacing w:line="360" w:lineRule="auto"/>
        <w:jc w:val="both"/>
        <w:rPr>
          <w:rFonts w:ascii="David" w:eastAsia="Calibri" w:hAnsi="David"/>
          <w:b/>
          <w:bCs/>
          <w:u w:val="single"/>
          <w:rtl/>
        </w:rPr>
      </w:pPr>
      <w:r w:rsidRPr="00406D5C">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משמע, </w:t>
      </w:r>
      <w:r w:rsidRPr="00406D5C">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406D5C">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5ACE5ED2" w14:textId="77777777" w:rsidR="002508B1" w:rsidRPr="00406D5C" w:rsidRDefault="002508B1" w:rsidP="002508B1">
      <w:pPr>
        <w:spacing w:line="360" w:lineRule="auto"/>
        <w:jc w:val="both"/>
        <w:rPr>
          <w:rFonts w:ascii="David" w:eastAsia="Calibri" w:hAnsi="David"/>
          <w:b/>
          <w:bCs/>
          <w:u w:val="single"/>
          <w:rtl/>
        </w:rPr>
      </w:pPr>
    </w:p>
    <w:p w14:paraId="3A188A30" w14:textId="77777777" w:rsidR="002508B1" w:rsidRPr="00406D5C" w:rsidRDefault="002508B1" w:rsidP="002508B1">
      <w:pPr>
        <w:spacing w:after="160" w:line="360" w:lineRule="auto"/>
        <w:jc w:val="both"/>
        <w:rPr>
          <w:rFonts w:ascii="David" w:eastAsia="Calibri" w:hAnsi="David"/>
          <w:rtl/>
        </w:rPr>
      </w:pPr>
      <w:r w:rsidRPr="00406D5C">
        <w:rPr>
          <w:rFonts w:ascii="David" w:eastAsia="Calibri" w:hAnsi="David"/>
          <w:rtl/>
        </w:rPr>
        <w:t>עבירות ההחזקה והנשיאה של כלי הנשק שאותן ביצע הנאשם מהוות "</w:t>
      </w:r>
      <w:r w:rsidRPr="00406D5C">
        <w:rPr>
          <w:rFonts w:ascii="David" w:eastAsia="Calibri" w:hAnsi="David"/>
          <w:b/>
          <w:bCs/>
          <w:rtl/>
        </w:rPr>
        <w:t>אירוע אחד"</w:t>
      </w:r>
      <w:r w:rsidRPr="00406D5C">
        <w:rPr>
          <w:rFonts w:ascii="David" w:eastAsia="Calibri" w:hAnsi="David"/>
          <w:rtl/>
        </w:rPr>
        <w:t>,</w:t>
      </w:r>
      <w:r w:rsidRPr="00406D5C">
        <w:rPr>
          <w:rFonts w:ascii="David" w:eastAsia="Calibri" w:hAnsi="David"/>
          <w:b/>
          <w:bCs/>
          <w:rtl/>
        </w:rPr>
        <w:t xml:space="preserve"> </w:t>
      </w:r>
      <w:r w:rsidRPr="00406D5C">
        <w:rPr>
          <w:rFonts w:ascii="David" w:eastAsia="Calibri" w:hAnsi="David"/>
          <w:rtl/>
        </w:rPr>
        <w:t xml:space="preserve">שכן בהחלט קיים בין אלה קשר הדוק - העבירות מתייחסות לאותו כלי נשק שהוחזק לתקופה בביתו של הנאשם ולאחר מכן נישא לזמן קצר בקרבת אותו בית (ראו לעניין זה: </w:t>
      </w:r>
      <w:hyperlink r:id="rId20" w:history="1">
        <w:r w:rsidR="00DC32C9" w:rsidRPr="00DC32C9">
          <w:rPr>
            <w:rFonts w:ascii="David" w:eastAsia="Calibri" w:hAnsi="David"/>
            <w:color w:val="0000FF"/>
            <w:u w:val="single"/>
            <w:rtl/>
          </w:rPr>
          <w:t>ע"פ 4910/13</w:t>
        </w:r>
      </w:hyperlink>
      <w:r w:rsidRPr="00406D5C">
        <w:rPr>
          <w:rFonts w:ascii="David" w:eastAsia="Calibri" w:hAnsi="David"/>
          <w:rtl/>
        </w:rPr>
        <w:t xml:space="preserve"> </w:t>
      </w:r>
      <w:r w:rsidRPr="00406D5C">
        <w:rPr>
          <w:rFonts w:ascii="David" w:eastAsia="Calibri" w:hAnsi="David"/>
          <w:b/>
          <w:bCs/>
          <w:rtl/>
        </w:rPr>
        <w:t>ג'אבר נ' מדינת ישראל</w:t>
      </w:r>
      <w:r w:rsidRPr="00406D5C">
        <w:rPr>
          <w:rFonts w:ascii="David" w:eastAsia="Calibri" w:hAnsi="David"/>
          <w:rtl/>
        </w:rPr>
        <w:t>,</w:t>
      </w:r>
      <w:r w:rsidRPr="00406D5C">
        <w:rPr>
          <w:rFonts w:ascii="David" w:eastAsia="Calibri" w:hAnsi="David"/>
          <w:b/>
          <w:bCs/>
          <w:rtl/>
        </w:rPr>
        <w:t xml:space="preserve"> </w:t>
      </w:r>
      <w:r w:rsidRPr="00406D5C">
        <w:rPr>
          <w:rFonts w:ascii="David" w:eastAsia="Calibri" w:hAnsi="David"/>
          <w:rtl/>
        </w:rPr>
        <w:t xml:space="preserve">מפי כב' השופטת ברק-ארז (ניתן ביום 29.10.14); </w:t>
      </w:r>
      <w:hyperlink r:id="rId21" w:history="1">
        <w:r w:rsidR="00DC32C9" w:rsidRPr="00DC32C9">
          <w:rPr>
            <w:rFonts w:ascii="David" w:eastAsia="Calibri" w:hAnsi="David"/>
            <w:color w:val="0000FF"/>
            <w:u w:val="single"/>
            <w:rtl/>
          </w:rPr>
          <w:t>ע"פ 9308/12</w:t>
        </w:r>
      </w:hyperlink>
      <w:r w:rsidRPr="00406D5C">
        <w:rPr>
          <w:rFonts w:ascii="David" w:eastAsia="Calibri" w:hAnsi="David"/>
          <w:rtl/>
        </w:rPr>
        <w:t xml:space="preserve"> </w:t>
      </w:r>
      <w:r w:rsidRPr="00406D5C">
        <w:rPr>
          <w:rFonts w:ascii="David" w:eastAsia="Calibri" w:hAnsi="David"/>
          <w:b/>
          <w:bCs/>
          <w:rtl/>
        </w:rPr>
        <w:t>עיסא נ' מדינת ישראל,</w:t>
      </w:r>
      <w:r w:rsidRPr="00406D5C">
        <w:rPr>
          <w:rFonts w:ascii="David" w:eastAsia="Calibri" w:hAnsi="David"/>
          <w:rtl/>
        </w:rPr>
        <w:t xml:space="preserve"> (ניתן ביום 30.7.15). משכך, ייקבע מתחם עונש אחד הולם לכלל המעשים</w:t>
      </w:r>
      <w:r w:rsidRPr="00406D5C">
        <w:rPr>
          <w:rFonts w:ascii="Calibri" w:eastAsia="Calibri" w:hAnsi="Calibri"/>
          <w:rtl/>
        </w:rPr>
        <w:t xml:space="preserve"> (סעיף </w:t>
      </w:r>
      <w:hyperlink r:id="rId22" w:history="1">
        <w:r w:rsidR="00651351" w:rsidRPr="00651351">
          <w:rPr>
            <w:rFonts w:ascii="Calibri" w:eastAsia="Calibri" w:hAnsi="Calibri"/>
            <w:color w:val="0000FF"/>
            <w:u w:val="single"/>
            <w:rtl/>
          </w:rPr>
          <w:t>40יג(א)</w:t>
        </w:r>
      </w:hyperlink>
      <w:r w:rsidRPr="00406D5C">
        <w:rPr>
          <w:rFonts w:ascii="Calibri" w:eastAsia="Calibri" w:hAnsi="Calibri"/>
          <w:rtl/>
        </w:rPr>
        <w:t xml:space="preserve"> לחוק).</w:t>
      </w:r>
      <w:r w:rsidRPr="00406D5C">
        <w:rPr>
          <w:rFonts w:ascii="David" w:eastAsia="Calibri" w:hAnsi="David"/>
          <w:rtl/>
        </w:rPr>
        <w:t xml:space="preserve"> ויודגש, על אף קביעה זאת, </w:t>
      </w:r>
      <w:r w:rsidRPr="00406D5C">
        <w:rPr>
          <w:rFonts w:ascii="Calibri" w:eastAsia="Calibri" w:hAnsi="Calibri"/>
          <w:rtl/>
        </w:rPr>
        <w:t xml:space="preserve">יישמר בגזירת העונש יחס הולם בין חומרת </w:t>
      </w:r>
      <w:r w:rsidRPr="00406D5C">
        <w:rPr>
          <w:rFonts w:ascii="Calibri" w:eastAsia="Calibri" w:hAnsi="Calibri"/>
          <w:u w:val="single"/>
          <w:rtl/>
        </w:rPr>
        <w:t>מכלול המעשים</w:t>
      </w:r>
      <w:r w:rsidRPr="00406D5C">
        <w:rPr>
          <w:rFonts w:ascii="Calibri" w:eastAsia="Calibri" w:hAnsi="Calibri"/>
          <w:rtl/>
        </w:rPr>
        <w:t xml:space="preserve"> ומידת אשמו של הנאשם לבין תקופת המאסר שיהא עליו לרצות (</w:t>
      </w:r>
      <w:hyperlink r:id="rId23" w:history="1">
        <w:r w:rsidR="00651351" w:rsidRPr="00651351">
          <w:rPr>
            <w:rFonts w:ascii="Calibri" w:eastAsia="Calibri" w:hAnsi="Calibri"/>
            <w:color w:val="0000FF"/>
            <w:u w:val="single"/>
            <w:rtl/>
          </w:rPr>
          <w:t>סעיף 40יג(ג)</w:t>
        </w:r>
      </w:hyperlink>
      <w:r w:rsidRPr="00406D5C">
        <w:rPr>
          <w:rFonts w:ascii="Calibri" w:eastAsia="Calibri" w:hAnsi="Calibri"/>
          <w:rtl/>
        </w:rPr>
        <w:t xml:space="preserve"> לחוק). </w:t>
      </w:r>
    </w:p>
    <w:p w14:paraId="5A7A1C7E" w14:textId="77777777" w:rsidR="002508B1" w:rsidRPr="00406D5C" w:rsidRDefault="002508B1" w:rsidP="002508B1">
      <w:pPr>
        <w:spacing w:after="160" w:line="360" w:lineRule="auto"/>
        <w:jc w:val="both"/>
        <w:rPr>
          <w:rFonts w:ascii="David" w:eastAsia="Calibri" w:hAnsi="David"/>
          <w:rtl/>
        </w:rPr>
      </w:pPr>
      <w:r w:rsidRPr="00406D5C">
        <w:rPr>
          <w:rFonts w:ascii="David" w:eastAsia="Calibri" w:hAnsi="David"/>
          <w:rtl/>
        </w:rPr>
        <w:t xml:space="preserve">בכל הנוגע לערכים החברתיים המוגנים שנפגעו כפועל יוצא ממעשיו של נאשם, הרי שהדברים מובנים מאליהם. המחזיק והמוביל נשק בלא רשות על פי דין פוגע בראש ובראשונה </w:t>
      </w:r>
      <w:r w:rsidRPr="00406D5C">
        <w:rPr>
          <w:rFonts w:ascii="David" w:eastAsia="Calibri" w:hAnsi="David"/>
          <w:b/>
          <w:bCs/>
          <w:rtl/>
        </w:rPr>
        <w:t>בביטחון המדינה ובמנגנוני שלטונה</w:t>
      </w:r>
      <w:r w:rsidRPr="00406D5C">
        <w:rPr>
          <w:rFonts w:ascii="David" w:eastAsia="Calibri" w:hAnsi="David"/>
          <w:rtl/>
        </w:rPr>
        <w:t>;</w:t>
      </w:r>
      <w:r w:rsidRPr="00406D5C">
        <w:rPr>
          <w:rFonts w:ascii="David" w:eastAsia="Calibri" w:hAnsi="David"/>
        </w:rPr>
        <w:t xml:space="preserve"> </w:t>
      </w:r>
      <w:r w:rsidRPr="00406D5C">
        <w:rPr>
          <w:rFonts w:ascii="David" w:eastAsia="Calibri" w:hAnsi="David"/>
          <w:b/>
          <w:bCs/>
          <w:rtl/>
        </w:rPr>
        <w:t>בשלום הציבור ובסדר הציבורי</w:t>
      </w:r>
      <w:r w:rsidRPr="00406D5C">
        <w:rPr>
          <w:rFonts w:ascii="David" w:eastAsia="Calibri" w:hAnsi="David"/>
          <w:rtl/>
        </w:rPr>
        <w:t xml:space="preserve">. הוא פוגע בביטחון הציבור </w:t>
      </w:r>
      <w:r w:rsidRPr="00406D5C">
        <w:rPr>
          <w:rFonts w:ascii="David" w:eastAsia="Calibri" w:hAnsi="David"/>
          <w:b/>
          <w:bCs/>
          <w:rtl/>
        </w:rPr>
        <w:t>וחושף אותו לאירועי טרור עוין כמו גם פלילי המבוצעים באמצעות נשק</w:t>
      </w:r>
      <w:r w:rsidRPr="00406D5C">
        <w:rPr>
          <w:rFonts w:ascii="David" w:eastAsia="Calibri" w:hAnsi="David"/>
          <w:rtl/>
        </w:rPr>
        <w:t xml:space="preserve"> </w:t>
      </w:r>
      <w:r w:rsidRPr="00406D5C">
        <w:rPr>
          <w:rFonts w:ascii="David" w:eastAsia="Calibri" w:hAnsi="David"/>
          <w:b/>
          <w:bCs/>
          <w:rtl/>
        </w:rPr>
        <w:t>המושג ומוחזק שלא כחוק.</w:t>
      </w:r>
      <w:r w:rsidRPr="00406D5C">
        <w:rPr>
          <w:rFonts w:ascii="David" w:eastAsia="Calibri" w:hAnsi="David"/>
          <w:rtl/>
        </w:rPr>
        <w:t xml:space="preserve"> הפגיעה בערכים אלו במקרה זה </w:t>
      </w:r>
      <w:r w:rsidRPr="00406D5C">
        <w:rPr>
          <w:rFonts w:ascii="David" w:eastAsia="Calibri" w:hAnsi="David"/>
          <w:b/>
          <w:bCs/>
          <w:rtl/>
        </w:rPr>
        <w:t xml:space="preserve">אינה מזערית. </w:t>
      </w:r>
    </w:p>
    <w:p w14:paraId="19A3EB70" w14:textId="77777777" w:rsidR="002508B1" w:rsidRPr="00406D5C" w:rsidRDefault="002508B1" w:rsidP="002508B1">
      <w:pPr>
        <w:overflowPunct w:val="0"/>
        <w:autoSpaceDE w:val="0"/>
        <w:autoSpaceDN w:val="0"/>
        <w:spacing w:line="360" w:lineRule="auto"/>
        <w:jc w:val="both"/>
        <w:rPr>
          <w:rtl/>
        </w:rPr>
      </w:pPr>
      <w:r w:rsidRPr="00406D5C">
        <w:rPr>
          <w:rtl/>
        </w:rPr>
        <w:t xml:space="preserve">מתאימים לעניין זה הדברים שנכתבו במסגרתו של </w:t>
      </w:r>
      <w:hyperlink r:id="rId24" w:history="1">
        <w:r w:rsidR="00DC32C9" w:rsidRPr="00DC32C9">
          <w:rPr>
            <w:color w:val="0000FF"/>
            <w:u w:val="single"/>
            <w:rtl/>
          </w:rPr>
          <w:t>ע"פ 5522/20</w:t>
        </w:r>
      </w:hyperlink>
      <w:r w:rsidRPr="00406D5C">
        <w:rPr>
          <w:rtl/>
        </w:rPr>
        <w:t xml:space="preserve"> </w:t>
      </w:r>
      <w:r w:rsidRPr="00406D5C">
        <w:rPr>
          <w:b/>
          <w:bCs/>
          <w:rtl/>
        </w:rPr>
        <w:t>חלייחל נ' מדינת ישראל</w:t>
      </w:r>
      <w:r w:rsidRPr="00406D5C">
        <w:rPr>
          <w:rtl/>
        </w:rPr>
        <w:t xml:space="preserve"> (ניתן ביום 24.2.21)  והנוגעים לעבירות שעניינן נשיאה או הובלה של כלי נשק, ולפיהם - </w:t>
      </w:r>
    </w:p>
    <w:p w14:paraId="408BDD1D" w14:textId="77777777" w:rsidR="002508B1" w:rsidRPr="00406D5C" w:rsidRDefault="002508B1" w:rsidP="002508B1">
      <w:pPr>
        <w:overflowPunct w:val="0"/>
        <w:autoSpaceDE w:val="0"/>
        <w:autoSpaceDN w:val="0"/>
        <w:spacing w:line="360" w:lineRule="auto"/>
        <w:jc w:val="both"/>
        <w:rPr>
          <w:rtl/>
        </w:rPr>
      </w:pPr>
    </w:p>
    <w:p w14:paraId="50AE6891" w14:textId="77777777" w:rsidR="002508B1" w:rsidRPr="00406D5C" w:rsidRDefault="002508B1" w:rsidP="002508B1">
      <w:pPr>
        <w:spacing w:after="160" w:line="276" w:lineRule="auto"/>
        <w:ind w:left="935" w:right="851"/>
        <w:jc w:val="both"/>
        <w:rPr>
          <w:rFonts w:ascii="David" w:eastAsia="Calibri" w:hAnsi="David"/>
          <w:rtl/>
        </w:rPr>
      </w:pPr>
      <w:r w:rsidRPr="00406D5C">
        <w:rPr>
          <w:rFonts w:ascii="David" w:eastAsia="Calibri" w:hAnsi="David"/>
          <w:sz w:val="22"/>
          <w:rtl/>
        </w:rPr>
        <w:t xml:space="preserve"> "</w:t>
      </w:r>
      <w:r w:rsidRPr="00406D5C">
        <w:rPr>
          <w:rFonts w:ascii="Calibri Light" w:eastAsia="Calibri" w:hAnsi="Calibri Light" w:cs="Times New Roman"/>
          <w:sz w:val="22"/>
          <w:rtl/>
        </w:rPr>
        <w:t xml:space="preserve">סעיף </w:t>
      </w:r>
      <w:r w:rsidRPr="00406D5C">
        <w:rPr>
          <w:rFonts w:ascii="Calibri Light" w:eastAsia="Calibri" w:hAnsi="Calibri Light" w:cs="Calibri Light"/>
          <w:sz w:val="22"/>
          <w:rtl/>
        </w:rPr>
        <w:t>144(</w:t>
      </w:r>
      <w:r w:rsidRPr="00406D5C">
        <w:rPr>
          <w:rFonts w:ascii="Calibri Light" w:eastAsia="Calibri" w:hAnsi="Calibri Light" w:cs="Times New Roman"/>
          <w:sz w:val="22"/>
          <w:rtl/>
        </w:rPr>
        <w:t>ב</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ל</w:t>
      </w:r>
      <w:hyperlink r:id="rId25" w:history="1">
        <w:r w:rsidR="00DC32C9" w:rsidRPr="00DC32C9">
          <w:rPr>
            <w:rFonts w:ascii="Calibri Light" w:eastAsia="Calibri" w:hAnsi="Calibri Light" w:cs="Times New Roman" w:hint="cs"/>
            <w:color w:val="0000FF"/>
            <w:sz w:val="22"/>
            <w:u w:val="single"/>
            <w:rtl/>
          </w:rPr>
          <w:t>חוק</w:t>
        </w:r>
        <w:r w:rsidR="00DC32C9" w:rsidRPr="00DC32C9">
          <w:rPr>
            <w:rFonts w:ascii="Calibri Light" w:eastAsia="Calibri" w:hAnsi="Calibri Light" w:cs="Times New Roman"/>
            <w:color w:val="0000FF"/>
            <w:sz w:val="22"/>
            <w:u w:val="single"/>
            <w:rtl/>
          </w:rPr>
          <w:t xml:space="preserve"> </w:t>
        </w:r>
        <w:r w:rsidR="00DC32C9" w:rsidRPr="00DC32C9">
          <w:rPr>
            <w:rFonts w:ascii="Calibri Light" w:eastAsia="Calibri" w:hAnsi="Calibri Light" w:cs="Times New Roman" w:hint="cs"/>
            <w:color w:val="0000FF"/>
            <w:sz w:val="22"/>
            <w:u w:val="single"/>
            <w:rtl/>
          </w:rPr>
          <w:t>העונשין</w:t>
        </w:r>
      </w:hyperlink>
      <w:r w:rsidRPr="00406D5C">
        <w:rPr>
          <w:rFonts w:ascii="Calibri Light" w:eastAsia="Calibri" w:hAnsi="Calibri Light" w:cs="Times New Roman"/>
          <w:sz w:val="22"/>
          <w:rtl/>
        </w:rPr>
        <w:t xml:space="preserve"> אוסר על נשיאה או הובלה של כלי</w:t>
      </w:r>
      <w:r w:rsidRPr="00406D5C">
        <w:rPr>
          <w:rFonts w:ascii="Calibri Light" w:eastAsia="Calibri" w:hAnsi="Calibri Light" w:cs="Calibri Light"/>
          <w:sz w:val="22"/>
          <w:rtl/>
        </w:rPr>
        <w:t>-</w:t>
      </w:r>
      <w:r w:rsidRPr="00406D5C">
        <w:rPr>
          <w:rFonts w:ascii="Calibri Light" w:eastAsia="Calibri" w:hAnsi="Calibri Light" w:cs="Times New Roman"/>
          <w:sz w:val="22"/>
          <w:rtl/>
        </w:rPr>
        <w:t>נשק</w:t>
      </w:r>
      <w:r w:rsidRPr="00406D5C">
        <w:rPr>
          <w:rFonts w:ascii="Calibri Light" w:eastAsia="Calibri" w:hAnsi="Calibri Light" w:cs="Calibri Light"/>
          <w:sz w:val="22"/>
          <w:rtl/>
        </w:rPr>
        <w:t xml:space="preserve">, </w:t>
      </w:r>
      <w:r w:rsidRPr="00406D5C">
        <w:rPr>
          <w:rFonts w:ascii="Calibri Light" w:eastAsia="Calibri" w:hAnsi="Calibri Light" w:cs="Calibri Light"/>
          <w:b/>
          <w:sz w:val="22"/>
          <w:rtl/>
        </w:rPr>
        <w:t>"</w:t>
      </w:r>
      <w:r w:rsidRPr="00406D5C">
        <w:rPr>
          <w:rFonts w:ascii="Calibri Light" w:eastAsia="Calibri" w:hAnsi="Calibri Light" w:cs="Times New Roman"/>
          <w:b/>
          <w:sz w:val="22"/>
          <w:rtl/>
        </w:rPr>
        <w:t>בלא רשות על פי דין</w:t>
      </w:r>
      <w:r w:rsidRPr="00406D5C">
        <w:rPr>
          <w:rFonts w:ascii="Calibri Light" w:eastAsia="Calibri" w:hAnsi="Calibri Light" w:cs="Calibri Light"/>
          <w:b/>
          <w:sz w:val="22"/>
          <w:rtl/>
        </w:rPr>
        <w:t>"</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האיסור נועד להגן על ערך חיי האדם</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שלמות גופו ונפשו</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כמו גם לקדם את השמירה על הסדר הציבורי ואורח חיים תקין</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שלו ובטוח</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עבירה זו</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כמו יתר עבירות הנשק</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נועדה למנוע התנהגות מסוכנת</w:t>
      </w:r>
      <w:r w:rsidRPr="00406D5C">
        <w:rPr>
          <w:rFonts w:ascii="Calibri Light" w:eastAsia="Calibri" w:hAnsi="Calibri Light" w:cs="Calibri Light"/>
          <w:sz w:val="22"/>
          <w:rtl/>
        </w:rPr>
        <w:t xml:space="preserve">, </w:t>
      </w:r>
      <w:r w:rsidRPr="00406D5C">
        <w:rPr>
          <w:rFonts w:ascii="Calibri Light" w:eastAsia="Calibri" w:hAnsi="Calibri Light" w:cs="Times New Roman"/>
          <w:sz w:val="22"/>
          <w:rtl/>
        </w:rPr>
        <w:t>ולמזער את הפוטנציאל לגרימת נזקים חמורים</w:t>
      </w:r>
      <w:r w:rsidRPr="00406D5C">
        <w:rPr>
          <w:rFonts w:ascii="David" w:eastAsia="Calibri" w:hAnsi="David"/>
          <w:rtl/>
        </w:rPr>
        <w:t xml:space="preserve">...". </w:t>
      </w:r>
    </w:p>
    <w:p w14:paraId="4DEE6402" w14:textId="77777777" w:rsidR="002508B1" w:rsidRPr="00406D5C" w:rsidRDefault="002508B1" w:rsidP="002508B1">
      <w:pPr>
        <w:spacing w:after="160" w:line="360" w:lineRule="auto"/>
        <w:ind w:right="-426"/>
        <w:jc w:val="both"/>
        <w:rPr>
          <w:rFonts w:ascii="Calibri" w:eastAsia="Calibri" w:hAnsi="Calibri"/>
          <w:rtl/>
        </w:rPr>
      </w:pPr>
      <w:r w:rsidRPr="00406D5C">
        <w:rPr>
          <w:rFonts w:ascii="Calibri" w:eastAsia="Calibri" w:hAnsi="Calibri"/>
          <w:rtl/>
        </w:rPr>
        <w:t>על מנת לשרטט כדבעי את מתחם העונש ההולם בעניינו של הנאשם עיינתי בפסיקה רחבה העוסקת בעבירות נשק (</w:t>
      </w:r>
      <w:r w:rsidRPr="00406D5C">
        <w:rPr>
          <w:rFonts w:ascii="Calibri" w:eastAsia="Calibri" w:hAnsi="Calibri"/>
          <w:b/>
          <w:bCs/>
          <w:rtl/>
        </w:rPr>
        <w:t xml:space="preserve"> החזקה נשיאה והובלה</w:t>
      </w:r>
      <w:r w:rsidRPr="00406D5C">
        <w:rPr>
          <w:rFonts w:ascii="Calibri" w:eastAsia="Calibri" w:hAnsi="Calibri"/>
          <w:rtl/>
        </w:rPr>
        <w:t xml:space="preserve">) </w:t>
      </w:r>
      <w:r w:rsidRPr="00406D5C">
        <w:rPr>
          <w:rFonts w:ascii="David" w:eastAsia="Calibri" w:hAnsi="David"/>
          <w:rtl/>
        </w:rPr>
        <w:t xml:space="preserve">נמצאתי למד, כי בשנים האחרונות חלה מגמת החמרה בענישה, הבאה לידי ביטוי בפסיקת הערכאות השונות הנוגעת לעבירה אלו. עם זאת, ברי, כי </w:t>
      </w:r>
      <w:r w:rsidRPr="00406D5C">
        <w:rPr>
          <w:rFonts w:ascii="Calibri" w:eastAsia="Calibri" w:hAnsi="Calibri"/>
          <w:rtl/>
        </w:rPr>
        <w:t xml:space="preserve">משקל ניכר בקביעת העונש בעבירות של החזקת ונשיאת נשק יש לתלות </w:t>
      </w:r>
      <w:r w:rsidRPr="00406D5C">
        <w:rPr>
          <w:rFonts w:ascii="Calibri" w:eastAsia="Calibri" w:hAnsi="Calibri"/>
          <w:u w:val="single"/>
          <w:rtl/>
        </w:rPr>
        <w:t>באופי הנשק</w:t>
      </w:r>
      <w:r w:rsidRPr="00406D5C">
        <w:rPr>
          <w:rFonts w:ascii="Calibri" w:eastAsia="Calibri" w:hAnsi="Calibri"/>
          <w:rtl/>
        </w:rPr>
        <w:t xml:space="preserve">, </w:t>
      </w:r>
      <w:r w:rsidRPr="00406D5C">
        <w:rPr>
          <w:rFonts w:ascii="Calibri" w:eastAsia="Calibri" w:hAnsi="Calibri"/>
          <w:u w:val="single"/>
          <w:rtl/>
        </w:rPr>
        <w:t>במידת קטלניותו</w:t>
      </w:r>
      <w:r w:rsidRPr="00406D5C">
        <w:rPr>
          <w:rFonts w:ascii="Calibri" w:eastAsia="Calibri" w:hAnsi="Calibri"/>
          <w:rtl/>
        </w:rPr>
        <w:t xml:space="preserve">, בכמות הנשקים המוחזקים, </w:t>
      </w:r>
      <w:r w:rsidRPr="00406D5C">
        <w:rPr>
          <w:rFonts w:ascii="Calibri" w:eastAsia="Calibri" w:hAnsi="Calibri"/>
          <w:u w:val="single"/>
          <w:rtl/>
        </w:rPr>
        <w:t>בתחמושת שנתפסה לצדו</w:t>
      </w:r>
      <w:r w:rsidRPr="00406D5C">
        <w:rPr>
          <w:rFonts w:ascii="Calibri" w:eastAsia="Calibri" w:hAnsi="Calibri"/>
          <w:rtl/>
        </w:rPr>
        <w:t xml:space="preserve"> וכיוצ"ב. למעשה, "</w:t>
      </w:r>
      <w:r w:rsidRPr="00406D5C">
        <w:rPr>
          <w:rFonts w:ascii="Calibri Light" w:eastAsia="Calibri" w:hAnsi="Calibri Light" w:cs="Times New Roman"/>
          <w:rtl/>
        </w:rPr>
        <w:t>כבכל עבירה</w:t>
      </w:r>
      <w:r w:rsidRPr="00406D5C">
        <w:rPr>
          <w:rFonts w:ascii="Calibri Light" w:eastAsia="Calibri" w:hAnsi="Calibri Light" w:cs="Calibri Light"/>
          <w:rtl/>
        </w:rPr>
        <w:t xml:space="preserve">, </w:t>
      </w:r>
      <w:r w:rsidRPr="00406D5C">
        <w:rPr>
          <w:rFonts w:ascii="Calibri Light" w:eastAsia="Calibri" w:hAnsi="Calibri Light" w:cs="Times New Roman"/>
          <w:rtl/>
        </w:rPr>
        <w:t>גם בעבירות נשק קיים מדרג של חומרה</w:t>
      </w:r>
      <w:r w:rsidRPr="00406D5C">
        <w:rPr>
          <w:rFonts w:ascii="Calibri Light" w:eastAsia="Calibri" w:hAnsi="Calibri Light" w:cs="Calibri Light"/>
          <w:rtl/>
        </w:rPr>
        <w:t xml:space="preserve">, </w:t>
      </w:r>
      <w:r w:rsidRPr="00406D5C">
        <w:rPr>
          <w:rFonts w:ascii="Calibri Light" w:eastAsia="Calibri" w:hAnsi="Calibri Light" w:cs="Times New Roman"/>
          <w:rtl/>
        </w:rPr>
        <w:t>ושומה על בית המשפט להביאו בחשבון בבואו לקבוע את מתחם העונש ההולם</w:t>
      </w:r>
      <w:r w:rsidRPr="00406D5C">
        <w:rPr>
          <w:rFonts w:ascii="Calibri" w:eastAsia="Calibri" w:hAnsi="Calibri" w:cs="Miriam"/>
          <w:rtl/>
        </w:rPr>
        <w:t>"</w:t>
      </w:r>
      <w:r w:rsidRPr="00406D5C">
        <w:rPr>
          <w:rFonts w:ascii="David" w:eastAsia="Calibri" w:hAnsi="David"/>
          <w:rtl/>
        </w:rPr>
        <w:t>(</w:t>
      </w:r>
      <w:hyperlink r:id="rId26" w:history="1">
        <w:r w:rsidR="00DC32C9" w:rsidRPr="00DC32C9">
          <w:rPr>
            <w:rFonts w:ascii="Calibri" w:eastAsia="Calibri" w:hAnsi="Calibri" w:hint="cs"/>
            <w:color w:val="0000FF"/>
            <w:u w:val="single"/>
            <w:rtl/>
          </w:rPr>
          <w:t>ע</w:t>
        </w:r>
        <w:r w:rsidR="00DC32C9" w:rsidRPr="00DC32C9">
          <w:rPr>
            <w:rFonts w:ascii="Calibri" w:eastAsia="Calibri" w:hAnsi="Calibri"/>
            <w:color w:val="0000FF"/>
            <w:u w:val="single"/>
            <w:rtl/>
          </w:rPr>
          <w:t>"</w:t>
        </w:r>
        <w:r w:rsidR="00DC32C9" w:rsidRPr="00DC32C9">
          <w:rPr>
            <w:rFonts w:ascii="Calibri" w:eastAsia="Calibri" w:hAnsi="Calibri" w:hint="cs"/>
            <w:color w:val="0000FF"/>
            <w:u w:val="single"/>
            <w:rtl/>
          </w:rPr>
          <w:t>פ</w:t>
        </w:r>
        <w:r w:rsidR="00DC32C9" w:rsidRPr="00DC32C9">
          <w:rPr>
            <w:rFonts w:ascii="Calibri" w:eastAsia="Calibri" w:hAnsi="Calibri"/>
            <w:color w:val="0000FF"/>
            <w:u w:val="single"/>
            <w:rtl/>
          </w:rPr>
          <w:t xml:space="preserve"> 9702/16</w:t>
        </w:r>
      </w:hyperlink>
      <w:r w:rsidRPr="00406D5C">
        <w:rPr>
          <w:rFonts w:ascii="Calibri" w:eastAsia="Calibri" w:hAnsi="Calibri"/>
          <w:rtl/>
        </w:rPr>
        <w:t xml:space="preserve"> </w:t>
      </w:r>
      <w:r w:rsidRPr="00406D5C">
        <w:rPr>
          <w:rFonts w:ascii="Calibri" w:eastAsia="Calibri" w:hAnsi="Calibri"/>
          <w:b/>
          <w:bCs/>
          <w:rtl/>
        </w:rPr>
        <w:t>אלוליאיה נ' מדינת ישראל</w:t>
      </w:r>
      <w:r w:rsidRPr="00406D5C">
        <w:rPr>
          <w:rFonts w:ascii="Calibri" w:eastAsia="Calibri" w:hAnsi="Calibri"/>
          <w:rtl/>
        </w:rPr>
        <w:t xml:space="preserve">, פסקה 8, ניתן ביום 13.9.17) (ראו בנוסף לעניין זה: </w:t>
      </w:r>
      <w:hyperlink r:id="rId27" w:history="1">
        <w:r w:rsidR="00DC32C9" w:rsidRPr="00DC32C9">
          <w:rPr>
            <w:rFonts w:ascii="Calibri" w:eastAsia="Calibri" w:hAnsi="Calibri" w:hint="cs"/>
            <w:color w:val="0000FF"/>
            <w:u w:val="single"/>
            <w:rtl/>
          </w:rPr>
          <w:t>ע</w:t>
        </w:r>
        <w:r w:rsidR="00DC32C9" w:rsidRPr="00DC32C9">
          <w:rPr>
            <w:rFonts w:ascii="Calibri" w:eastAsia="Calibri" w:hAnsi="Calibri"/>
            <w:color w:val="0000FF"/>
            <w:u w:val="single"/>
            <w:rtl/>
          </w:rPr>
          <w:t>"</w:t>
        </w:r>
        <w:r w:rsidR="00DC32C9" w:rsidRPr="00DC32C9">
          <w:rPr>
            <w:rFonts w:ascii="Calibri" w:eastAsia="Calibri" w:hAnsi="Calibri" w:hint="cs"/>
            <w:color w:val="0000FF"/>
            <w:u w:val="single"/>
            <w:rtl/>
          </w:rPr>
          <w:t>פ</w:t>
        </w:r>
        <w:r w:rsidR="00DC32C9" w:rsidRPr="00DC32C9">
          <w:rPr>
            <w:rFonts w:ascii="Calibri" w:eastAsia="Calibri" w:hAnsi="Calibri"/>
            <w:color w:val="0000FF"/>
            <w:u w:val="single"/>
            <w:rtl/>
          </w:rPr>
          <w:t xml:space="preserve">  4059/17</w:t>
        </w:r>
      </w:hyperlink>
      <w:r w:rsidRPr="00406D5C">
        <w:rPr>
          <w:rFonts w:ascii="Calibri" w:eastAsia="Calibri" w:hAnsi="Calibri"/>
          <w:rtl/>
        </w:rPr>
        <w:t xml:space="preserve"> </w:t>
      </w:r>
      <w:r w:rsidRPr="00406D5C">
        <w:rPr>
          <w:rFonts w:ascii="Calibri" w:eastAsia="Calibri" w:hAnsi="Calibri"/>
          <w:b/>
          <w:bCs/>
          <w:rtl/>
        </w:rPr>
        <w:t>סלמה נ' מדינת ישראל</w:t>
      </w:r>
      <w:r w:rsidRPr="00406D5C">
        <w:rPr>
          <w:rFonts w:ascii="Calibri" w:eastAsia="Calibri" w:hAnsi="Calibri"/>
          <w:rtl/>
        </w:rPr>
        <w:t>, פסקה 5,  ניתן ביום 24.4.18)</w:t>
      </w:r>
      <w:r w:rsidRPr="00406D5C">
        <w:rPr>
          <w:rFonts w:ascii="Calibri" w:eastAsia="Calibri" w:hAnsi="Calibri" w:cs="Miriam"/>
          <w:rtl/>
        </w:rPr>
        <w:t xml:space="preserve">.  </w:t>
      </w:r>
      <w:r w:rsidRPr="00406D5C">
        <w:rPr>
          <w:rFonts w:ascii="Calibri" w:eastAsia="Calibri" w:hAnsi="Calibri"/>
          <w:rtl/>
        </w:rPr>
        <w:t xml:space="preserve">  </w:t>
      </w:r>
    </w:p>
    <w:p w14:paraId="4D7F78B1" w14:textId="77777777" w:rsidR="002508B1" w:rsidRPr="00406D5C" w:rsidRDefault="002508B1" w:rsidP="002508B1">
      <w:pPr>
        <w:spacing w:after="160" w:line="360" w:lineRule="auto"/>
        <w:ind w:right="-426"/>
        <w:jc w:val="both"/>
        <w:rPr>
          <w:rFonts w:ascii="David" w:eastAsia="Calibri" w:hAnsi="David"/>
          <w:rtl/>
        </w:rPr>
      </w:pPr>
      <w:r w:rsidRPr="00406D5C">
        <w:rPr>
          <w:rFonts w:ascii="David" w:eastAsia="Calibri" w:hAnsi="David"/>
          <w:u w:val="single"/>
          <w:rtl/>
        </w:rPr>
        <w:t>ככלל, מדיניות הענישה הנוהגת הכללית ביחס לעבירות שעניינן נשיאה והובלה של נשק שלא כדין</w:t>
      </w:r>
      <w:r w:rsidRPr="00406D5C">
        <w:rPr>
          <w:rFonts w:ascii="David" w:eastAsia="Calibri" w:hAnsi="David"/>
          <w:rtl/>
        </w:rPr>
        <w:t xml:space="preserve"> באה לידי ביטוי במסגרתו של ע"פ 5062/22 </w:t>
      </w:r>
      <w:r w:rsidRPr="00406D5C">
        <w:rPr>
          <w:rFonts w:ascii="David" w:eastAsia="Calibri" w:hAnsi="David"/>
          <w:b/>
          <w:bCs/>
          <w:rtl/>
        </w:rPr>
        <w:t>מדינת ישראל נ' פלוני</w:t>
      </w:r>
      <w:r w:rsidRPr="00406D5C">
        <w:rPr>
          <w:rFonts w:ascii="David" w:eastAsia="Calibri" w:hAnsi="David"/>
          <w:rtl/>
        </w:rPr>
        <w:t xml:space="preserve">, ניתן ביום  </w:t>
      </w:r>
      <w:r w:rsidRPr="00406D5C">
        <w:rPr>
          <w:rFonts w:ascii="Calibri" w:eastAsia="Calibri" w:hAnsi="Calibri"/>
          <w:rtl/>
        </w:rPr>
        <w:t xml:space="preserve">14.9.22, שם נקבע, כי </w:t>
      </w:r>
      <w:r w:rsidRPr="00406D5C">
        <w:rPr>
          <w:rFonts w:ascii="David" w:eastAsia="Calibri" w:hAnsi="David"/>
          <w:rtl/>
        </w:rPr>
        <w:t>מתחם הענישה הרגיל שראוי לקבוע לנאשם בגיר בגין נשיאה בלתי חוקית של נשק חם במרחב הציבורי (</w:t>
      </w:r>
      <w:r w:rsidRPr="00406D5C">
        <w:rPr>
          <w:rFonts w:ascii="David" w:eastAsia="Calibri" w:hAnsi="David"/>
          <w:u w:val="single"/>
          <w:rtl/>
        </w:rPr>
        <w:t>בגין עבירה מוגמרת בניגוד לסיוע לה</w:t>
      </w:r>
      <w:r w:rsidRPr="00406D5C">
        <w:rPr>
          <w:rFonts w:ascii="David" w:eastAsia="Calibri" w:hAnsi="David"/>
          <w:rtl/>
        </w:rPr>
        <w:t xml:space="preserve">) </w:t>
      </w:r>
      <w:r w:rsidRPr="00406D5C">
        <w:rPr>
          <w:rFonts w:ascii="David" w:eastAsia="Calibri" w:hAnsi="David"/>
          <w:b/>
          <w:bCs/>
          <w:rtl/>
        </w:rPr>
        <w:t>נע בין 30 ל-42 חודשי מאסר בין סורג ובריח</w:t>
      </w:r>
      <w:r w:rsidRPr="00406D5C">
        <w:rPr>
          <w:rFonts w:ascii="David" w:eastAsia="Calibri" w:hAnsi="David"/>
          <w:rtl/>
        </w:rPr>
        <w:t>.</w:t>
      </w:r>
      <w:r w:rsidRPr="00406D5C">
        <w:rPr>
          <w:rFonts w:ascii="Calibri" w:eastAsia="Calibri" w:hAnsi="Calibri"/>
          <w:rtl/>
        </w:rPr>
        <w:t xml:space="preserve">{עוד ראו - </w:t>
      </w:r>
      <w:hyperlink r:id="rId28" w:history="1">
        <w:r w:rsidR="00DC32C9" w:rsidRPr="00DC32C9">
          <w:rPr>
            <w:rFonts w:ascii="Calibri" w:eastAsia="Calibri" w:hAnsi="Calibri" w:hint="cs"/>
            <w:color w:val="0000FF"/>
            <w:u w:val="single"/>
            <w:rtl/>
          </w:rPr>
          <w:t>ע</w:t>
        </w:r>
        <w:r w:rsidR="00DC32C9" w:rsidRPr="00DC32C9">
          <w:rPr>
            <w:rFonts w:ascii="Calibri" w:eastAsia="Calibri" w:hAnsi="Calibri"/>
            <w:color w:val="0000FF"/>
            <w:u w:val="single"/>
            <w:rtl/>
          </w:rPr>
          <w:t>"</w:t>
        </w:r>
        <w:r w:rsidR="00DC32C9" w:rsidRPr="00DC32C9">
          <w:rPr>
            <w:rFonts w:ascii="Calibri" w:eastAsia="Calibri" w:hAnsi="Calibri" w:hint="cs"/>
            <w:color w:val="0000FF"/>
            <w:u w:val="single"/>
            <w:rtl/>
          </w:rPr>
          <w:t>פ</w:t>
        </w:r>
        <w:r w:rsidR="00DC32C9" w:rsidRPr="00DC32C9">
          <w:rPr>
            <w:rFonts w:ascii="Calibri" w:eastAsia="Calibri" w:hAnsi="Calibri"/>
            <w:color w:val="0000FF"/>
            <w:u w:val="single"/>
            <w:rtl/>
          </w:rPr>
          <w:t xml:space="preserve"> 4077/22</w:t>
        </w:r>
      </w:hyperlink>
      <w:r w:rsidRPr="00406D5C">
        <w:rPr>
          <w:rFonts w:ascii="Calibri" w:eastAsia="Calibri" w:hAnsi="Calibri"/>
          <w:rtl/>
        </w:rPr>
        <w:t xml:space="preserve"> </w:t>
      </w:r>
      <w:r w:rsidRPr="00406D5C">
        <w:rPr>
          <w:rFonts w:ascii="Calibri" w:eastAsia="Calibri" w:hAnsi="Calibri"/>
          <w:b/>
          <w:bCs/>
          <w:rtl/>
        </w:rPr>
        <w:t>מדינת ישראל נ' פלוני</w:t>
      </w:r>
      <w:r w:rsidRPr="00406D5C">
        <w:rPr>
          <w:rFonts w:ascii="Calibri" w:eastAsia="Calibri" w:hAnsi="Calibri"/>
          <w:rtl/>
        </w:rPr>
        <w:t xml:space="preserve">, ניתן ביום 28.7.22; </w:t>
      </w:r>
      <w:hyperlink r:id="rId29" w:history="1">
        <w:r w:rsidR="00DC32C9" w:rsidRPr="00DC32C9">
          <w:rPr>
            <w:rFonts w:ascii="Calibri" w:eastAsia="Calibri" w:hAnsi="Calibri" w:hint="cs"/>
            <w:color w:val="0000FF"/>
            <w:u w:val="single"/>
            <w:rtl/>
          </w:rPr>
          <w:t>ע</w:t>
        </w:r>
        <w:r w:rsidR="00DC32C9" w:rsidRPr="00DC32C9">
          <w:rPr>
            <w:rFonts w:ascii="Calibri" w:eastAsia="Calibri" w:hAnsi="Calibri"/>
            <w:color w:val="0000FF"/>
            <w:u w:val="single"/>
            <w:rtl/>
          </w:rPr>
          <w:t>"</w:t>
        </w:r>
        <w:r w:rsidR="00DC32C9" w:rsidRPr="00DC32C9">
          <w:rPr>
            <w:rFonts w:ascii="Calibri" w:eastAsia="Calibri" w:hAnsi="Calibri" w:hint="cs"/>
            <w:color w:val="0000FF"/>
            <w:u w:val="single"/>
            <w:rtl/>
          </w:rPr>
          <w:t>פ</w:t>
        </w:r>
        <w:r w:rsidR="00DC32C9" w:rsidRPr="00DC32C9">
          <w:rPr>
            <w:rFonts w:ascii="Calibri" w:eastAsia="Calibri" w:hAnsi="Calibri"/>
            <w:color w:val="0000FF"/>
            <w:u w:val="single"/>
            <w:rtl/>
          </w:rPr>
          <w:t xml:space="preserve"> 9228/23</w:t>
        </w:r>
      </w:hyperlink>
      <w:r w:rsidRPr="00406D5C">
        <w:rPr>
          <w:rFonts w:ascii="Calibri" w:eastAsia="Calibri" w:hAnsi="Calibri"/>
          <w:rtl/>
        </w:rPr>
        <w:t xml:space="preserve"> </w:t>
      </w:r>
      <w:r w:rsidRPr="00406D5C">
        <w:rPr>
          <w:rFonts w:ascii="Calibri" w:eastAsia="Calibri" w:hAnsi="Calibri"/>
          <w:b/>
          <w:bCs/>
          <w:rtl/>
        </w:rPr>
        <w:t>אגבאריה נ' מדינת ישראל</w:t>
      </w:r>
      <w:r w:rsidRPr="00406D5C">
        <w:rPr>
          <w:rFonts w:ascii="Calibri" w:eastAsia="Calibri" w:hAnsi="Calibri"/>
          <w:rtl/>
        </w:rPr>
        <w:t xml:space="preserve">, ניתן ביום 26.5.24; </w:t>
      </w:r>
      <w:hyperlink r:id="rId30" w:history="1">
        <w:r w:rsidR="00DC32C9" w:rsidRPr="00DC32C9">
          <w:rPr>
            <w:rFonts w:ascii="Calibri" w:eastAsia="Calibri" w:hAnsi="Calibri" w:hint="cs"/>
            <w:color w:val="0000FF"/>
            <w:u w:val="single"/>
            <w:rtl/>
          </w:rPr>
          <w:t>ע</w:t>
        </w:r>
        <w:r w:rsidR="00DC32C9" w:rsidRPr="00DC32C9">
          <w:rPr>
            <w:rFonts w:ascii="Calibri" w:eastAsia="Calibri" w:hAnsi="Calibri"/>
            <w:color w:val="0000FF"/>
            <w:u w:val="single"/>
            <w:rtl/>
          </w:rPr>
          <w:t>"</w:t>
        </w:r>
        <w:r w:rsidR="00DC32C9" w:rsidRPr="00DC32C9">
          <w:rPr>
            <w:rFonts w:ascii="Calibri" w:eastAsia="Calibri" w:hAnsi="Calibri" w:hint="cs"/>
            <w:color w:val="0000FF"/>
            <w:u w:val="single"/>
            <w:rtl/>
          </w:rPr>
          <w:t>פ</w:t>
        </w:r>
        <w:r w:rsidR="00DC32C9" w:rsidRPr="00DC32C9">
          <w:rPr>
            <w:rFonts w:ascii="Calibri" w:eastAsia="Calibri" w:hAnsi="Calibri"/>
            <w:color w:val="0000FF"/>
            <w:u w:val="single"/>
            <w:rtl/>
          </w:rPr>
          <w:t xml:space="preserve"> 5681/23</w:t>
        </w:r>
      </w:hyperlink>
      <w:r w:rsidRPr="00406D5C">
        <w:rPr>
          <w:rFonts w:ascii="Calibri" w:eastAsia="Calibri" w:hAnsi="Calibri"/>
          <w:rtl/>
        </w:rPr>
        <w:t xml:space="preserve"> </w:t>
      </w:r>
      <w:r w:rsidRPr="00406D5C">
        <w:rPr>
          <w:rFonts w:ascii="Calibri" w:eastAsia="Calibri" w:hAnsi="Calibri"/>
          <w:b/>
          <w:bCs/>
          <w:rtl/>
        </w:rPr>
        <w:t>חווא נ' מדינת ישראל</w:t>
      </w:r>
      <w:r w:rsidRPr="00406D5C">
        <w:rPr>
          <w:rFonts w:ascii="Calibri" w:eastAsia="Calibri" w:hAnsi="Calibri"/>
          <w:rtl/>
        </w:rPr>
        <w:t>, ניתן ביום 20.12.23}.</w:t>
      </w:r>
      <w:r w:rsidRPr="00406D5C">
        <w:rPr>
          <w:rFonts w:ascii="David" w:eastAsia="Calibri" w:hAnsi="David"/>
          <w:rtl/>
        </w:rPr>
        <w:t xml:space="preserve"> {לעבירות החזקת נשק ראו למשל: </w:t>
      </w:r>
      <w:hyperlink r:id="rId31" w:history="1">
        <w:r w:rsidR="00DC32C9" w:rsidRPr="00DC32C9">
          <w:rPr>
            <w:rFonts w:ascii="David" w:eastAsia="Calibri" w:hAnsi="David"/>
            <w:color w:val="0000FF"/>
            <w:u w:val="single"/>
            <w:rtl/>
          </w:rPr>
          <w:t>ע"פ 1806/22</w:t>
        </w:r>
      </w:hyperlink>
      <w:r w:rsidRPr="00406D5C">
        <w:rPr>
          <w:rFonts w:ascii="David" w:eastAsia="Calibri" w:hAnsi="David"/>
          <w:rtl/>
        </w:rPr>
        <w:t xml:space="preserve"> </w:t>
      </w:r>
      <w:r w:rsidRPr="00406D5C">
        <w:rPr>
          <w:rFonts w:ascii="David" w:eastAsia="Calibri" w:hAnsi="David"/>
          <w:b/>
          <w:bCs/>
          <w:rtl/>
        </w:rPr>
        <w:t>נבארי נ' מדינת ישראל</w:t>
      </w:r>
      <w:r w:rsidRPr="00406D5C">
        <w:rPr>
          <w:rFonts w:ascii="David" w:eastAsia="Calibri" w:hAnsi="David"/>
          <w:rtl/>
        </w:rPr>
        <w:t xml:space="preserve"> (ניתן ביום 15.6.22</w:t>
      </w:r>
      <w:r w:rsidRPr="00406D5C">
        <w:rPr>
          <w:rFonts w:ascii="David" w:eastAsia="Calibri" w:hAnsi="David"/>
        </w:rPr>
        <w:t xml:space="preserve"> (</w:t>
      </w:r>
      <w:r w:rsidRPr="00406D5C">
        <w:rPr>
          <w:rFonts w:ascii="David" w:eastAsia="Calibri" w:hAnsi="David"/>
          <w:rtl/>
        </w:rPr>
        <w:t xml:space="preserve">אשר במסגרתו הושתו </w:t>
      </w:r>
      <w:r w:rsidRPr="00406D5C">
        <w:rPr>
          <w:rFonts w:ascii="David" w:eastAsia="Calibri" w:hAnsi="David"/>
          <w:b/>
          <w:bCs/>
          <w:rtl/>
        </w:rPr>
        <w:t>16 חודשי מאסר לריצוי בפועל</w:t>
      </w:r>
      <w:r w:rsidRPr="00406D5C">
        <w:rPr>
          <w:rFonts w:ascii="David" w:eastAsia="Calibri" w:hAnsi="David"/>
          <w:rtl/>
        </w:rPr>
        <w:t xml:space="preserve"> בגין החזקת אקדח חצי אוטומט טעון במחסנית וכדורים; במסגרתו של </w:t>
      </w:r>
      <w:hyperlink r:id="rId32" w:history="1">
        <w:r w:rsidR="00DC32C9" w:rsidRPr="00DC32C9">
          <w:rPr>
            <w:rFonts w:ascii="David" w:eastAsia="Calibri" w:hAnsi="David"/>
            <w:color w:val="0000FF"/>
            <w:u w:val="single"/>
            <w:rtl/>
          </w:rPr>
          <w:t>ת"פ (מחוזי ב"ש) 54607-07-19</w:t>
        </w:r>
      </w:hyperlink>
      <w:r w:rsidRPr="00406D5C">
        <w:rPr>
          <w:rFonts w:ascii="David" w:eastAsia="Calibri" w:hAnsi="David"/>
          <w:rtl/>
        </w:rPr>
        <w:t xml:space="preserve"> </w:t>
      </w:r>
      <w:r w:rsidRPr="00406D5C">
        <w:rPr>
          <w:rFonts w:ascii="David" w:eastAsia="Calibri" w:hAnsi="David"/>
          <w:b/>
          <w:bCs/>
          <w:rtl/>
        </w:rPr>
        <w:t xml:space="preserve">מדינת ישראל נ' גבור </w:t>
      </w:r>
      <w:r w:rsidRPr="00406D5C">
        <w:rPr>
          <w:rFonts w:ascii="David" w:eastAsia="Calibri" w:hAnsi="David"/>
          <w:rtl/>
        </w:rPr>
        <w:t xml:space="preserve">(ניתן ביום 12.01.2020), </w:t>
      </w:r>
      <w:r w:rsidRPr="00406D5C">
        <w:rPr>
          <w:rFonts w:ascii="David" w:eastAsia="Calibri" w:hAnsi="David"/>
          <w:b/>
          <w:bCs/>
          <w:rtl/>
        </w:rPr>
        <w:t>הושתו 22 חודשי מאסר לריצוי בפועל</w:t>
      </w:r>
      <w:r w:rsidRPr="00406D5C">
        <w:rPr>
          <w:rFonts w:ascii="David" w:eastAsia="Calibri" w:hAnsi="David"/>
          <w:rtl/>
        </w:rPr>
        <w:t xml:space="preserve">, בגין החזקת רוס"ר </w:t>
      </w:r>
      <w:r w:rsidRPr="00406D5C">
        <w:rPr>
          <w:rFonts w:ascii="David" w:eastAsia="Calibri" w:hAnsi="David"/>
        </w:rPr>
        <w:t>M-16</w:t>
      </w:r>
      <w:r w:rsidRPr="00406D5C">
        <w:rPr>
          <w:rFonts w:ascii="David" w:eastAsia="Calibri" w:hAnsi="David"/>
          <w:rtl/>
        </w:rPr>
        <w:t xml:space="preserve"> ומחסנית ריקה;</w:t>
      </w:r>
      <w:r w:rsidRPr="00406D5C">
        <w:rPr>
          <w:rFonts w:ascii="David" w:eastAsia="Calibri" w:hAnsi="David"/>
        </w:rPr>
        <w:t xml:space="preserve"> </w:t>
      </w:r>
      <w:r w:rsidRPr="00406D5C">
        <w:rPr>
          <w:rFonts w:ascii="David" w:eastAsia="Calibri" w:hAnsi="David"/>
          <w:rtl/>
        </w:rPr>
        <w:t xml:space="preserve">במסגרת </w:t>
      </w:r>
      <w:hyperlink r:id="rId33" w:history="1">
        <w:r w:rsidR="00DC32C9" w:rsidRPr="00DC32C9">
          <w:rPr>
            <w:rFonts w:ascii="David" w:eastAsia="Calibri" w:hAnsi="David"/>
            <w:color w:val="0000FF"/>
            <w:u w:val="single"/>
            <w:rtl/>
          </w:rPr>
          <w:t>ע"פ 5646/15</w:t>
        </w:r>
      </w:hyperlink>
      <w:r w:rsidRPr="00406D5C">
        <w:rPr>
          <w:rFonts w:ascii="David" w:eastAsia="Calibri" w:hAnsi="David"/>
          <w:rtl/>
        </w:rPr>
        <w:t xml:space="preserve"> </w:t>
      </w:r>
      <w:r w:rsidRPr="00406D5C">
        <w:rPr>
          <w:rFonts w:ascii="David" w:eastAsia="Calibri" w:hAnsi="David"/>
          <w:b/>
          <w:bCs/>
          <w:rtl/>
        </w:rPr>
        <w:t>תיהאווי נ' מדינת ישראל</w:t>
      </w:r>
      <w:r w:rsidRPr="00406D5C">
        <w:rPr>
          <w:rFonts w:ascii="David" w:eastAsia="Calibri" w:hAnsi="David"/>
          <w:rtl/>
        </w:rPr>
        <w:t xml:space="preserve">, ניתן ביום 14.2.16, הושתו </w:t>
      </w:r>
      <w:r w:rsidRPr="00406D5C">
        <w:rPr>
          <w:rFonts w:ascii="David" w:eastAsia="Calibri" w:hAnsi="David"/>
          <w:b/>
          <w:bCs/>
          <w:rtl/>
        </w:rPr>
        <w:t xml:space="preserve">15 חודשי מאסר לריצוי בפועל </w:t>
      </w:r>
      <w:r w:rsidRPr="00406D5C">
        <w:rPr>
          <w:rFonts w:ascii="David" w:eastAsia="Calibri" w:hAnsi="David"/>
          <w:rtl/>
        </w:rPr>
        <w:t>בגין החזקת אקדח טעון במחסנית ובה כדורים;</w:t>
      </w:r>
      <w:r w:rsidRPr="00406D5C">
        <w:rPr>
          <w:rFonts w:ascii="David" w:eastAsia="Calibri" w:hAnsi="David"/>
        </w:rPr>
        <w:t xml:space="preserve"> </w:t>
      </w:r>
      <w:r w:rsidRPr="00406D5C">
        <w:rPr>
          <w:rFonts w:ascii="David" w:eastAsia="Calibri" w:hAnsi="David"/>
          <w:rtl/>
        </w:rPr>
        <w:t xml:space="preserve">במסגרתו של </w:t>
      </w:r>
      <w:hyperlink r:id="rId34" w:history="1">
        <w:r w:rsidR="00DC32C9" w:rsidRPr="00DC32C9">
          <w:rPr>
            <w:rFonts w:ascii="David" w:eastAsia="Calibri" w:hAnsi="David"/>
            <w:color w:val="0000FF"/>
            <w:u w:val="single"/>
            <w:rtl/>
          </w:rPr>
          <w:t>ע"פ 2141/21</w:t>
        </w:r>
      </w:hyperlink>
      <w:r w:rsidRPr="00406D5C">
        <w:rPr>
          <w:rFonts w:ascii="David" w:eastAsia="Calibri" w:hAnsi="David"/>
          <w:rtl/>
        </w:rPr>
        <w:t xml:space="preserve"> </w:t>
      </w:r>
      <w:r w:rsidRPr="00406D5C">
        <w:rPr>
          <w:rFonts w:ascii="David" w:eastAsia="Calibri" w:hAnsi="David"/>
          <w:b/>
          <w:bCs/>
          <w:rtl/>
        </w:rPr>
        <w:t>חניני נ' מדינת ישראל</w:t>
      </w:r>
      <w:r w:rsidRPr="00406D5C">
        <w:rPr>
          <w:rFonts w:ascii="David" w:eastAsia="Calibri" w:hAnsi="David"/>
          <w:rtl/>
        </w:rPr>
        <w:t xml:space="preserve"> (ניתן ביום 27.5.21),</w:t>
      </w:r>
      <w:r w:rsidRPr="00406D5C">
        <w:rPr>
          <w:rFonts w:ascii="David" w:eastAsia="Calibri" w:hAnsi="David"/>
          <w:b/>
          <w:bCs/>
          <w:rtl/>
        </w:rPr>
        <w:t>הושתו 20 חודשי מאסר לריצוי בפועל</w:t>
      </w:r>
      <w:r w:rsidRPr="00406D5C">
        <w:rPr>
          <w:rFonts w:ascii="David" w:eastAsia="Calibri" w:hAnsi="David"/>
          <w:rtl/>
        </w:rPr>
        <w:t xml:space="preserve"> בגין החזקת אקדח אוויר שבוצעו בו שינויים וכדורים תואמים}.</w:t>
      </w:r>
    </w:p>
    <w:p w14:paraId="2E460195" w14:textId="77777777" w:rsidR="002508B1" w:rsidRPr="00406D5C" w:rsidRDefault="002508B1" w:rsidP="002508B1">
      <w:pPr>
        <w:spacing w:line="360" w:lineRule="auto"/>
        <w:ind w:right="-426"/>
        <w:jc w:val="both"/>
        <w:rPr>
          <w:rFonts w:ascii="David" w:eastAsia="Calibri" w:hAnsi="David"/>
          <w:rtl/>
        </w:rPr>
      </w:pPr>
      <w:r w:rsidRPr="00406D5C">
        <w:rPr>
          <w:rFonts w:ascii="David" w:eastAsia="Calibri" w:hAnsi="David"/>
          <w:rtl/>
        </w:rPr>
        <w:t xml:space="preserve">עוד יש לזכור, כי במסגרתו של תיקון </w:t>
      </w:r>
      <w:r w:rsidR="00651351" w:rsidRPr="00651351">
        <w:rPr>
          <w:rFonts w:ascii="David" w:eastAsia="Calibri" w:hAnsi="David"/>
          <w:rtl/>
        </w:rPr>
        <w:t>מס' 140</w:t>
      </w:r>
      <w:r w:rsidRPr="00406D5C">
        <w:rPr>
          <w:rFonts w:ascii="David" w:eastAsia="Calibri" w:hAnsi="David"/>
          <w:rtl/>
        </w:rPr>
        <w:t xml:space="preserve"> ל</w:t>
      </w:r>
      <w:r w:rsidR="00DC32C9" w:rsidRPr="00651351">
        <w:rPr>
          <w:rFonts w:ascii="David" w:eastAsia="Calibri" w:hAnsi="David"/>
          <w:rtl/>
        </w:rPr>
        <w:t>חוק העונשין</w:t>
      </w:r>
      <w:r w:rsidRPr="00406D5C">
        <w:rPr>
          <w:rFonts w:ascii="David" w:eastAsia="Calibri" w:hAnsi="David"/>
          <w:rtl/>
        </w:rPr>
        <w:t xml:space="preserve"> (תיקון מס' 140 - הוראת שעה), התשפ"ה-2025, הבא לידי ביטוי בסעיף 144(ז) לחוק, עוגנו </w:t>
      </w:r>
      <w:r w:rsidRPr="00406D5C">
        <w:rPr>
          <w:rFonts w:ascii="David" w:eastAsia="Calibri" w:hAnsi="David"/>
          <w:b/>
          <w:bCs/>
          <w:rtl/>
        </w:rPr>
        <w:t xml:space="preserve">עונשים מזעריים </w:t>
      </w:r>
      <w:r w:rsidRPr="00406D5C">
        <w:rPr>
          <w:rFonts w:ascii="David" w:eastAsia="Calibri" w:hAnsi="David"/>
          <w:rtl/>
        </w:rPr>
        <w:t>הנוגעים לעבירות שעניינן החזקה, הובלה או סחר בנשק שלא כדין. בתיקון נקבע, כי העונש שיוטל על העבריין במקרים אלו "</w:t>
      </w:r>
      <w:r w:rsidRPr="00406D5C">
        <w:rPr>
          <w:rFonts w:ascii="David" w:eastAsia="Calibri" w:hAnsi="David"/>
          <w:u w:val="single"/>
          <w:rtl/>
        </w:rPr>
        <w:t>לא יפחת ... מרבע העונש המרבי שנקבע לאותה עבירה, אלא אם כן החליט בית המשפט, מטעמים מיוחדים שיירשמו, להקל בעונשו;.</w:t>
      </w:r>
      <w:r w:rsidRPr="00406D5C">
        <w:rPr>
          <w:rFonts w:ascii="David" w:eastAsia="Calibri" w:hAnsi="David"/>
          <w:rtl/>
        </w:rPr>
        <w:t xml:space="preserve">.".  </w:t>
      </w:r>
    </w:p>
    <w:p w14:paraId="4EB77E74" w14:textId="77777777" w:rsidR="002508B1" w:rsidRPr="00406D5C" w:rsidRDefault="002508B1" w:rsidP="002508B1">
      <w:pPr>
        <w:spacing w:line="360" w:lineRule="auto"/>
        <w:ind w:right="-426"/>
        <w:jc w:val="both"/>
        <w:rPr>
          <w:rFonts w:ascii="David" w:eastAsia="Calibri" w:hAnsi="David"/>
          <w:rtl/>
        </w:rPr>
      </w:pPr>
    </w:p>
    <w:p w14:paraId="707B135C" w14:textId="77777777" w:rsidR="002508B1" w:rsidRPr="00406D5C" w:rsidRDefault="002508B1" w:rsidP="002508B1">
      <w:pPr>
        <w:spacing w:after="160" w:line="360" w:lineRule="auto"/>
        <w:ind w:right="-426"/>
        <w:jc w:val="both"/>
        <w:rPr>
          <w:rFonts w:ascii="David" w:eastAsia="Calibri" w:hAnsi="David"/>
          <w:rtl/>
        </w:rPr>
      </w:pPr>
      <w:r w:rsidRPr="00406D5C">
        <w:rPr>
          <w:rFonts w:ascii="David" w:eastAsia="Calibri" w:hAnsi="David"/>
          <w:rtl/>
        </w:rPr>
        <w:t xml:space="preserve">בשלב זה, יש להתייחס אל </w:t>
      </w:r>
      <w:r w:rsidRPr="00406D5C">
        <w:rPr>
          <w:rFonts w:ascii="David" w:eastAsia="Calibri" w:hAnsi="David"/>
          <w:b/>
          <w:bCs/>
          <w:rtl/>
        </w:rPr>
        <w:t xml:space="preserve">הנסיבות הקשורות לביצוע העבירה </w:t>
      </w:r>
      <w:r w:rsidRPr="00406D5C">
        <w:rPr>
          <w:rFonts w:ascii="David" w:eastAsia="Calibri" w:hAnsi="David"/>
          <w:rtl/>
        </w:rPr>
        <w:t xml:space="preserve">(אלו המצוינות </w:t>
      </w:r>
      <w:hyperlink r:id="rId35" w:history="1">
        <w:r w:rsidR="00651351" w:rsidRPr="00651351">
          <w:rPr>
            <w:rStyle w:val="Hyperlink"/>
            <w:rFonts w:ascii="David" w:eastAsia="Calibri" w:hAnsi="David"/>
            <w:color w:val="0000FF"/>
            <w:rtl/>
          </w:rPr>
          <w:t>בסעיף 40ט</w:t>
        </w:r>
      </w:hyperlink>
      <w:r w:rsidRPr="00406D5C">
        <w:rPr>
          <w:rFonts w:ascii="David" w:eastAsia="Calibri" w:hAnsi="David"/>
          <w:rtl/>
        </w:rPr>
        <w:t xml:space="preserve"> לחוק). </w:t>
      </w:r>
    </w:p>
    <w:p w14:paraId="3CA2ADDA" w14:textId="77777777" w:rsidR="002508B1" w:rsidRPr="00406D5C" w:rsidRDefault="002508B1" w:rsidP="002508B1">
      <w:pPr>
        <w:spacing w:line="360" w:lineRule="auto"/>
        <w:ind w:right="-284"/>
        <w:jc w:val="both"/>
        <w:rPr>
          <w:rFonts w:ascii="David" w:eastAsia="Calibri" w:hAnsi="David"/>
          <w:rtl/>
        </w:rPr>
      </w:pPr>
      <w:r w:rsidRPr="00406D5C">
        <w:rPr>
          <w:rFonts w:ascii="David" w:eastAsia="Calibri" w:hAnsi="David"/>
          <w:rtl/>
        </w:rPr>
        <w:t xml:space="preserve">חלקו של הנאשם בביצוען של העבירות הוא בלעדי. עסקינן באקדח אשר הוסב לירי קליעים, הוחזק בביתו  טעון במחסנית מתאימה </w:t>
      </w:r>
      <w:r w:rsidRPr="00406D5C">
        <w:rPr>
          <w:rFonts w:ascii="David" w:eastAsia="Calibri" w:hAnsi="David"/>
          <w:u w:val="single"/>
          <w:rtl/>
        </w:rPr>
        <w:t>ונישא לזמן קצר בלבד</w:t>
      </w:r>
      <w:r w:rsidRPr="00406D5C">
        <w:rPr>
          <w:rFonts w:ascii="David" w:eastAsia="Calibri" w:hAnsi="David"/>
          <w:rtl/>
        </w:rPr>
        <w:t xml:space="preserve"> (בהתאם לעובדות כתב האישום המתוקן)</w:t>
      </w:r>
      <w:r w:rsidRPr="00406D5C">
        <w:rPr>
          <w:rFonts w:ascii="David" w:eastAsia="Calibri" w:hAnsi="David"/>
        </w:rPr>
        <w:t xml:space="preserve"> </w:t>
      </w:r>
      <w:r w:rsidRPr="00406D5C">
        <w:rPr>
          <w:rFonts w:ascii="David" w:eastAsia="Calibri" w:hAnsi="David"/>
          <w:rtl/>
        </w:rPr>
        <w:t xml:space="preserve">בקרבת אותו הבית, </w:t>
      </w:r>
      <w:r w:rsidRPr="00406D5C">
        <w:rPr>
          <w:rFonts w:ascii="David" w:eastAsia="Calibri" w:hAnsi="David"/>
          <w:u w:val="single"/>
          <w:rtl/>
        </w:rPr>
        <w:t>כאשר הוא טעון בארבעה כדורים</w:t>
      </w:r>
      <w:r w:rsidRPr="00406D5C">
        <w:rPr>
          <w:rFonts w:ascii="David" w:eastAsia="Calibri" w:hAnsi="David"/>
          <w:rtl/>
        </w:rPr>
        <w:t xml:space="preserve">. הנזקים לביטחון הציבור שעלולים היו להיווצר מהחזקה ונשיאת נשק, שלא כדין, פורטו לעיל והם ידועים. הנאשם יכול היה וצריך היה להימנע מביצוען, לא כל שכן כאשר בעברו מעשים דומים שביצע בעבר. אין בנמצא סייג לאחריות פלילית כלשהו אשר עומד לזכותו של הנאשם. </w:t>
      </w:r>
    </w:p>
    <w:p w14:paraId="47F460BB" w14:textId="77777777" w:rsidR="002508B1" w:rsidRPr="00406D5C" w:rsidRDefault="002508B1" w:rsidP="002508B1">
      <w:pPr>
        <w:spacing w:line="360" w:lineRule="auto"/>
        <w:ind w:right="-284"/>
        <w:jc w:val="both"/>
        <w:rPr>
          <w:rFonts w:ascii="David" w:eastAsia="Calibri" w:hAnsi="David"/>
          <w:rtl/>
        </w:rPr>
      </w:pPr>
    </w:p>
    <w:p w14:paraId="052FCC4A" w14:textId="77777777" w:rsidR="002508B1" w:rsidRPr="00406D5C" w:rsidRDefault="002508B1" w:rsidP="002508B1">
      <w:pPr>
        <w:spacing w:after="160" w:line="360" w:lineRule="auto"/>
        <w:ind w:right="-567"/>
        <w:jc w:val="both"/>
        <w:rPr>
          <w:rFonts w:ascii="David" w:eastAsia="Calibri" w:hAnsi="David"/>
          <w:rtl/>
        </w:rPr>
      </w:pPr>
      <w:r w:rsidRPr="00406D5C">
        <w:rPr>
          <w:rFonts w:ascii="David" w:eastAsia="Calibri" w:hAnsi="David"/>
          <w:rtl/>
        </w:rPr>
        <w:t>לאור כל המקובץ, מצאתי לנכון לקבוע</w:t>
      </w:r>
      <w:r w:rsidRPr="00406D5C">
        <w:rPr>
          <w:rFonts w:ascii="David" w:eastAsia="Calibri" w:hAnsi="David"/>
          <w:b/>
          <w:bCs/>
          <w:rtl/>
        </w:rPr>
        <w:t xml:space="preserve"> מתחם ענישה בעניינו של הנאשם אשר נע בין 27 לבין 40 חודשי מאסר לריצוי בפועל, </w:t>
      </w:r>
      <w:r w:rsidRPr="00406D5C">
        <w:rPr>
          <w:rFonts w:ascii="David" w:eastAsia="Calibri" w:hAnsi="David"/>
          <w:rtl/>
        </w:rPr>
        <w:t xml:space="preserve">לצד עונשים נלווים.  </w:t>
      </w:r>
    </w:p>
    <w:p w14:paraId="15BCEB02" w14:textId="77777777" w:rsidR="002508B1" w:rsidRPr="00406D5C" w:rsidRDefault="002508B1" w:rsidP="002508B1">
      <w:pPr>
        <w:overflowPunct w:val="0"/>
        <w:autoSpaceDE w:val="0"/>
        <w:autoSpaceDN w:val="0"/>
        <w:spacing w:line="360" w:lineRule="auto"/>
        <w:ind w:right="-567"/>
        <w:jc w:val="both"/>
        <w:rPr>
          <w:rFonts w:ascii="David" w:hAnsi="David"/>
          <w:rtl/>
        </w:rPr>
      </w:pPr>
      <w:r w:rsidRPr="00406D5C">
        <w:rPr>
          <w:rFonts w:ascii="David" w:hAnsi="David"/>
          <w:rtl/>
        </w:rPr>
        <w:t xml:space="preserve">מכאן, ראוי לבחון מהו העונש המתאים לנאשם בשים לב </w:t>
      </w:r>
      <w:r w:rsidRPr="00406D5C">
        <w:rPr>
          <w:rFonts w:ascii="David" w:hAnsi="David"/>
          <w:b/>
          <w:bCs/>
          <w:rtl/>
        </w:rPr>
        <w:t xml:space="preserve">לנסיבות שאינן קשורות בביצוע העבירה </w:t>
      </w:r>
      <w:r w:rsidRPr="00406D5C">
        <w:rPr>
          <w:rFonts w:ascii="David" w:hAnsi="David"/>
          <w:rtl/>
        </w:rPr>
        <w:t>(</w:t>
      </w:r>
      <w:hyperlink r:id="rId36" w:history="1">
        <w:r w:rsidR="00651351" w:rsidRPr="00651351">
          <w:rPr>
            <w:rStyle w:val="Hyperlink"/>
            <w:rFonts w:ascii="David" w:hAnsi="David"/>
            <w:color w:val="0000FF"/>
            <w:rtl/>
          </w:rPr>
          <w:t>סעיף 40יא</w:t>
        </w:r>
      </w:hyperlink>
      <w:r w:rsidRPr="00406D5C">
        <w:rPr>
          <w:rFonts w:ascii="David" w:hAnsi="David"/>
          <w:rtl/>
        </w:rPr>
        <w:t xml:space="preserve"> לחוק).</w:t>
      </w:r>
      <w:r w:rsidRPr="00406D5C">
        <w:rPr>
          <w:rFonts w:ascii="David" w:hAnsi="David"/>
          <w:b/>
          <w:bCs/>
          <w:rtl/>
        </w:rPr>
        <w:t xml:space="preserve"> </w:t>
      </w:r>
    </w:p>
    <w:p w14:paraId="0B906114" w14:textId="77777777" w:rsidR="002508B1" w:rsidRPr="00406D5C" w:rsidRDefault="002508B1" w:rsidP="002508B1">
      <w:pPr>
        <w:overflowPunct w:val="0"/>
        <w:autoSpaceDE w:val="0"/>
        <w:autoSpaceDN w:val="0"/>
        <w:spacing w:line="360" w:lineRule="auto"/>
        <w:ind w:right="-567"/>
        <w:jc w:val="both"/>
        <w:rPr>
          <w:rFonts w:ascii="David" w:hAnsi="David"/>
          <w:highlight w:val="yellow"/>
          <w:rtl/>
        </w:rPr>
      </w:pPr>
    </w:p>
    <w:p w14:paraId="3CE8FC54" w14:textId="77777777" w:rsidR="002508B1" w:rsidRPr="00406D5C" w:rsidRDefault="002508B1" w:rsidP="002508B1">
      <w:pPr>
        <w:spacing w:line="360" w:lineRule="auto"/>
        <w:ind w:right="-567"/>
        <w:jc w:val="both"/>
        <w:rPr>
          <w:rFonts w:ascii="David" w:eastAsia="Calibri" w:hAnsi="David"/>
          <w:b/>
          <w:bCs/>
          <w:rtl/>
        </w:rPr>
      </w:pPr>
      <w:r w:rsidRPr="00406D5C">
        <w:rPr>
          <w:rFonts w:ascii="David" w:eastAsia="Calibri" w:hAnsi="David"/>
          <w:rtl/>
        </w:rPr>
        <w:t xml:space="preserve">אכן יש לזקוף לזכותו של הנאשם את </w:t>
      </w:r>
      <w:r w:rsidRPr="00406D5C">
        <w:rPr>
          <w:rFonts w:ascii="David" w:eastAsia="Calibri" w:hAnsi="David"/>
          <w:b/>
          <w:bCs/>
          <w:rtl/>
        </w:rPr>
        <w:t>החיסכון המשמעותי בזמן שיפוטי יקר, הנגזר מהודאתו ומנטילת האחריות שביצע</w:t>
      </w:r>
      <w:r w:rsidRPr="00406D5C">
        <w:rPr>
          <w:rFonts w:ascii="David" w:eastAsia="Calibri" w:hAnsi="David"/>
          <w:rtl/>
        </w:rPr>
        <w:t>.</w:t>
      </w:r>
      <w:r w:rsidRPr="00406D5C">
        <w:rPr>
          <w:rFonts w:ascii="David" w:eastAsia="Calibri" w:hAnsi="David"/>
          <w:b/>
          <w:bCs/>
          <w:rtl/>
        </w:rPr>
        <w:t xml:space="preserve"> ברי, כי עונש מאסר יפגע בנאשם ובמשפחתו. </w:t>
      </w:r>
      <w:r w:rsidRPr="00406D5C">
        <w:rPr>
          <w:rFonts w:ascii="David" w:eastAsia="Calibri" w:hAnsi="David"/>
          <w:rtl/>
        </w:rPr>
        <w:t xml:space="preserve">בהקשר זה לא נעלמו מעייני דבריה של אמו שהעידה על עזרתו למשק </w:t>
      </w:r>
      <w:r w:rsidRPr="00406D5C">
        <w:rPr>
          <w:rFonts w:ascii="David" w:eastAsia="Calibri" w:hAnsi="David"/>
          <w:b/>
          <w:bCs/>
          <w:rtl/>
        </w:rPr>
        <w:t xml:space="preserve">הבית. </w:t>
      </w:r>
      <w:r w:rsidRPr="00406D5C">
        <w:rPr>
          <w:rFonts w:ascii="David" w:eastAsia="Calibri" w:hAnsi="David"/>
          <w:rtl/>
        </w:rPr>
        <w:t>דא עקא</w:t>
      </w:r>
      <w:r w:rsidRPr="00406D5C">
        <w:rPr>
          <w:rFonts w:ascii="David" w:eastAsia="Calibri" w:hAnsi="David"/>
          <w:b/>
          <w:bCs/>
          <w:rtl/>
        </w:rPr>
        <w:t xml:space="preserve">, לחובתו של הנאשם עבר פלילי הכולל את ביצוען של עבירות דומות שביצע בשנת 2020, </w:t>
      </w:r>
      <w:r w:rsidRPr="00406D5C">
        <w:rPr>
          <w:rFonts w:ascii="David" w:eastAsia="Calibri" w:hAnsi="David"/>
          <w:rtl/>
        </w:rPr>
        <w:t xml:space="preserve">ודומה כי הנאשם אינו לומד את לקחו. אין בנמצא המלצה שיקומית כלשהי בעניינו. </w:t>
      </w:r>
    </w:p>
    <w:p w14:paraId="512507F8" w14:textId="77777777" w:rsidR="002508B1" w:rsidRPr="00406D5C" w:rsidRDefault="002508B1" w:rsidP="002508B1">
      <w:pPr>
        <w:spacing w:line="360" w:lineRule="auto"/>
        <w:ind w:right="-567"/>
        <w:jc w:val="both"/>
        <w:rPr>
          <w:rFonts w:ascii="David" w:eastAsia="Calibri" w:hAnsi="David"/>
          <w:b/>
          <w:bCs/>
          <w:rtl/>
        </w:rPr>
      </w:pPr>
    </w:p>
    <w:p w14:paraId="14AF8CB0" w14:textId="77777777" w:rsidR="002508B1" w:rsidRPr="00406D5C" w:rsidRDefault="002508B1" w:rsidP="002508B1">
      <w:pPr>
        <w:overflowPunct w:val="0"/>
        <w:autoSpaceDE w:val="0"/>
        <w:autoSpaceDN w:val="0"/>
        <w:spacing w:line="360" w:lineRule="auto"/>
        <w:ind w:right="-567"/>
        <w:jc w:val="both"/>
        <w:rPr>
          <w:rFonts w:ascii="David" w:eastAsia="Calibri" w:hAnsi="David"/>
          <w:rtl/>
        </w:rPr>
      </w:pPr>
      <w:r w:rsidRPr="00406D5C">
        <w:rPr>
          <w:rFonts w:ascii="David" w:eastAsia="Calibri" w:hAnsi="David"/>
          <w:rtl/>
        </w:rPr>
        <w:t xml:space="preserve">עוד סברתי כי בכגון דא בהחלט יש מקום להביא בחשבון בתוככי מתחם הענישה את השיקול שעניינו </w:t>
      </w:r>
      <w:r w:rsidRPr="00406D5C">
        <w:rPr>
          <w:rFonts w:ascii="David" w:eastAsia="Calibri" w:hAnsi="David"/>
          <w:b/>
          <w:bCs/>
          <w:rtl/>
        </w:rPr>
        <w:t>בהרתעת הרבים</w:t>
      </w:r>
      <w:r w:rsidRPr="00406D5C">
        <w:rPr>
          <w:rFonts w:ascii="David" w:eastAsia="Calibri" w:hAnsi="David"/>
          <w:rtl/>
        </w:rPr>
        <w:t xml:space="preserve"> (בהתאם </w:t>
      </w:r>
      <w:hyperlink r:id="rId37" w:history="1">
        <w:r w:rsidR="00651351" w:rsidRPr="00651351">
          <w:rPr>
            <w:rStyle w:val="Hyperlink"/>
            <w:rFonts w:ascii="David" w:eastAsia="Calibri" w:hAnsi="David"/>
            <w:color w:val="0000FF"/>
            <w:rtl/>
          </w:rPr>
          <w:t>לסעיף 40ז</w:t>
        </w:r>
      </w:hyperlink>
      <w:r w:rsidRPr="00406D5C">
        <w:rPr>
          <w:rFonts w:ascii="David" w:eastAsia="Calibri" w:hAnsi="David"/>
          <w:rtl/>
        </w:rPr>
        <w:t xml:space="preserve"> לחוק);</w:t>
      </w:r>
      <w:r w:rsidRPr="00406D5C">
        <w:rPr>
          <w:rFonts w:ascii="David" w:eastAsia="Calibri" w:hAnsi="David"/>
        </w:rPr>
        <w:t xml:space="preserve"> </w:t>
      </w:r>
      <w:r w:rsidRPr="00406D5C">
        <w:rPr>
          <w:rFonts w:ascii="David" w:eastAsia="Calibri" w:hAnsi="David"/>
          <w:rtl/>
        </w:rPr>
        <w:t xml:space="preserve">תוך העברת מסר לציבור הרחב שהתנהגות דומה אינה מקובלת במחוזותינו.  </w:t>
      </w:r>
    </w:p>
    <w:p w14:paraId="2DB4FC61" w14:textId="77777777" w:rsidR="002508B1" w:rsidRPr="00406D5C" w:rsidRDefault="002508B1" w:rsidP="002508B1">
      <w:pPr>
        <w:overflowPunct w:val="0"/>
        <w:autoSpaceDE w:val="0"/>
        <w:autoSpaceDN w:val="0"/>
        <w:spacing w:line="360" w:lineRule="auto"/>
        <w:ind w:right="-567"/>
        <w:jc w:val="both"/>
        <w:rPr>
          <w:rFonts w:ascii="David" w:hAnsi="David"/>
          <w:rtl/>
        </w:rPr>
      </w:pPr>
    </w:p>
    <w:p w14:paraId="1342D0CF" w14:textId="77777777" w:rsidR="002508B1" w:rsidRPr="00406D5C" w:rsidRDefault="002508B1" w:rsidP="002508B1">
      <w:pPr>
        <w:spacing w:line="360" w:lineRule="auto"/>
        <w:ind w:right="-567"/>
        <w:jc w:val="both"/>
        <w:rPr>
          <w:rFonts w:ascii="David" w:eastAsia="Calibri" w:hAnsi="David"/>
          <w:rtl/>
        </w:rPr>
      </w:pPr>
      <w:r w:rsidRPr="00406D5C">
        <w:rPr>
          <w:rFonts w:ascii="David" w:eastAsia="Calibri" w:hAnsi="David"/>
          <w:rtl/>
        </w:rPr>
        <w:t>לאחר ששקלתי את כל השיקולים הדרושים לכך, מצאתי לנכון להטיל על הנאשם את העונשים הבאים:</w:t>
      </w:r>
    </w:p>
    <w:p w14:paraId="05515830" w14:textId="77777777" w:rsidR="002508B1" w:rsidRPr="00406D5C" w:rsidRDefault="002508B1" w:rsidP="002508B1">
      <w:pPr>
        <w:spacing w:line="360" w:lineRule="auto"/>
        <w:ind w:right="-567"/>
        <w:jc w:val="both"/>
        <w:rPr>
          <w:rFonts w:ascii="David" w:eastAsia="Calibri" w:hAnsi="David"/>
          <w:rtl/>
        </w:rPr>
      </w:pPr>
    </w:p>
    <w:p w14:paraId="1CB0EBC0" w14:textId="77777777" w:rsidR="002508B1" w:rsidRPr="00406D5C" w:rsidRDefault="002508B1" w:rsidP="002508B1">
      <w:pPr>
        <w:numPr>
          <w:ilvl w:val="0"/>
          <w:numId w:val="1"/>
        </w:numPr>
        <w:overflowPunct w:val="0"/>
        <w:autoSpaceDE w:val="0"/>
        <w:autoSpaceDN w:val="0"/>
        <w:spacing w:after="160" w:line="360" w:lineRule="auto"/>
        <w:jc w:val="both"/>
        <w:rPr>
          <w:rFonts w:ascii="David" w:hAnsi="David"/>
          <w:b/>
          <w:bCs/>
          <w:rtl/>
        </w:rPr>
      </w:pPr>
      <w:r w:rsidRPr="00406D5C">
        <w:rPr>
          <w:rFonts w:ascii="David" w:hAnsi="David"/>
          <w:b/>
          <w:bCs/>
          <w:rtl/>
        </w:rPr>
        <w:t>29 חודשי מאסר לריצוי בפועל מיום מעצרו.</w:t>
      </w:r>
    </w:p>
    <w:p w14:paraId="4A50F513" w14:textId="77777777" w:rsidR="002508B1" w:rsidRPr="00406D5C" w:rsidRDefault="002508B1" w:rsidP="002508B1">
      <w:pPr>
        <w:numPr>
          <w:ilvl w:val="0"/>
          <w:numId w:val="1"/>
        </w:numPr>
        <w:overflowPunct w:val="0"/>
        <w:autoSpaceDE w:val="0"/>
        <w:autoSpaceDN w:val="0"/>
        <w:spacing w:after="160" w:line="360" w:lineRule="auto"/>
        <w:jc w:val="both"/>
        <w:rPr>
          <w:rFonts w:ascii="David" w:hAnsi="David"/>
        </w:rPr>
      </w:pPr>
      <w:r w:rsidRPr="00406D5C">
        <w:rPr>
          <w:rFonts w:ascii="David" w:hAnsi="David"/>
          <w:rtl/>
        </w:rPr>
        <w:t>10 חודשי מאסר על תנאי שלא יעבור במשך 3 שנים עבירות בנשק</w:t>
      </w:r>
      <w:r w:rsidRPr="00406D5C">
        <w:rPr>
          <w:rtl/>
        </w:rPr>
        <w:t xml:space="preserve"> לפי </w:t>
      </w:r>
      <w:hyperlink r:id="rId38" w:history="1">
        <w:r w:rsidR="00651351" w:rsidRPr="00651351">
          <w:rPr>
            <w:color w:val="0000FF"/>
            <w:u w:val="single"/>
            <w:rtl/>
          </w:rPr>
          <w:t>סעיף 144</w:t>
        </w:r>
      </w:hyperlink>
      <w:r w:rsidRPr="00406D5C">
        <w:rPr>
          <w:rtl/>
        </w:rPr>
        <w:t xml:space="preserve"> ל</w:t>
      </w:r>
      <w:hyperlink r:id="rId39" w:history="1">
        <w:r w:rsidR="00DC32C9" w:rsidRPr="00DC32C9">
          <w:rPr>
            <w:color w:val="0000FF"/>
            <w:u w:val="single"/>
            <w:rtl/>
          </w:rPr>
          <w:t>חוק העונשין</w:t>
        </w:r>
      </w:hyperlink>
      <w:r w:rsidRPr="00406D5C">
        <w:rPr>
          <w:rtl/>
        </w:rPr>
        <w:t>.</w:t>
      </w:r>
    </w:p>
    <w:p w14:paraId="1ED6A8F4" w14:textId="77777777" w:rsidR="002508B1" w:rsidRPr="00406D5C" w:rsidRDefault="002508B1" w:rsidP="002508B1">
      <w:pPr>
        <w:numPr>
          <w:ilvl w:val="0"/>
          <w:numId w:val="1"/>
        </w:numPr>
        <w:overflowPunct w:val="0"/>
        <w:autoSpaceDE w:val="0"/>
        <w:autoSpaceDN w:val="0"/>
        <w:spacing w:after="160" w:line="360" w:lineRule="auto"/>
        <w:jc w:val="both"/>
        <w:rPr>
          <w:rFonts w:ascii="David" w:hAnsi="David"/>
        </w:rPr>
      </w:pPr>
      <w:r w:rsidRPr="00406D5C">
        <w:rPr>
          <w:rFonts w:ascii="David" w:hAnsi="David"/>
          <w:rtl/>
        </w:rPr>
        <w:t xml:space="preserve">קנס בסך </w:t>
      </w:r>
      <w:r>
        <w:rPr>
          <w:rFonts w:ascii="David" w:hAnsi="David" w:hint="cs"/>
          <w:rtl/>
        </w:rPr>
        <w:t>2,000</w:t>
      </w:r>
      <w:r w:rsidRPr="00406D5C">
        <w:rPr>
          <w:rFonts w:ascii="David" w:hAnsi="David"/>
          <w:rtl/>
        </w:rPr>
        <w:t xml:space="preserve"> ₪ שישולם עד יום 1.</w:t>
      </w:r>
      <w:r>
        <w:rPr>
          <w:rFonts w:ascii="David" w:hAnsi="David" w:hint="cs"/>
          <w:rtl/>
        </w:rPr>
        <w:t>6</w:t>
      </w:r>
      <w:r w:rsidRPr="00406D5C">
        <w:rPr>
          <w:rFonts w:ascii="David" w:hAnsi="David"/>
          <w:rtl/>
        </w:rPr>
        <w:t xml:space="preserve">.25 או 20 ימי מאסר תמורתו. </w:t>
      </w:r>
    </w:p>
    <w:p w14:paraId="2C1C6452" w14:textId="77777777" w:rsidR="002508B1" w:rsidRPr="00406D5C" w:rsidRDefault="002508B1" w:rsidP="002508B1">
      <w:pPr>
        <w:overflowPunct w:val="0"/>
        <w:autoSpaceDE w:val="0"/>
        <w:autoSpaceDN w:val="0"/>
        <w:spacing w:line="360" w:lineRule="auto"/>
        <w:jc w:val="both"/>
        <w:rPr>
          <w:rFonts w:ascii="David" w:hAnsi="David"/>
          <w:b/>
          <w:bCs/>
        </w:rPr>
      </w:pPr>
      <w:r w:rsidRPr="00406D5C">
        <w:rPr>
          <w:rFonts w:ascii="David" w:hAnsi="David"/>
          <w:b/>
          <w:bCs/>
          <w:rtl/>
        </w:rPr>
        <w:t>זכות ערעור כחוק</w:t>
      </w:r>
    </w:p>
    <w:p w14:paraId="584162CC" w14:textId="77777777" w:rsidR="002508B1" w:rsidRPr="00DC32C9" w:rsidRDefault="00DC32C9" w:rsidP="002508B1">
      <w:pPr>
        <w:spacing w:line="360" w:lineRule="auto"/>
        <w:jc w:val="both"/>
        <w:rPr>
          <w:rFonts w:ascii="Arial" w:hAnsi="Arial"/>
          <w:color w:val="FFFFFF"/>
          <w:sz w:val="2"/>
          <w:szCs w:val="2"/>
          <w:rtl/>
        </w:rPr>
      </w:pPr>
      <w:r w:rsidRPr="00DC32C9">
        <w:rPr>
          <w:rFonts w:ascii="Arial" w:hAnsi="Arial"/>
          <w:color w:val="FFFFFF"/>
          <w:sz w:val="2"/>
          <w:szCs w:val="2"/>
          <w:rtl/>
        </w:rPr>
        <w:t>5129371</w:t>
      </w:r>
    </w:p>
    <w:p w14:paraId="5F78111C" w14:textId="77777777" w:rsidR="002508B1" w:rsidRPr="00406D5C" w:rsidRDefault="00DC32C9" w:rsidP="002508B1">
      <w:pPr>
        <w:rPr>
          <w:rFonts w:cs="FrankRuehl"/>
          <w:sz w:val="28"/>
          <w:szCs w:val="28"/>
          <w:rtl/>
        </w:rPr>
      </w:pPr>
      <w:bookmarkStart w:id="7" w:name="Nitan"/>
      <w:r w:rsidRPr="00DC32C9">
        <w:rPr>
          <w:rFonts w:ascii="Arial" w:hAnsi="Arial"/>
          <w:color w:val="FFFFFF"/>
          <w:sz w:val="2"/>
          <w:szCs w:val="2"/>
          <w:rtl/>
        </w:rPr>
        <w:t>54678313</w:t>
      </w:r>
      <w:r>
        <w:rPr>
          <w:rFonts w:ascii="Arial" w:hAnsi="Arial"/>
          <w:rtl/>
        </w:rPr>
        <w:t xml:space="preserve">ניתן היום,  י' ניסן תשפ"ה, 08 אפריל 2025, במעמד הצדדים. </w:t>
      </w:r>
      <w:bookmarkEnd w:id="7"/>
    </w:p>
    <w:p w14:paraId="1C3559AF" w14:textId="77777777" w:rsidR="002508B1" w:rsidRDefault="002508B1" w:rsidP="00DC32C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5BE4160" w14:textId="77777777" w:rsidR="002508B1" w:rsidRDefault="002508B1" w:rsidP="002508B1">
      <w:pPr>
        <w:jc w:val="center"/>
        <w:rPr>
          <w:rFonts w:ascii="Arial" w:hAnsi="Arial" w:cs="FrankRuehl"/>
          <w:sz w:val="28"/>
          <w:szCs w:val="28"/>
          <w:rtl/>
        </w:rPr>
      </w:pPr>
    </w:p>
    <w:p w14:paraId="2EDEDF8F" w14:textId="77777777" w:rsidR="002508B1" w:rsidRDefault="002508B1" w:rsidP="002508B1">
      <w:pPr>
        <w:rPr>
          <w:rFonts w:cs="FrankRuehl"/>
          <w:sz w:val="28"/>
          <w:szCs w:val="28"/>
          <w:rtl/>
        </w:rPr>
      </w:pPr>
    </w:p>
    <w:p w14:paraId="37334911" w14:textId="77777777" w:rsidR="002508B1" w:rsidRPr="00651351" w:rsidRDefault="00651351" w:rsidP="002508B1">
      <w:pPr>
        <w:pStyle w:val="a3"/>
        <w:jc w:val="center"/>
        <w:rPr>
          <w:color w:val="FFFFFF"/>
          <w:sz w:val="2"/>
          <w:szCs w:val="2"/>
          <w:rtl/>
        </w:rPr>
      </w:pPr>
      <w:r w:rsidRPr="00651351">
        <w:rPr>
          <w:color w:val="FFFFFF"/>
          <w:sz w:val="2"/>
          <w:szCs w:val="2"/>
          <w:rtl/>
        </w:rPr>
        <w:t>5129371</w:t>
      </w:r>
    </w:p>
    <w:p w14:paraId="4586DC07" w14:textId="77777777" w:rsidR="00483631" w:rsidRPr="00651351" w:rsidRDefault="00651351" w:rsidP="00DC32C9">
      <w:pPr>
        <w:keepNext/>
        <w:rPr>
          <w:rFonts w:ascii="David" w:hAnsi="David"/>
          <w:color w:val="FFFFFF"/>
          <w:sz w:val="2"/>
          <w:szCs w:val="2"/>
          <w:rtl/>
        </w:rPr>
      </w:pPr>
      <w:r w:rsidRPr="00651351">
        <w:rPr>
          <w:rFonts w:ascii="David" w:hAnsi="David"/>
          <w:color w:val="FFFFFF"/>
          <w:sz w:val="2"/>
          <w:szCs w:val="2"/>
          <w:rtl/>
        </w:rPr>
        <w:t>54678313</w:t>
      </w:r>
    </w:p>
    <w:p w14:paraId="61B3E3FD" w14:textId="77777777" w:rsidR="00DC32C9" w:rsidRDefault="00DC32C9" w:rsidP="00DC32C9">
      <w:pPr>
        <w:rPr>
          <w:rtl/>
        </w:rPr>
      </w:pPr>
    </w:p>
    <w:p w14:paraId="4D3E4CE2" w14:textId="77777777" w:rsidR="00DC32C9" w:rsidRDefault="00DC32C9" w:rsidP="00DC32C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A184A1F" w14:textId="77777777" w:rsidR="00651351" w:rsidRPr="00651351" w:rsidRDefault="00651351" w:rsidP="00651351">
      <w:pPr>
        <w:keepNext/>
        <w:rPr>
          <w:rFonts w:ascii="David" w:hAnsi="David"/>
          <w:color w:val="000000"/>
          <w:sz w:val="22"/>
          <w:szCs w:val="22"/>
          <w:rtl/>
        </w:rPr>
      </w:pPr>
    </w:p>
    <w:p w14:paraId="40E0872A" w14:textId="77777777" w:rsidR="00651351" w:rsidRPr="00651351" w:rsidRDefault="00651351" w:rsidP="00651351">
      <w:pPr>
        <w:keepNext/>
        <w:rPr>
          <w:rFonts w:ascii="David" w:hAnsi="David"/>
          <w:color w:val="000000"/>
          <w:sz w:val="22"/>
          <w:szCs w:val="22"/>
          <w:rtl/>
        </w:rPr>
      </w:pPr>
      <w:r w:rsidRPr="00651351">
        <w:rPr>
          <w:rFonts w:ascii="David" w:hAnsi="David"/>
          <w:color w:val="000000"/>
          <w:sz w:val="22"/>
          <w:szCs w:val="22"/>
          <w:rtl/>
        </w:rPr>
        <w:t>אבי לוי 54678313-/</w:t>
      </w:r>
    </w:p>
    <w:p w14:paraId="00AE326C" w14:textId="77777777" w:rsidR="00DC32C9" w:rsidRPr="00DC32C9" w:rsidRDefault="00651351" w:rsidP="00651351">
      <w:pPr>
        <w:rPr>
          <w:color w:val="0000FF"/>
          <w:u w:val="single"/>
        </w:rPr>
      </w:pPr>
      <w:r w:rsidRPr="00651351">
        <w:rPr>
          <w:color w:val="000000"/>
          <w:u w:val="single"/>
          <w:rtl/>
        </w:rPr>
        <w:t>נוסח מסמך זה כפוף לשינויי ניסוח ועריכה</w:t>
      </w:r>
    </w:p>
    <w:sectPr w:rsidR="00DC32C9" w:rsidRPr="00DC32C9" w:rsidSect="00651351">
      <w:headerReference w:type="even" r:id="rId41"/>
      <w:headerReference w:type="default" r:id="rId42"/>
      <w:footerReference w:type="even" r:id="rId43"/>
      <w:footerReference w:type="default" r:id="rId4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63EA7" w14:textId="77777777" w:rsidR="003A7D0B" w:rsidRDefault="003A7D0B" w:rsidP="00642262">
      <w:r>
        <w:separator/>
      </w:r>
    </w:p>
  </w:endnote>
  <w:endnote w:type="continuationSeparator" w:id="0">
    <w:p w14:paraId="28C7C059" w14:textId="77777777" w:rsidR="003A7D0B" w:rsidRDefault="003A7D0B" w:rsidP="00642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EF85D" w14:textId="77777777" w:rsidR="00651351" w:rsidRDefault="00651351" w:rsidP="006513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7AE2BF" w14:textId="77777777" w:rsidR="003B34C5" w:rsidRPr="00651351" w:rsidRDefault="00651351" w:rsidP="00651351">
    <w:pPr>
      <w:pStyle w:val="a5"/>
      <w:pBdr>
        <w:top w:val="single" w:sz="4" w:space="1" w:color="auto"/>
        <w:between w:val="single" w:sz="4" w:space="0" w:color="auto"/>
      </w:pBdr>
      <w:spacing w:after="60"/>
      <w:jc w:val="center"/>
      <w:rPr>
        <w:rFonts w:ascii="FrankRuehl" w:hAnsi="FrankRuehl" w:cs="FrankRuehl"/>
        <w:color w:val="000000"/>
      </w:rPr>
    </w:pPr>
    <w:r w:rsidRPr="006513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307DD" w14:textId="77777777" w:rsidR="00651351" w:rsidRDefault="00651351" w:rsidP="006513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33BA">
      <w:rPr>
        <w:rFonts w:ascii="FrankRuehl" w:hAnsi="FrankRuehl" w:cs="FrankRuehl"/>
        <w:noProof/>
        <w:rtl/>
      </w:rPr>
      <w:t>1</w:t>
    </w:r>
    <w:r>
      <w:rPr>
        <w:rFonts w:ascii="FrankRuehl" w:hAnsi="FrankRuehl" w:cs="FrankRuehl"/>
        <w:rtl/>
      </w:rPr>
      <w:fldChar w:fldCharType="end"/>
    </w:r>
  </w:p>
  <w:p w14:paraId="663156C4" w14:textId="77777777" w:rsidR="003B34C5" w:rsidRPr="00651351" w:rsidRDefault="00651351" w:rsidP="00651351">
    <w:pPr>
      <w:pStyle w:val="a5"/>
      <w:pBdr>
        <w:top w:val="single" w:sz="4" w:space="1" w:color="auto"/>
        <w:between w:val="single" w:sz="4" w:space="0" w:color="auto"/>
      </w:pBdr>
      <w:spacing w:after="60"/>
      <w:jc w:val="center"/>
      <w:rPr>
        <w:rFonts w:ascii="FrankRuehl" w:hAnsi="FrankRuehl" w:cs="FrankRuehl"/>
        <w:color w:val="000000"/>
      </w:rPr>
    </w:pPr>
    <w:r w:rsidRPr="00651351">
      <w:rPr>
        <w:rFonts w:ascii="FrankRuehl" w:hAnsi="FrankRuehl" w:cs="FrankRuehl"/>
        <w:color w:val="000000"/>
      </w:rPr>
      <w:pict w14:anchorId="767C5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8981E" w14:textId="77777777" w:rsidR="003A7D0B" w:rsidRDefault="003A7D0B" w:rsidP="00642262">
      <w:r>
        <w:separator/>
      </w:r>
    </w:p>
  </w:footnote>
  <w:footnote w:type="continuationSeparator" w:id="0">
    <w:p w14:paraId="7AB582C2" w14:textId="77777777" w:rsidR="003A7D0B" w:rsidRDefault="003A7D0B" w:rsidP="00642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8F42" w14:textId="77777777" w:rsidR="00DC32C9" w:rsidRPr="00651351" w:rsidRDefault="00651351" w:rsidP="006513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54568-08-24</w:t>
    </w:r>
    <w:r>
      <w:rPr>
        <w:rFonts w:ascii="David" w:hAnsi="David"/>
        <w:color w:val="000000"/>
        <w:sz w:val="22"/>
        <w:szCs w:val="22"/>
        <w:rtl/>
      </w:rPr>
      <w:tab/>
      <w:t xml:space="preserve"> מדינת ישראל נ' נדאל עזאם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FA9A" w14:textId="77777777" w:rsidR="00DC32C9" w:rsidRPr="00651351" w:rsidRDefault="00651351" w:rsidP="006513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54568-08-24</w:t>
    </w:r>
    <w:r>
      <w:rPr>
        <w:rFonts w:ascii="David" w:hAnsi="David"/>
        <w:color w:val="000000"/>
        <w:sz w:val="22"/>
        <w:szCs w:val="22"/>
        <w:rtl/>
      </w:rPr>
      <w:tab/>
      <w:t xml:space="preserve"> מדינת ישראל נ' נדאל עזאם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75F0"/>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21424588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08B1"/>
    <w:rsid w:val="002508B1"/>
    <w:rsid w:val="00377493"/>
    <w:rsid w:val="003A0E12"/>
    <w:rsid w:val="003A7D0B"/>
    <w:rsid w:val="003B34C5"/>
    <w:rsid w:val="00437F78"/>
    <w:rsid w:val="00483631"/>
    <w:rsid w:val="00642262"/>
    <w:rsid w:val="00651351"/>
    <w:rsid w:val="00B92735"/>
    <w:rsid w:val="00CB74DB"/>
    <w:rsid w:val="00D533BA"/>
    <w:rsid w:val="00DC3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C32118"/>
  <w15:chartTrackingRefBased/>
  <w15:docId w15:val="{49E33E75-191F-434C-B514-842EC3B0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08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08B1"/>
    <w:pPr>
      <w:tabs>
        <w:tab w:val="center" w:pos="4153"/>
        <w:tab w:val="right" w:pos="8306"/>
      </w:tabs>
    </w:pPr>
  </w:style>
  <w:style w:type="character" w:customStyle="1" w:styleId="a4">
    <w:name w:val="כותרת עליונה תו"/>
    <w:link w:val="a3"/>
    <w:rsid w:val="002508B1"/>
    <w:rPr>
      <w:rFonts w:ascii="Times New Roman" w:eastAsia="Times New Roman" w:hAnsi="Times New Roman" w:cs="David"/>
      <w:sz w:val="24"/>
      <w:szCs w:val="24"/>
    </w:rPr>
  </w:style>
  <w:style w:type="paragraph" w:styleId="a5">
    <w:name w:val="footer"/>
    <w:basedOn w:val="a"/>
    <w:link w:val="a6"/>
    <w:rsid w:val="002508B1"/>
    <w:pPr>
      <w:tabs>
        <w:tab w:val="center" w:pos="4153"/>
        <w:tab w:val="right" w:pos="8306"/>
      </w:tabs>
    </w:pPr>
  </w:style>
  <w:style w:type="character" w:customStyle="1" w:styleId="a6">
    <w:name w:val="כותרת תחתונה תו"/>
    <w:link w:val="a5"/>
    <w:rsid w:val="002508B1"/>
    <w:rPr>
      <w:rFonts w:ascii="Times New Roman" w:eastAsia="Times New Roman" w:hAnsi="Times New Roman" w:cs="David"/>
      <w:sz w:val="24"/>
      <w:szCs w:val="24"/>
    </w:rPr>
  </w:style>
  <w:style w:type="table" w:styleId="a7">
    <w:name w:val="Table Grid"/>
    <w:basedOn w:val="a1"/>
    <w:rsid w:val="002508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08B1"/>
  </w:style>
  <w:style w:type="character" w:styleId="Hyperlink">
    <w:name w:val="Hyperlink"/>
    <w:rsid w:val="00DC32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771409"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576587" TargetMode="External"/><Relationship Id="rId34" Type="http://schemas.openxmlformats.org/officeDocument/2006/relationships/hyperlink" Target="http://www.nevo.co.il/case/27502726"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303150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905927" TargetMode="External"/><Relationship Id="rId32" Type="http://schemas.openxmlformats.org/officeDocument/2006/relationships/hyperlink" Target="http://www.nevo.co.il/case/25890687" TargetMode="External"/><Relationship Id="rId37" Type="http://schemas.openxmlformats.org/officeDocument/2006/relationships/hyperlink" Target="http://www.nevo.co.il/law/70301/40g"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c" TargetMode="External"/><Relationship Id="rId23" Type="http://schemas.openxmlformats.org/officeDocument/2006/relationships/hyperlink" Target="http://www.nevo.co.il/law/70301/40jc.c" TargetMode="External"/><Relationship Id="rId28" Type="http://schemas.openxmlformats.org/officeDocument/2006/relationships/hyperlink" Target="http://www.nevo.co.il/case/28697227"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144" TargetMode="External"/><Relationship Id="rId19" Type="http://schemas.openxmlformats.org/officeDocument/2006/relationships/hyperlink" Target="http://www.nevo.co.il/case/28384637" TargetMode="External"/><Relationship Id="rId31" Type="http://schemas.openxmlformats.org/officeDocument/2006/relationships/hyperlink" Target="http://www.nevo.co.il/case/2840004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case/22690203" TargetMode="External"/><Relationship Id="rId30" Type="http://schemas.openxmlformats.org/officeDocument/2006/relationships/hyperlink" Target="http://www.nevo.co.il/case/29867910" TargetMode="External"/><Relationship Id="rId35" Type="http://schemas.openxmlformats.org/officeDocument/2006/relationships/hyperlink" Target="http://www.nevo.co.il/law/70301/40i" TargetMode="External"/><Relationship Id="rId43" Type="http://schemas.openxmlformats.org/officeDocument/2006/relationships/footer" Target="footer1.xml"/><Relationship Id="rId8" Type="http://schemas.openxmlformats.org/officeDocument/2006/relationships/hyperlink" Target="http://www.nevo.co.il/law/70301/40g"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531134" TargetMode="External"/><Relationship Id="rId38" Type="http://schemas.openxmlformats.org/officeDocument/2006/relationships/hyperlink" Target="http://www.nevo.co.il/law/70301/144" TargetMode="External"/><Relationship Id="rId46" Type="http://schemas.openxmlformats.org/officeDocument/2006/relationships/theme" Target="theme/theme1.xml"/><Relationship Id="rId20" Type="http://schemas.openxmlformats.org/officeDocument/2006/relationships/hyperlink" Target="http://www.nevo.co.il/case/1309372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1944</Words>
  <Characters>9721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11642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6619233</vt:i4>
      </vt:variant>
      <vt:variant>
        <vt:i4>90</vt:i4>
      </vt:variant>
      <vt:variant>
        <vt:i4>0</vt:i4>
      </vt:variant>
      <vt:variant>
        <vt:i4>5</vt:i4>
      </vt:variant>
      <vt:variant>
        <vt:lpwstr>http://www.nevo.co.il/law/70301/40g</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3604596</vt:i4>
      </vt:variant>
      <vt:variant>
        <vt:i4>81</vt:i4>
      </vt:variant>
      <vt:variant>
        <vt:i4>0</vt:i4>
      </vt:variant>
      <vt:variant>
        <vt:i4>5</vt:i4>
      </vt:variant>
      <vt:variant>
        <vt:lpwstr>http://www.nevo.co.il/case/27502726</vt:lpwstr>
      </vt:variant>
      <vt:variant>
        <vt:lpwstr/>
      </vt:variant>
      <vt:variant>
        <vt:i4>3473526</vt:i4>
      </vt:variant>
      <vt:variant>
        <vt:i4>78</vt:i4>
      </vt:variant>
      <vt:variant>
        <vt:i4>0</vt:i4>
      </vt:variant>
      <vt:variant>
        <vt:i4>5</vt:i4>
      </vt:variant>
      <vt:variant>
        <vt:lpwstr>http://www.nevo.co.il/case/20531134</vt:lpwstr>
      </vt:variant>
      <vt:variant>
        <vt:lpwstr/>
      </vt:variant>
      <vt:variant>
        <vt:i4>3276926</vt:i4>
      </vt:variant>
      <vt:variant>
        <vt:i4>75</vt:i4>
      </vt:variant>
      <vt:variant>
        <vt:i4>0</vt:i4>
      </vt:variant>
      <vt:variant>
        <vt:i4>5</vt:i4>
      </vt:variant>
      <vt:variant>
        <vt:lpwstr>http://www.nevo.co.il/case/25890687</vt:lpwstr>
      </vt:variant>
      <vt:variant>
        <vt:lpwstr/>
      </vt:variant>
      <vt:variant>
        <vt:i4>3276924</vt:i4>
      </vt:variant>
      <vt:variant>
        <vt:i4>72</vt:i4>
      </vt:variant>
      <vt:variant>
        <vt:i4>0</vt:i4>
      </vt:variant>
      <vt:variant>
        <vt:i4>5</vt:i4>
      </vt:variant>
      <vt:variant>
        <vt:lpwstr>http://www.nevo.co.il/case/28400048</vt:lpwstr>
      </vt:variant>
      <vt:variant>
        <vt:lpwstr/>
      </vt:variant>
      <vt:variant>
        <vt:i4>3932274</vt:i4>
      </vt:variant>
      <vt:variant>
        <vt:i4>69</vt:i4>
      </vt:variant>
      <vt:variant>
        <vt:i4>0</vt:i4>
      </vt:variant>
      <vt:variant>
        <vt:i4>5</vt:i4>
      </vt:variant>
      <vt:variant>
        <vt:lpwstr>http://www.nevo.co.il/case/29867910</vt:lpwstr>
      </vt:variant>
      <vt:variant>
        <vt:lpwstr/>
      </vt:variant>
      <vt:variant>
        <vt:i4>3342453</vt:i4>
      </vt:variant>
      <vt:variant>
        <vt:i4>66</vt:i4>
      </vt:variant>
      <vt:variant>
        <vt:i4>0</vt:i4>
      </vt:variant>
      <vt:variant>
        <vt:i4>5</vt:i4>
      </vt:variant>
      <vt:variant>
        <vt:lpwstr>http://www.nevo.co.il/case/30315066</vt:lpwstr>
      </vt:variant>
      <vt:variant>
        <vt:lpwstr/>
      </vt:variant>
      <vt:variant>
        <vt:i4>3211383</vt:i4>
      </vt:variant>
      <vt:variant>
        <vt:i4>63</vt:i4>
      </vt:variant>
      <vt:variant>
        <vt:i4>0</vt:i4>
      </vt:variant>
      <vt:variant>
        <vt:i4>5</vt:i4>
      </vt:variant>
      <vt:variant>
        <vt:lpwstr>http://www.nevo.co.il/case/28697227</vt:lpwstr>
      </vt:variant>
      <vt:variant>
        <vt:lpwstr/>
      </vt:variant>
      <vt:variant>
        <vt:i4>3407997</vt:i4>
      </vt:variant>
      <vt:variant>
        <vt:i4>60</vt:i4>
      </vt:variant>
      <vt:variant>
        <vt:i4>0</vt:i4>
      </vt:variant>
      <vt:variant>
        <vt:i4>5</vt:i4>
      </vt:variant>
      <vt:variant>
        <vt:lpwstr>http://www.nevo.co.il/case/22690203</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3932283</vt:i4>
      </vt:variant>
      <vt:variant>
        <vt:i4>51</vt:i4>
      </vt:variant>
      <vt:variant>
        <vt:i4>0</vt:i4>
      </vt:variant>
      <vt:variant>
        <vt:i4>5</vt:i4>
      </vt:variant>
      <vt:variant>
        <vt:lpwstr>http://www.nevo.co.il/case/26905927</vt:lpwstr>
      </vt:variant>
      <vt:variant>
        <vt:lpwstr/>
      </vt:variant>
      <vt:variant>
        <vt:i4>6619173</vt:i4>
      </vt:variant>
      <vt:variant>
        <vt:i4>48</vt:i4>
      </vt:variant>
      <vt:variant>
        <vt:i4>0</vt:i4>
      </vt:variant>
      <vt:variant>
        <vt:i4>5</vt:i4>
      </vt:variant>
      <vt:variant>
        <vt:lpwstr>http://www.nevo.co.il/law/70301/40jc.c</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3145855</vt:i4>
      </vt:variant>
      <vt:variant>
        <vt:i4>42</vt:i4>
      </vt:variant>
      <vt:variant>
        <vt:i4>0</vt:i4>
      </vt:variant>
      <vt:variant>
        <vt:i4>5</vt:i4>
      </vt:variant>
      <vt:variant>
        <vt:lpwstr>http://www.nevo.co.il/case/5576587</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3539058</vt:i4>
      </vt:variant>
      <vt:variant>
        <vt:i4>36</vt:i4>
      </vt:variant>
      <vt:variant>
        <vt:i4>0</vt:i4>
      </vt:variant>
      <vt:variant>
        <vt:i4>5</vt:i4>
      </vt:variant>
      <vt:variant>
        <vt:lpwstr>http://www.nevo.co.il/case/28384637</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6619173</vt:i4>
      </vt:variant>
      <vt:variant>
        <vt:i4>24</vt:i4>
      </vt:variant>
      <vt:variant>
        <vt:i4>0</vt:i4>
      </vt:variant>
      <vt:variant>
        <vt:i4>5</vt:i4>
      </vt:variant>
      <vt:variant>
        <vt:lpwstr>http://www.nevo.co.il/law/70301/40jc.c</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http://www.nevo.co.il/law/70301/40g</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54568</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נדאל עזאם</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20250408</vt:lpwstr>
  </property>
  <property fmtid="{D5CDD505-2E9C-101B-9397-08002B2CF9AE}" pid="13" name="TYPE_N_DATE">
    <vt:lpwstr>39020250408</vt:lpwstr>
  </property>
  <property fmtid="{D5CDD505-2E9C-101B-9397-08002B2CF9AE}" pid="14" name="CASESLISTTMP1">
    <vt:lpwstr>28384637;13093721;5576587;26905927;21771409;22690203;28697227;30315066;29867910;28400048;25890687;20531134;27502726</vt:lpwstr>
  </property>
  <property fmtid="{D5CDD505-2E9C-101B-9397-08002B2CF9AE}" pid="15" name="CASENOTES1">
    <vt:lpwstr>ProcID=133;209&amp;PartA=5062&amp;PartC=22</vt:lpwstr>
  </property>
  <property fmtid="{D5CDD505-2E9C-101B-9397-08002B2CF9AE}" pid="16" name="WORDNUMPAGES">
    <vt:lpwstr>6</vt:lpwstr>
  </property>
  <property fmtid="{D5CDD505-2E9C-101B-9397-08002B2CF9AE}" pid="17" name="TYPE_ABS_DATE">
    <vt:lpwstr>390020250408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70301/144.a;144.b;40jc.a;40jc.c;040i;40ja;040g;144</vt:lpwstr>
  </property>
</Properties>
</file>