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7A0DE4" w:rsidRPr="005D7318" w14:paraId="1ED2E2B2" w14:textId="77777777" w:rsidTr="00DD3636">
        <w:trPr>
          <w:trHeight w:hRule="exact" w:val="418"/>
          <w:jc w:val="center"/>
        </w:trPr>
        <w:tc>
          <w:tcPr>
            <w:tcW w:w="8861" w:type="dxa"/>
            <w:gridSpan w:val="2"/>
          </w:tcPr>
          <w:p w14:paraId="08C23E0B" w14:textId="77777777" w:rsidR="007A0DE4" w:rsidRPr="005D7318" w:rsidRDefault="007A0DE4" w:rsidP="00DD3636">
            <w:pPr>
              <w:pStyle w:val="a3"/>
              <w:jc w:val="center"/>
              <w:rPr>
                <w:rFonts w:ascii="Tahoma" w:hAnsi="Tahoma"/>
                <w:color w:val="000080"/>
                <w:sz w:val="32"/>
                <w:szCs w:val="32"/>
                <w:rtl/>
              </w:rPr>
            </w:pPr>
            <w:r w:rsidRPr="005D7318">
              <w:rPr>
                <w:rFonts w:ascii="Tahoma" w:hAnsi="Tahoma"/>
                <w:b/>
                <w:bCs/>
                <w:color w:val="000080"/>
                <w:sz w:val="32"/>
                <w:szCs w:val="32"/>
                <w:rtl/>
              </w:rPr>
              <w:t>בית המשפט המחוזי בבאר שבע</w:t>
            </w:r>
          </w:p>
        </w:tc>
      </w:tr>
      <w:tr w:rsidR="007A0DE4" w:rsidRPr="005D7318" w14:paraId="430A9C5A" w14:textId="77777777" w:rsidTr="00DD3636">
        <w:trPr>
          <w:trHeight w:val="337"/>
          <w:jc w:val="center"/>
        </w:trPr>
        <w:tc>
          <w:tcPr>
            <w:tcW w:w="5131" w:type="dxa"/>
          </w:tcPr>
          <w:p w14:paraId="1B4F9112" w14:textId="77777777" w:rsidR="007A0DE4" w:rsidRPr="005D7318" w:rsidRDefault="007A0DE4" w:rsidP="00DD3636">
            <w:pPr>
              <w:rPr>
                <w:sz w:val="26"/>
                <w:szCs w:val="26"/>
                <w:rtl/>
              </w:rPr>
            </w:pPr>
            <w:r w:rsidRPr="005D7318">
              <w:rPr>
                <w:sz w:val="26"/>
                <w:szCs w:val="26"/>
                <w:rtl/>
              </w:rPr>
              <w:t>ת"פ</w:t>
            </w:r>
            <w:r w:rsidRPr="005D7318">
              <w:rPr>
                <w:rFonts w:hint="cs"/>
                <w:sz w:val="26"/>
                <w:szCs w:val="26"/>
                <w:rtl/>
              </w:rPr>
              <w:t xml:space="preserve"> </w:t>
            </w:r>
            <w:r w:rsidRPr="005D7318">
              <w:rPr>
                <w:sz w:val="26"/>
                <w:szCs w:val="26"/>
                <w:rtl/>
              </w:rPr>
              <w:t>69734-08-24</w:t>
            </w:r>
            <w:r w:rsidRPr="005D7318">
              <w:rPr>
                <w:rFonts w:hint="cs"/>
                <w:sz w:val="26"/>
                <w:szCs w:val="26"/>
                <w:rtl/>
              </w:rPr>
              <w:t xml:space="preserve"> </w:t>
            </w:r>
            <w:r w:rsidRPr="005D7318">
              <w:rPr>
                <w:sz w:val="26"/>
                <w:szCs w:val="26"/>
                <w:rtl/>
              </w:rPr>
              <w:t>מדינת ישראל נ' אבו האני(עציר)</w:t>
            </w:r>
          </w:p>
          <w:p w14:paraId="567D212D" w14:textId="77777777" w:rsidR="007A0DE4" w:rsidRPr="005D7318" w:rsidRDefault="007A0DE4" w:rsidP="00DD3636">
            <w:pPr>
              <w:pStyle w:val="a3"/>
              <w:rPr>
                <w:rFonts w:cs="FrankRuehl"/>
                <w:sz w:val="28"/>
                <w:szCs w:val="28"/>
                <w:rtl/>
              </w:rPr>
            </w:pPr>
          </w:p>
        </w:tc>
        <w:tc>
          <w:tcPr>
            <w:tcW w:w="3730" w:type="dxa"/>
          </w:tcPr>
          <w:p w14:paraId="196E99AF" w14:textId="77777777" w:rsidR="007A0DE4" w:rsidRPr="005D7318" w:rsidRDefault="007A0DE4" w:rsidP="00DD3636">
            <w:pPr>
              <w:pStyle w:val="a3"/>
              <w:jc w:val="right"/>
              <w:rPr>
                <w:rFonts w:cs="FrankRuehl"/>
                <w:sz w:val="28"/>
                <w:szCs w:val="28"/>
                <w:rtl/>
              </w:rPr>
            </w:pPr>
          </w:p>
        </w:tc>
      </w:tr>
    </w:tbl>
    <w:p w14:paraId="091CF101" w14:textId="77777777" w:rsidR="007A0DE4" w:rsidRPr="005D7318" w:rsidRDefault="007A0DE4" w:rsidP="00A71673">
      <w:pPr>
        <w:pStyle w:val="a3"/>
      </w:pPr>
      <w:r w:rsidRPr="005D7318">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
        <w:gridCol w:w="4222"/>
        <w:gridCol w:w="3303"/>
      </w:tblGrid>
      <w:tr w:rsidR="007A0DE4" w:rsidRPr="005D7318" w14:paraId="2CE300D4" w14:textId="77777777" w:rsidTr="00A71673">
        <w:trPr>
          <w:trHeight w:val="295"/>
          <w:jc w:val="center"/>
        </w:trPr>
        <w:tc>
          <w:tcPr>
            <w:tcW w:w="1295" w:type="dxa"/>
            <w:tcBorders>
              <w:top w:val="nil"/>
              <w:left w:val="nil"/>
              <w:bottom w:val="nil"/>
              <w:right w:val="nil"/>
            </w:tcBorders>
            <w:shd w:val="clear" w:color="auto" w:fill="auto"/>
          </w:tcPr>
          <w:p w14:paraId="365671B4" w14:textId="77777777" w:rsidR="007A0DE4" w:rsidRPr="005D7318" w:rsidRDefault="007A0DE4" w:rsidP="007A0DE4">
            <w:pPr>
              <w:spacing w:line="360" w:lineRule="auto"/>
              <w:jc w:val="both"/>
              <w:rPr>
                <w:rFonts w:ascii="Arial" w:hAnsi="Arial"/>
                <w:b/>
                <w:bCs/>
                <w:sz w:val="26"/>
                <w:szCs w:val="26"/>
              </w:rPr>
            </w:pPr>
            <w:r w:rsidRPr="005D7318">
              <w:rPr>
                <w:rFonts w:ascii="Arial" w:hAnsi="Arial" w:hint="cs"/>
                <w:b/>
                <w:bCs/>
                <w:sz w:val="26"/>
                <w:szCs w:val="26"/>
                <w:rtl/>
              </w:rPr>
              <w:t>ל</w:t>
            </w:r>
            <w:r w:rsidRPr="005D7318">
              <w:rPr>
                <w:rFonts w:ascii="Arial" w:hAnsi="Arial"/>
                <w:b/>
                <w:bCs/>
                <w:sz w:val="26"/>
                <w:szCs w:val="26"/>
                <w:rtl/>
              </w:rPr>
              <w:t xml:space="preserve">פני </w:t>
            </w:r>
          </w:p>
        </w:tc>
        <w:tc>
          <w:tcPr>
            <w:tcW w:w="7525" w:type="dxa"/>
            <w:gridSpan w:val="2"/>
            <w:tcBorders>
              <w:top w:val="nil"/>
              <w:left w:val="nil"/>
              <w:bottom w:val="nil"/>
              <w:right w:val="nil"/>
            </w:tcBorders>
            <w:shd w:val="clear" w:color="auto" w:fill="auto"/>
          </w:tcPr>
          <w:p w14:paraId="2D54E507" w14:textId="77777777" w:rsidR="007A0DE4" w:rsidRPr="005D7318" w:rsidRDefault="007A0DE4" w:rsidP="007A0DE4">
            <w:pPr>
              <w:spacing w:line="360" w:lineRule="auto"/>
              <w:jc w:val="both"/>
              <w:rPr>
                <w:rFonts w:ascii="Arial" w:hAnsi="Arial"/>
                <w:sz w:val="26"/>
                <w:szCs w:val="26"/>
              </w:rPr>
            </w:pPr>
            <w:r w:rsidRPr="005D7318">
              <w:rPr>
                <w:rFonts w:ascii="Arial" w:hAnsi="Arial"/>
                <w:b/>
                <w:bCs/>
                <w:sz w:val="26"/>
                <w:szCs w:val="26"/>
                <w:rtl/>
              </w:rPr>
              <w:t>כב' ה</w:t>
            </w:r>
            <w:r w:rsidRPr="005D7318">
              <w:rPr>
                <w:rFonts w:ascii="Arial" w:hAnsi="Arial" w:hint="cs"/>
                <w:b/>
                <w:bCs/>
                <w:sz w:val="26"/>
                <w:szCs w:val="26"/>
                <w:rtl/>
              </w:rPr>
              <w:t>נשיא, השופט</w:t>
            </w:r>
            <w:r w:rsidRPr="005D7318">
              <w:rPr>
                <w:rFonts w:ascii="Arial" w:hAnsi="Arial"/>
                <w:b/>
                <w:bCs/>
                <w:sz w:val="26"/>
                <w:szCs w:val="26"/>
                <w:rtl/>
              </w:rPr>
              <w:t xml:space="preserve"> בני שגיא</w:t>
            </w:r>
          </w:p>
        </w:tc>
      </w:tr>
      <w:tr w:rsidR="007A0DE4" w:rsidRPr="005D7318" w14:paraId="5726C7C3" w14:textId="77777777" w:rsidTr="00A71673">
        <w:trPr>
          <w:trHeight w:val="355"/>
          <w:jc w:val="center"/>
        </w:trPr>
        <w:tc>
          <w:tcPr>
            <w:tcW w:w="1295" w:type="dxa"/>
            <w:tcBorders>
              <w:top w:val="nil"/>
              <w:left w:val="nil"/>
              <w:bottom w:val="nil"/>
              <w:right w:val="nil"/>
            </w:tcBorders>
            <w:shd w:val="clear" w:color="auto" w:fill="auto"/>
          </w:tcPr>
          <w:p w14:paraId="1BA3A334" w14:textId="77777777" w:rsidR="007A0DE4" w:rsidRPr="005D7318" w:rsidRDefault="007A0DE4" w:rsidP="007A0DE4">
            <w:pPr>
              <w:spacing w:line="360" w:lineRule="auto"/>
              <w:jc w:val="both"/>
              <w:rPr>
                <w:rFonts w:ascii="Arial" w:hAnsi="Arial"/>
                <w:b/>
                <w:bCs/>
                <w:sz w:val="26"/>
                <w:szCs w:val="26"/>
              </w:rPr>
            </w:pPr>
            <w:bookmarkStart w:id="0" w:name="FirstAppellant"/>
            <w:bookmarkStart w:id="1" w:name="FirstLawyer"/>
            <w:bookmarkStart w:id="2" w:name="LastJudge"/>
            <w:bookmarkEnd w:id="2"/>
            <w:r w:rsidRPr="005D7318">
              <w:rPr>
                <w:rFonts w:ascii="Arial" w:hAnsi="Arial" w:hint="cs"/>
                <w:sz w:val="26"/>
                <w:szCs w:val="26"/>
                <w:rtl/>
              </w:rPr>
              <w:t>ה</w:t>
            </w:r>
            <w:r w:rsidRPr="005D7318">
              <w:rPr>
                <w:rFonts w:ascii="Arial" w:hAnsi="Arial"/>
                <w:sz w:val="26"/>
                <w:szCs w:val="26"/>
                <w:rtl/>
              </w:rPr>
              <w:t>מאשימה</w:t>
            </w:r>
            <w:r w:rsidRPr="005D7318">
              <w:rPr>
                <w:rFonts w:ascii="Arial" w:hAnsi="Arial" w:hint="cs"/>
                <w:sz w:val="26"/>
                <w:szCs w:val="26"/>
                <w:rtl/>
              </w:rPr>
              <w:t>:</w:t>
            </w:r>
          </w:p>
        </w:tc>
        <w:tc>
          <w:tcPr>
            <w:tcW w:w="4222" w:type="dxa"/>
            <w:tcBorders>
              <w:top w:val="nil"/>
              <w:left w:val="nil"/>
              <w:bottom w:val="nil"/>
              <w:right w:val="nil"/>
            </w:tcBorders>
            <w:shd w:val="clear" w:color="auto" w:fill="auto"/>
          </w:tcPr>
          <w:p w14:paraId="6FB8C1BA" w14:textId="77777777" w:rsidR="007A0DE4" w:rsidRPr="005D7318" w:rsidRDefault="007A0DE4" w:rsidP="007A0DE4">
            <w:pPr>
              <w:spacing w:line="360" w:lineRule="auto"/>
              <w:rPr>
                <w:b/>
                <w:bCs/>
                <w:sz w:val="26"/>
                <w:szCs w:val="26"/>
                <w:rtl/>
              </w:rPr>
            </w:pPr>
            <w:r w:rsidRPr="005D7318">
              <w:rPr>
                <w:rFonts w:ascii="Arial" w:hAnsi="Arial"/>
                <w:b/>
                <w:bCs/>
                <w:sz w:val="26"/>
                <w:szCs w:val="26"/>
                <w:rtl/>
              </w:rPr>
              <w:t>מדינת ישראל</w:t>
            </w:r>
          </w:p>
          <w:p w14:paraId="1DECF37C" w14:textId="77777777" w:rsidR="007A0DE4" w:rsidRPr="005D7318" w:rsidRDefault="007A0DE4" w:rsidP="007A0DE4">
            <w:pPr>
              <w:spacing w:line="360" w:lineRule="auto"/>
              <w:rPr>
                <w:sz w:val="26"/>
                <w:szCs w:val="26"/>
                <w:rtl/>
              </w:rPr>
            </w:pPr>
            <w:r w:rsidRPr="005D7318">
              <w:rPr>
                <w:rFonts w:hint="cs"/>
                <w:sz w:val="26"/>
                <w:szCs w:val="26"/>
                <w:rtl/>
              </w:rPr>
              <w:t>ע"י ב"כ עו"ד גל אוסטריאק</w:t>
            </w:r>
          </w:p>
        </w:tc>
        <w:tc>
          <w:tcPr>
            <w:tcW w:w="3303" w:type="dxa"/>
            <w:tcBorders>
              <w:top w:val="nil"/>
              <w:left w:val="nil"/>
              <w:bottom w:val="nil"/>
              <w:right w:val="nil"/>
            </w:tcBorders>
            <w:shd w:val="clear" w:color="auto" w:fill="auto"/>
          </w:tcPr>
          <w:p w14:paraId="264599B7" w14:textId="77777777" w:rsidR="007A0DE4" w:rsidRPr="005D7318" w:rsidRDefault="007A0DE4" w:rsidP="007A0DE4">
            <w:pPr>
              <w:spacing w:line="360" w:lineRule="auto"/>
              <w:jc w:val="both"/>
              <w:rPr>
                <w:rFonts w:ascii="Arial" w:hAnsi="Arial"/>
                <w:sz w:val="26"/>
                <w:szCs w:val="26"/>
              </w:rPr>
            </w:pPr>
          </w:p>
        </w:tc>
      </w:tr>
      <w:bookmarkEnd w:id="0"/>
      <w:bookmarkEnd w:id="1"/>
      <w:tr w:rsidR="007A0DE4" w:rsidRPr="005D7318" w14:paraId="6A8FC755" w14:textId="77777777" w:rsidTr="00A71673">
        <w:trPr>
          <w:trHeight w:val="355"/>
          <w:jc w:val="center"/>
        </w:trPr>
        <w:tc>
          <w:tcPr>
            <w:tcW w:w="1295" w:type="dxa"/>
            <w:tcBorders>
              <w:top w:val="nil"/>
              <w:left w:val="nil"/>
              <w:bottom w:val="nil"/>
              <w:right w:val="nil"/>
            </w:tcBorders>
            <w:shd w:val="clear" w:color="auto" w:fill="auto"/>
          </w:tcPr>
          <w:p w14:paraId="05CA6C38" w14:textId="77777777" w:rsidR="007A0DE4" w:rsidRPr="005D7318" w:rsidRDefault="007A0DE4" w:rsidP="007A0DE4">
            <w:pPr>
              <w:spacing w:line="360" w:lineRule="auto"/>
              <w:jc w:val="both"/>
              <w:rPr>
                <w:rFonts w:ascii="Arial" w:hAnsi="Arial"/>
                <w:sz w:val="26"/>
                <w:szCs w:val="26"/>
                <w:rtl/>
              </w:rPr>
            </w:pPr>
          </w:p>
        </w:tc>
        <w:tc>
          <w:tcPr>
            <w:tcW w:w="4222" w:type="dxa"/>
            <w:tcBorders>
              <w:top w:val="nil"/>
              <w:left w:val="nil"/>
              <w:bottom w:val="nil"/>
              <w:right w:val="nil"/>
            </w:tcBorders>
            <w:shd w:val="clear" w:color="auto" w:fill="auto"/>
          </w:tcPr>
          <w:p w14:paraId="41A654CB" w14:textId="77777777" w:rsidR="007A0DE4" w:rsidRPr="005D7318" w:rsidRDefault="007A0DE4" w:rsidP="007A0DE4">
            <w:pPr>
              <w:spacing w:line="360" w:lineRule="auto"/>
              <w:rPr>
                <w:rFonts w:ascii="Arial" w:hAnsi="Arial"/>
                <w:sz w:val="26"/>
                <w:szCs w:val="26"/>
                <w:rtl/>
              </w:rPr>
            </w:pPr>
          </w:p>
        </w:tc>
        <w:tc>
          <w:tcPr>
            <w:tcW w:w="3303" w:type="dxa"/>
            <w:tcBorders>
              <w:top w:val="nil"/>
              <w:left w:val="nil"/>
              <w:bottom w:val="nil"/>
              <w:right w:val="nil"/>
            </w:tcBorders>
            <w:shd w:val="clear" w:color="auto" w:fill="auto"/>
          </w:tcPr>
          <w:p w14:paraId="250FCF48" w14:textId="77777777" w:rsidR="007A0DE4" w:rsidRPr="005D7318" w:rsidRDefault="007A0DE4" w:rsidP="007A0DE4">
            <w:pPr>
              <w:spacing w:line="360" w:lineRule="auto"/>
              <w:jc w:val="right"/>
              <w:rPr>
                <w:rFonts w:ascii="Arial" w:hAnsi="Arial"/>
                <w:sz w:val="26"/>
                <w:szCs w:val="26"/>
                <w:rtl/>
              </w:rPr>
            </w:pPr>
          </w:p>
        </w:tc>
      </w:tr>
      <w:tr w:rsidR="007A0DE4" w:rsidRPr="005D7318" w14:paraId="41D32C34" w14:textId="77777777" w:rsidTr="00A71673">
        <w:trPr>
          <w:trHeight w:val="355"/>
          <w:jc w:val="center"/>
        </w:trPr>
        <w:tc>
          <w:tcPr>
            <w:tcW w:w="1295" w:type="dxa"/>
            <w:tcBorders>
              <w:top w:val="nil"/>
              <w:left w:val="nil"/>
              <w:bottom w:val="nil"/>
              <w:right w:val="nil"/>
            </w:tcBorders>
            <w:shd w:val="clear" w:color="auto" w:fill="auto"/>
          </w:tcPr>
          <w:p w14:paraId="28DF0157" w14:textId="77777777" w:rsidR="007A0DE4" w:rsidRPr="005D7318" w:rsidRDefault="007A0DE4" w:rsidP="007A0DE4">
            <w:pPr>
              <w:spacing w:line="360" w:lineRule="auto"/>
              <w:jc w:val="both"/>
              <w:rPr>
                <w:rFonts w:ascii="Arial" w:hAnsi="Arial"/>
                <w:sz w:val="26"/>
                <w:szCs w:val="26"/>
                <w:rtl/>
              </w:rPr>
            </w:pPr>
          </w:p>
        </w:tc>
        <w:tc>
          <w:tcPr>
            <w:tcW w:w="7525" w:type="dxa"/>
            <w:gridSpan w:val="2"/>
            <w:tcBorders>
              <w:top w:val="nil"/>
              <w:left w:val="nil"/>
              <w:bottom w:val="nil"/>
              <w:right w:val="nil"/>
            </w:tcBorders>
            <w:shd w:val="clear" w:color="auto" w:fill="auto"/>
          </w:tcPr>
          <w:p w14:paraId="0E432AF2" w14:textId="77777777" w:rsidR="007A0DE4" w:rsidRPr="005D7318" w:rsidRDefault="007A0DE4" w:rsidP="007A0DE4">
            <w:pPr>
              <w:spacing w:line="360" w:lineRule="auto"/>
              <w:jc w:val="center"/>
              <w:rPr>
                <w:rFonts w:ascii="Arial" w:hAnsi="Arial"/>
                <w:b/>
                <w:bCs/>
                <w:sz w:val="26"/>
                <w:szCs w:val="26"/>
              </w:rPr>
            </w:pPr>
            <w:r w:rsidRPr="005D7318">
              <w:rPr>
                <w:rFonts w:ascii="Arial" w:hAnsi="Arial"/>
                <w:b/>
                <w:bCs/>
                <w:sz w:val="26"/>
                <w:szCs w:val="26"/>
                <w:rtl/>
              </w:rPr>
              <w:t>נגד</w:t>
            </w:r>
          </w:p>
        </w:tc>
      </w:tr>
      <w:tr w:rsidR="007A0DE4" w:rsidRPr="005D7318" w14:paraId="0BB7870D" w14:textId="77777777" w:rsidTr="00A71673">
        <w:trPr>
          <w:trHeight w:val="355"/>
          <w:jc w:val="center"/>
        </w:trPr>
        <w:tc>
          <w:tcPr>
            <w:tcW w:w="1295" w:type="dxa"/>
            <w:tcBorders>
              <w:top w:val="nil"/>
              <w:left w:val="nil"/>
              <w:bottom w:val="nil"/>
              <w:right w:val="nil"/>
            </w:tcBorders>
            <w:shd w:val="clear" w:color="auto" w:fill="auto"/>
          </w:tcPr>
          <w:p w14:paraId="5D5399C3" w14:textId="77777777" w:rsidR="007A0DE4" w:rsidRPr="005D7318" w:rsidRDefault="007A0DE4" w:rsidP="007A0DE4">
            <w:pPr>
              <w:spacing w:line="360" w:lineRule="auto"/>
              <w:rPr>
                <w:rFonts w:ascii="Arial" w:hAnsi="Arial"/>
                <w:sz w:val="26"/>
                <w:szCs w:val="26"/>
                <w:rtl/>
              </w:rPr>
            </w:pPr>
            <w:r w:rsidRPr="005D7318">
              <w:rPr>
                <w:rFonts w:ascii="Arial" w:hAnsi="Arial" w:hint="cs"/>
                <w:sz w:val="26"/>
                <w:szCs w:val="26"/>
                <w:rtl/>
              </w:rPr>
              <w:t>ה</w:t>
            </w:r>
            <w:r w:rsidRPr="005D7318">
              <w:rPr>
                <w:rFonts w:ascii="Arial" w:hAnsi="Arial"/>
                <w:sz w:val="26"/>
                <w:szCs w:val="26"/>
                <w:rtl/>
              </w:rPr>
              <w:t>נאש</w:t>
            </w:r>
            <w:r w:rsidRPr="005D7318">
              <w:rPr>
                <w:rFonts w:ascii="Arial" w:hAnsi="Arial" w:hint="cs"/>
                <w:sz w:val="26"/>
                <w:szCs w:val="26"/>
                <w:rtl/>
              </w:rPr>
              <w:t>ם:</w:t>
            </w:r>
          </w:p>
        </w:tc>
        <w:tc>
          <w:tcPr>
            <w:tcW w:w="4222" w:type="dxa"/>
            <w:tcBorders>
              <w:top w:val="nil"/>
              <w:left w:val="nil"/>
              <w:bottom w:val="nil"/>
              <w:right w:val="nil"/>
            </w:tcBorders>
            <w:shd w:val="clear" w:color="auto" w:fill="auto"/>
          </w:tcPr>
          <w:p w14:paraId="6B3EA3A1" w14:textId="77777777" w:rsidR="007A0DE4" w:rsidRPr="005D7318" w:rsidRDefault="007A0DE4" w:rsidP="007A0DE4">
            <w:pPr>
              <w:spacing w:line="360" w:lineRule="auto"/>
              <w:rPr>
                <w:b/>
                <w:bCs/>
                <w:sz w:val="26"/>
                <w:szCs w:val="26"/>
                <w:rtl/>
              </w:rPr>
            </w:pPr>
            <w:r w:rsidRPr="005D7318">
              <w:rPr>
                <w:rFonts w:ascii="Arial" w:hAnsi="Arial"/>
                <w:b/>
                <w:bCs/>
                <w:sz w:val="26"/>
                <w:szCs w:val="26"/>
                <w:rtl/>
              </w:rPr>
              <w:t>ראפת אבו האני (עציר)</w:t>
            </w:r>
          </w:p>
          <w:p w14:paraId="5D1856DD" w14:textId="77777777" w:rsidR="007A0DE4" w:rsidRPr="005D7318" w:rsidRDefault="007A0DE4" w:rsidP="007A0DE4">
            <w:pPr>
              <w:spacing w:line="360" w:lineRule="auto"/>
              <w:rPr>
                <w:sz w:val="26"/>
                <w:szCs w:val="26"/>
                <w:rtl/>
              </w:rPr>
            </w:pPr>
            <w:r w:rsidRPr="005D7318">
              <w:rPr>
                <w:rFonts w:hint="cs"/>
                <w:sz w:val="26"/>
                <w:szCs w:val="26"/>
                <w:rtl/>
              </w:rPr>
              <w:t>ע"י ב"כ עו"ד שפיק אבו האני</w:t>
            </w:r>
          </w:p>
        </w:tc>
        <w:tc>
          <w:tcPr>
            <w:tcW w:w="3303" w:type="dxa"/>
            <w:tcBorders>
              <w:top w:val="nil"/>
              <w:left w:val="nil"/>
              <w:bottom w:val="nil"/>
              <w:right w:val="nil"/>
            </w:tcBorders>
            <w:shd w:val="clear" w:color="auto" w:fill="auto"/>
          </w:tcPr>
          <w:p w14:paraId="09C95466" w14:textId="77777777" w:rsidR="007A0DE4" w:rsidRPr="005D7318" w:rsidRDefault="007A0DE4" w:rsidP="007A0DE4">
            <w:pPr>
              <w:spacing w:line="360" w:lineRule="auto"/>
              <w:jc w:val="right"/>
              <w:rPr>
                <w:rFonts w:ascii="Arial" w:hAnsi="Arial"/>
                <w:sz w:val="26"/>
                <w:szCs w:val="26"/>
              </w:rPr>
            </w:pPr>
          </w:p>
        </w:tc>
      </w:tr>
    </w:tbl>
    <w:p w14:paraId="1AC4C7D4" w14:textId="77777777" w:rsidR="005D7318" w:rsidRPr="005D7318" w:rsidRDefault="005D7318" w:rsidP="005D7318">
      <w:pPr>
        <w:spacing w:before="120" w:after="120" w:line="240" w:lineRule="exact"/>
        <w:ind w:left="283" w:hanging="283"/>
        <w:jc w:val="both"/>
        <w:rPr>
          <w:rFonts w:ascii="FrankRuehl" w:hAnsi="FrankRuehl" w:cs="FrankRuehl"/>
          <w:rtl/>
        </w:rPr>
      </w:pPr>
    </w:p>
    <w:p w14:paraId="0A32DC25" w14:textId="77777777" w:rsidR="005D7318" w:rsidRPr="005D7318" w:rsidRDefault="005D7318" w:rsidP="005D7318">
      <w:pPr>
        <w:spacing w:line="360" w:lineRule="auto"/>
        <w:rPr>
          <w:rtl/>
        </w:rPr>
      </w:pPr>
    </w:p>
    <w:p w14:paraId="5C343FE5" w14:textId="77777777" w:rsidR="00A71673" w:rsidRPr="00A71673" w:rsidRDefault="00A71673" w:rsidP="00A71673">
      <w:pPr>
        <w:spacing w:before="120" w:after="120" w:line="240" w:lineRule="exact"/>
        <w:ind w:left="283" w:hanging="283"/>
        <w:jc w:val="both"/>
        <w:rPr>
          <w:rFonts w:ascii="FrankRuehl" w:hAnsi="FrankRuehl" w:cs="FrankRuehl"/>
          <w:rtl/>
        </w:rPr>
      </w:pPr>
      <w:bookmarkStart w:id="3" w:name="LawTable"/>
      <w:bookmarkEnd w:id="3"/>
    </w:p>
    <w:p w14:paraId="5B8426D5" w14:textId="77777777" w:rsidR="00A71673" w:rsidRPr="00A71673" w:rsidRDefault="00A71673" w:rsidP="00A71673">
      <w:pPr>
        <w:spacing w:before="120" w:after="120" w:line="240" w:lineRule="exact"/>
        <w:ind w:left="283" w:hanging="283"/>
        <w:jc w:val="both"/>
        <w:rPr>
          <w:rFonts w:ascii="FrankRuehl" w:hAnsi="FrankRuehl" w:cs="FrankRuehl"/>
          <w:rtl/>
        </w:rPr>
      </w:pPr>
      <w:r w:rsidRPr="00A71673">
        <w:rPr>
          <w:rFonts w:ascii="FrankRuehl" w:hAnsi="FrankRuehl" w:cs="FrankRuehl"/>
          <w:rtl/>
        </w:rPr>
        <w:t xml:space="preserve">חקיקה שאוזכרה: </w:t>
      </w:r>
    </w:p>
    <w:p w14:paraId="77D28FC5" w14:textId="77777777" w:rsidR="00A71673" w:rsidRPr="00A71673" w:rsidRDefault="00A71673" w:rsidP="00A71673">
      <w:pPr>
        <w:spacing w:before="120" w:after="120" w:line="240" w:lineRule="exact"/>
        <w:ind w:left="283" w:hanging="283"/>
        <w:jc w:val="both"/>
        <w:rPr>
          <w:rFonts w:ascii="FrankRuehl" w:hAnsi="FrankRuehl" w:cs="FrankRuehl"/>
          <w:color w:val="0000FF"/>
          <w:rtl/>
        </w:rPr>
      </w:pPr>
      <w:hyperlink r:id="rId6" w:history="1">
        <w:r w:rsidRPr="00A71673">
          <w:rPr>
            <w:rStyle w:val="Hyperlink"/>
            <w:rFonts w:ascii="FrankRuehl" w:hAnsi="FrankRuehl" w:cs="FrankRuehl"/>
            <w:u w:val="none"/>
            <w:rtl/>
          </w:rPr>
          <w:t>חוק העונשין, תשל"ז-1977</w:t>
        </w:r>
      </w:hyperlink>
      <w:r w:rsidRPr="00A71673">
        <w:rPr>
          <w:rFonts w:ascii="FrankRuehl" w:hAnsi="FrankRuehl" w:cs="FrankRuehl"/>
          <w:color w:val="0000FF"/>
          <w:rtl/>
        </w:rPr>
        <w:t xml:space="preserve">: סע'  </w:t>
      </w:r>
      <w:hyperlink r:id="rId7" w:history="1">
        <w:r w:rsidRPr="00A71673">
          <w:rPr>
            <w:rStyle w:val="Hyperlink"/>
            <w:rFonts w:ascii="FrankRuehl" w:hAnsi="FrankRuehl" w:cs="FrankRuehl"/>
            <w:u w:val="none"/>
          </w:rPr>
          <w:t>144.</w:t>
        </w:r>
        <w:r w:rsidRPr="00A71673">
          <w:rPr>
            <w:rStyle w:val="Hyperlink"/>
            <w:rFonts w:ascii="FrankRuehl" w:hAnsi="FrankRuehl" w:cs="FrankRuehl"/>
            <w:u w:val="none"/>
            <w:rtl/>
          </w:rPr>
          <w:t>א</w:t>
        </w:r>
        <w:r w:rsidRPr="00A71673">
          <w:rPr>
            <w:rStyle w:val="Hyperlink"/>
            <w:rFonts w:ascii="FrankRuehl" w:hAnsi="FrankRuehl" w:cs="FrankRuehl"/>
            <w:u w:val="none"/>
          </w:rPr>
          <w:t>.</w:t>
        </w:r>
      </w:hyperlink>
      <w:r w:rsidRPr="00A71673">
        <w:rPr>
          <w:rFonts w:ascii="FrankRuehl" w:hAnsi="FrankRuehl" w:cs="FrankRuehl"/>
          <w:color w:val="0000FF"/>
          <w:rtl/>
        </w:rPr>
        <w:t xml:space="preserve">, </w:t>
      </w:r>
      <w:hyperlink r:id="rId8" w:history="1">
        <w:r w:rsidRPr="00A71673">
          <w:rPr>
            <w:rStyle w:val="Hyperlink"/>
            <w:rFonts w:ascii="FrankRuehl" w:hAnsi="FrankRuehl" w:cs="FrankRuehl"/>
            <w:u w:val="none"/>
          </w:rPr>
          <w:t>144</w:t>
        </w:r>
      </w:hyperlink>
      <w:r w:rsidRPr="00A71673">
        <w:rPr>
          <w:rFonts w:ascii="FrankRuehl" w:hAnsi="FrankRuehl" w:cs="FrankRuehl"/>
          <w:color w:val="0000FF"/>
          <w:rtl/>
        </w:rPr>
        <w:t xml:space="preserve">(ב), </w:t>
      </w:r>
      <w:hyperlink r:id="rId9" w:history="1">
        <w:r w:rsidRPr="00A71673">
          <w:rPr>
            <w:rStyle w:val="Hyperlink"/>
            <w:rFonts w:ascii="FrankRuehl" w:hAnsi="FrankRuehl" w:cs="FrankRuehl"/>
            <w:u w:val="none"/>
          </w:rPr>
          <w:t>413</w:t>
        </w:r>
        <w:r w:rsidRPr="00A71673">
          <w:rPr>
            <w:rStyle w:val="Hyperlink"/>
            <w:rFonts w:ascii="FrankRuehl" w:hAnsi="FrankRuehl" w:cs="FrankRuehl"/>
            <w:u w:val="none"/>
            <w:rtl/>
          </w:rPr>
          <w:t>ג</w:t>
        </w:r>
      </w:hyperlink>
    </w:p>
    <w:p w14:paraId="63E262F6" w14:textId="77777777" w:rsidR="007A0DE4" w:rsidRPr="00A71673" w:rsidRDefault="007A0DE4" w:rsidP="00A71673">
      <w:pPr>
        <w:spacing w:line="360" w:lineRule="auto"/>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A0DE4" w14:paraId="3E935498" w14:textId="77777777" w:rsidTr="007A0DE4">
        <w:trPr>
          <w:trHeight w:val="355"/>
          <w:jc w:val="center"/>
        </w:trPr>
        <w:tc>
          <w:tcPr>
            <w:tcW w:w="8820" w:type="dxa"/>
            <w:tcBorders>
              <w:top w:val="nil"/>
              <w:left w:val="nil"/>
              <w:bottom w:val="nil"/>
              <w:right w:val="nil"/>
            </w:tcBorders>
            <w:shd w:val="clear" w:color="auto" w:fill="auto"/>
          </w:tcPr>
          <w:p w14:paraId="7EFB74DE" w14:textId="77777777" w:rsidR="005D7318" w:rsidRPr="005D7318" w:rsidRDefault="005D7318" w:rsidP="005D7318">
            <w:pPr>
              <w:spacing w:line="360" w:lineRule="auto"/>
              <w:jc w:val="center"/>
              <w:rPr>
                <w:rFonts w:ascii="Arial" w:hAnsi="Arial"/>
                <w:b/>
                <w:bCs/>
                <w:sz w:val="28"/>
                <w:szCs w:val="28"/>
                <w:u w:val="single"/>
                <w:rtl/>
              </w:rPr>
            </w:pPr>
            <w:bookmarkStart w:id="5" w:name="PsakDin" w:colFirst="0" w:colLast="0"/>
            <w:r w:rsidRPr="005D7318">
              <w:rPr>
                <w:rFonts w:ascii="Arial" w:hAnsi="Arial"/>
                <w:b/>
                <w:bCs/>
                <w:sz w:val="28"/>
                <w:szCs w:val="28"/>
                <w:u w:val="single"/>
                <w:rtl/>
              </w:rPr>
              <w:t>גזר דין</w:t>
            </w:r>
          </w:p>
          <w:p w14:paraId="0FBF725F" w14:textId="77777777" w:rsidR="007A0DE4" w:rsidRPr="005D7318" w:rsidRDefault="007A0DE4" w:rsidP="005D7318">
            <w:pPr>
              <w:spacing w:line="360" w:lineRule="auto"/>
              <w:jc w:val="center"/>
              <w:rPr>
                <w:rFonts w:ascii="Arial" w:hAnsi="Arial"/>
                <w:bCs/>
                <w:sz w:val="28"/>
                <w:szCs w:val="28"/>
                <w:u w:val="single"/>
                <w:rtl/>
              </w:rPr>
            </w:pPr>
          </w:p>
        </w:tc>
      </w:tr>
      <w:bookmarkEnd w:id="5"/>
    </w:tbl>
    <w:p w14:paraId="352119E5" w14:textId="77777777" w:rsidR="007A0DE4" w:rsidRPr="00B05847" w:rsidRDefault="007A0DE4" w:rsidP="007A0DE4">
      <w:pPr>
        <w:spacing w:line="360" w:lineRule="auto"/>
        <w:rPr>
          <w:rFonts w:ascii="Arial" w:hAnsi="Arial"/>
          <w:rtl/>
        </w:rPr>
      </w:pPr>
    </w:p>
    <w:p w14:paraId="51EB3564" w14:textId="77777777" w:rsidR="007A0DE4" w:rsidRDefault="007A0DE4" w:rsidP="007A0DE4">
      <w:pPr>
        <w:spacing w:line="360" w:lineRule="auto"/>
        <w:jc w:val="both"/>
        <w:rPr>
          <w:rFonts w:ascii="David" w:hAnsi="David"/>
        </w:rPr>
      </w:pPr>
    </w:p>
    <w:p w14:paraId="476C16F1" w14:textId="77777777" w:rsidR="007A0DE4" w:rsidRDefault="007A0DE4" w:rsidP="007A0DE4">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הורשע על יסוד הודאתו במסגרת הסדר טיעון בעבירה של נשיאה והובלה של נשק, לפי </w:t>
      </w:r>
      <w:hyperlink r:id="rId10" w:history="1">
        <w:r w:rsidR="00A71673" w:rsidRPr="00A71673">
          <w:rPr>
            <w:rStyle w:val="Hyperlink"/>
            <w:rFonts w:ascii="David" w:hAnsi="David"/>
            <w:color w:val="0000FF"/>
            <w:rtl/>
          </w:rPr>
          <w:t>סעיף 144(ב)</w:t>
        </w:r>
      </w:hyperlink>
      <w:r>
        <w:rPr>
          <w:rFonts w:ascii="David" w:hAnsi="David"/>
          <w:rtl/>
        </w:rPr>
        <w:t xml:space="preserve"> רישא וסיפא ל</w:t>
      </w:r>
      <w:hyperlink r:id="rId11" w:history="1">
        <w:r w:rsidR="005D7318" w:rsidRPr="005D7318">
          <w:rPr>
            <w:rFonts w:ascii="David" w:hAnsi="David"/>
            <w:color w:val="0000FF"/>
            <w:u w:val="single"/>
            <w:rtl/>
          </w:rPr>
          <w:t>חוק העונשין</w:t>
        </w:r>
      </w:hyperlink>
      <w:r>
        <w:rPr>
          <w:rFonts w:ascii="David" w:hAnsi="David"/>
          <w:rtl/>
        </w:rPr>
        <w:t>.</w:t>
      </w:r>
    </w:p>
    <w:p w14:paraId="18B8FEAF" w14:textId="77777777" w:rsidR="007A0DE4" w:rsidRDefault="007A0DE4" w:rsidP="007A0DE4">
      <w:pPr>
        <w:spacing w:line="360" w:lineRule="auto"/>
        <w:jc w:val="both"/>
        <w:rPr>
          <w:rFonts w:ascii="David" w:hAnsi="David"/>
          <w:rtl/>
        </w:rPr>
      </w:pPr>
    </w:p>
    <w:p w14:paraId="0C0F3EF8" w14:textId="77777777" w:rsidR="007A0DE4" w:rsidRDefault="007A0DE4" w:rsidP="007A0DE4">
      <w:pPr>
        <w:spacing w:line="360" w:lineRule="auto"/>
        <w:ind w:left="720" w:hanging="720"/>
        <w:jc w:val="both"/>
        <w:rPr>
          <w:rFonts w:ascii="David" w:hAnsi="David"/>
          <w:rtl/>
        </w:rPr>
      </w:pPr>
      <w:r>
        <w:rPr>
          <w:rFonts w:ascii="David" w:hAnsi="David"/>
          <w:rtl/>
        </w:rPr>
        <w:tab/>
        <w:t>הסדר הטיעון כלל את תיקונו של כתב האישום המקורי, אך זאת מבלי שגובשה הסכמה לעניין העונש.</w:t>
      </w:r>
    </w:p>
    <w:p w14:paraId="3FEF56D5" w14:textId="77777777" w:rsidR="007A0DE4" w:rsidRDefault="007A0DE4" w:rsidP="007A0DE4">
      <w:pPr>
        <w:spacing w:line="360" w:lineRule="auto"/>
        <w:jc w:val="both"/>
        <w:rPr>
          <w:rFonts w:ascii="David" w:hAnsi="David"/>
          <w:rtl/>
          <w:lang w:val=""/>
        </w:rPr>
      </w:pPr>
      <w:bookmarkStart w:id="7" w:name="ABSTRACT_END"/>
      <w:bookmarkEnd w:id="7"/>
    </w:p>
    <w:p w14:paraId="5BE2FFB2" w14:textId="77777777" w:rsidR="007A0DE4" w:rsidRDefault="007A0DE4" w:rsidP="007A0DE4">
      <w:pPr>
        <w:spacing w:line="360" w:lineRule="auto"/>
        <w:ind w:left="720" w:hanging="720"/>
        <w:jc w:val="both"/>
        <w:rPr>
          <w:rFonts w:ascii="David" w:hAnsi="David"/>
          <w:rtl/>
        </w:rPr>
      </w:pPr>
      <w:r>
        <w:rPr>
          <w:rFonts w:ascii="David" w:hAnsi="David"/>
          <w:rtl/>
        </w:rPr>
        <w:t>2.</w:t>
      </w:r>
      <w:r>
        <w:rPr>
          <w:rFonts w:ascii="David" w:hAnsi="David"/>
          <w:rtl/>
        </w:rPr>
        <w:tab/>
        <w:t xml:space="preserve">על פי עובדות כתב האישום המתוקן, ביום 17.8.24 בשעה 21:53 או בסמוך לכך, בשכונה 7 ברהט בסמוך לביתו, נשא הנאשם אקדח חצי אוטומטי </w:t>
      </w:r>
      <w:r>
        <w:rPr>
          <w:rFonts w:ascii="David" w:hAnsi="David"/>
        </w:rPr>
        <w:t>D.D.G</w:t>
      </w:r>
      <w:r>
        <w:rPr>
          <w:rFonts w:ascii="David" w:hAnsi="David"/>
          <w:rtl/>
        </w:rPr>
        <w:t xml:space="preserve"> מודל 19, קליבר 9 מ״מ פאראבלום, ואקדח חצי אוטומטי </w:t>
      </w:r>
      <w:r>
        <w:rPr>
          <w:rFonts w:ascii="David" w:hAnsi="David"/>
        </w:rPr>
        <w:t>Glock</w:t>
      </w:r>
      <w:r>
        <w:rPr>
          <w:rFonts w:ascii="David" w:hAnsi="David"/>
          <w:rtl/>
        </w:rPr>
        <w:t xml:space="preserve">, תוצרת ארצות הברית, מודל 4 </w:t>
      </w:r>
      <w:r>
        <w:rPr>
          <w:rFonts w:ascii="David" w:hAnsi="David"/>
        </w:rPr>
        <w:t>Gen</w:t>
      </w:r>
      <w:r>
        <w:rPr>
          <w:rFonts w:ascii="David" w:hAnsi="David"/>
          <w:rtl/>
        </w:rPr>
        <w:t xml:space="preserve"> 19, קליבר 9 מ״מ פאראבלום. בנוסף, נשא הנאשם תחמושת - מחסנית ארוכה ובה כדורים וכן שתי מחסניות נוספות, אחת ריקה והשנייה עם כדורים. </w:t>
      </w:r>
    </w:p>
    <w:p w14:paraId="2E783318" w14:textId="77777777" w:rsidR="007A0DE4" w:rsidRDefault="007A0DE4" w:rsidP="007A0DE4">
      <w:pPr>
        <w:spacing w:line="360" w:lineRule="auto"/>
        <w:ind w:left="720" w:hanging="720"/>
        <w:jc w:val="both"/>
        <w:rPr>
          <w:rFonts w:ascii="David" w:hAnsi="David"/>
          <w:rtl/>
        </w:rPr>
      </w:pPr>
    </w:p>
    <w:p w14:paraId="544CFAFB" w14:textId="77777777" w:rsidR="007A0DE4" w:rsidRDefault="007A0DE4" w:rsidP="007A0DE4">
      <w:pPr>
        <w:spacing w:line="360" w:lineRule="auto"/>
        <w:ind w:left="720" w:hanging="720"/>
        <w:jc w:val="both"/>
        <w:rPr>
          <w:rFonts w:ascii="David" w:hAnsi="David"/>
          <w:rtl/>
        </w:rPr>
      </w:pPr>
      <w:r>
        <w:rPr>
          <w:rFonts w:ascii="David" w:hAnsi="David"/>
          <w:rtl/>
        </w:rPr>
        <w:tab/>
        <w:t>שוטרים שהגיעו למקום למשמע קולות ירי באזור, הבחינו בנאשם כשהוא רעול פנים ואוחז לעברם באקדח ובו מחסנית. השוטרים הורו לנאשם לעצור ולהשליך את הנשק. הנאשם בתגובה השליך את האקדח לארץ ונאזק על ידי השוטרים, אשר תפסו על גופו את האקדחים והתחמושת.</w:t>
      </w:r>
    </w:p>
    <w:p w14:paraId="2845522A" w14:textId="77777777" w:rsidR="007A0DE4" w:rsidRDefault="007A0DE4" w:rsidP="007A0DE4">
      <w:pPr>
        <w:spacing w:line="360" w:lineRule="auto"/>
        <w:jc w:val="both"/>
        <w:rPr>
          <w:rFonts w:ascii="David" w:hAnsi="David"/>
          <w:rtl/>
        </w:rPr>
      </w:pPr>
    </w:p>
    <w:p w14:paraId="066DED14" w14:textId="77777777" w:rsidR="007A0DE4" w:rsidRDefault="007A0DE4" w:rsidP="007A0DE4">
      <w:pPr>
        <w:spacing w:line="360" w:lineRule="auto"/>
        <w:jc w:val="both"/>
        <w:rPr>
          <w:rFonts w:ascii="David" w:hAnsi="David"/>
          <w:rtl/>
          <w:lang w:val=""/>
        </w:rPr>
      </w:pPr>
      <w:r>
        <w:rPr>
          <w:rFonts w:ascii="David" w:hAnsi="David"/>
          <w:rtl/>
        </w:rPr>
        <w:tab/>
      </w:r>
      <w:r>
        <w:rPr>
          <w:rFonts w:ascii="David" w:hAnsi="David"/>
          <w:u w:val="single"/>
          <w:rtl/>
        </w:rPr>
        <w:t>תסקיר שירות המבחן</w:t>
      </w:r>
    </w:p>
    <w:p w14:paraId="422CC73F" w14:textId="77777777" w:rsidR="007A0DE4" w:rsidRDefault="007A0DE4" w:rsidP="007A0DE4">
      <w:pPr>
        <w:spacing w:line="360" w:lineRule="auto"/>
        <w:jc w:val="both"/>
        <w:rPr>
          <w:rFonts w:ascii="David" w:hAnsi="David"/>
          <w:rtl/>
        </w:rPr>
      </w:pPr>
    </w:p>
    <w:p w14:paraId="4AE49174" w14:textId="77777777" w:rsidR="007A0DE4" w:rsidRDefault="007A0DE4" w:rsidP="007A0DE4">
      <w:pPr>
        <w:spacing w:line="360" w:lineRule="auto"/>
        <w:jc w:val="both"/>
        <w:rPr>
          <w:rFonts w:ascii="David" w:hAnsi="David"/>
          <w:rtl/>
        </w:rPr>
      </w:pPr>
      <w:r>
        <w:rPr>
          <w:rFonts w:ascii="David" w:hAnsi="David"/>
          <w:rtl/>
        </w:rPr>
        <w:lastRenderedPageBreak/>
        <w:t>3.</w:t>
      </w:r>
      <w:r>
        <w:rPr>
          <w:rFonts w:ascii="David" w:hAnsi="David"/>
          <w:rtl/>
        </w:rPr>
        <w:tab/>
        <w:t>בעניינו של הנאשם נערך תסקיר שירות מבחן, ממנו עלו הפרטים הבאים:</w:t>
      </w:r>
    </w:p>
    <w:p w14:paraId="3DACF99D" w14:textId="77777777" w:rsidR="007A0DE4" w:rsidRDefault="007A0DE4" w:rsidP="007A0DE4">
      <w:pPr>
        <w:spacing w:line="360" w:lineRule="auto"/>
        <w:jc w:val="both"/>
        <w:rPr>
          <w:rFonts w:ascii="David" w:hAnsi="David"/>
          <w:rtl/>
        </w:rPr>
      </w:pPr>
    </w:p>
    <w:p w14:paraId="2FF0DA25" w14:textId="77777777" w:rsidR="007A0DE4" w:rsidRDefault="007A0DE4" w:rsidP="007A0DE4">
      <w:pPr>
        <w:spacing w:line="360" w:lineRule="auto"/>
        <w:ind w:left="720" w:hanging="720"/>
        <w:jc w:val="both"/>
        <w:rPr>
          <w:rFonts w:ascii="David" w:hAnsi="David"/>
          <w:rtl/>
        </w:rPr>
      </w:pPr>
      <w:r>
        <w:rPr>
          <w:rFonts w:ascii="David" w:hAnsi="David"/>
          <w:rtl/>
        </w:rPr>
        <w:tab/>
        <w:t>הנאשם, בן 33, נשוי ואב לשלושה ילדים קטינים. טרם מעצרו התגורר עם משפחתו ברהט ועבד במפעל מתכות. לנאשם 12 שנות לימוד, למד ברהט בתיכון עיוני עד לכיתה י׳, ולאור קשיי למידה עבר בכיתה י״א לתיכון המשלב לימודים ורכישת מקצוע. לנאשם תעודת מקצוע כמכונאי רכב, ומגיל 17 עובד בתחום זה. הנאשם ציין כי הצליח לשמור על רצף תעסוקתי למעט תקופה בת חצי שנה בשנת 2014 בה לא עבד בשל בפציעה בידו, וכן תקופה בת חצי שנה בשנת 2016 בה לא עבד עקב תאונת דרכים שעבר. הנאשם הינו הבן השביעי מבין 11 ילדים בטווח הגילים 43-24. אימו אינו עובדת, אביו עבד לאורך השנים כנהג משאית אך ב-14 השנים האחרונות אינו עובד מטעמי בריאות, ואחד מאחיו נכה צה״ל.</w:t>
      </w:r>
    </w:p>
    <w:p w14:paraId="45ED9CAD" w14:textId="77777777" w:rsidR="007A0DE4" w:rsidRDefault="007A0DE4" w:rsidP="007A0DE4">
      <w:pPr>
        <w:spacing w:line="360" w:lineRule="auto"/>
        <w:ind w:left="720" w:hanging="720"/>
        <w:jc w:val="both"/>
        <w:rPr>
          <w:rFonts w:ascii="David" w:hAnsi="David"/>
          <w:rtl/>
        </w:rPr>
      </w:pPr>
    </w:p>
    <w:p w14:paraId="47A06D84" w14:textId="77777777" w:rsidR="007A0DE4" w:rsidRDefault="007A0DE4" w:rsidP="007A0DE4">
      <w:pPr>
        <w:spacing w:line="360" w:lineRule="auto"/>
        <w:ind w:left="720" w:hanging="720"/>
        <w:jc w:val="both"/>
        <w:rPr>
          <w:rFonts w:ascii="David" w:hAnsi="David"/>
          <w:rtl/>
        </w:rPr>
      </w:pPr>
      <w:r>
        <w:rPr>
          <w:rFonts w:ascii="David" w:hAnsi="David"/>
          <w:rtl/>
        </w:rPr>
        <w:tab/>
        <w:t xml:space="preserve">הנאשם נעדר עבר פלילי רלוונטי. בעבר ניהל הליך פלילי בגין עבירת אלימות כשלדבריו באותה העת הגן על אחיו, וציין כי לא תופס עצמו כאדם אלים. עוד ציין כי כשהיה כבן 20 נהג להשתמש בסמים מסוג חשיש, וכי על רקע הליך פלילי שנפתח כנגדו הפסיק שימושו בסמים עד היום. בהקשר זה מסר כי לאורך השנים גייס כוחותיו למען תפקוד תקין על מנת שיהווה דוגמא לילדיו ויוכל לפרנס אותם. </w:t>
      </w:r>
    </w:p>
    <w:p w14:paraId="70964488" w14:textId="77777777" w:rsidR="007A0DE4" w:rsidRDefault="007A0DE4" w:rsidP="007A0DE4">
      <w:pPr>
        <w:spacing w:line="360" w:lineRule="auto"/>
        <w:ind w:left="720" w:hanging="720"/>
        <w:jc w:val="both"/>
        <w:rPr>
          <w:rFonts w:ascii="David" w:hAnsi="David"/>
          <w:rtl/>
        </w:rPr>
      </w:pPr>
    </w:p>
    <w:p w14:paraId="4FCFFE9B" w14:textId="77777777" w:rsidR="007A0DE4" w:rsidRDefault="007A0DE4" w:rsidP="007A0DE4">
      <w:pPr>
        <w:spacing w:line="360" w:lineRule="auto"/>
        <w:ind w:left="720" w:hanging="720"/>
        <w:jc w:val="both"/>
        <w:rPr>
          <w:rFonts w:ascii="David" w:hAnsi="David"/>
          <w:rtl/>
        </w:rPr>
      </w:pPr>
      <w:r>
        <w:rPr>
          <w:rFonts w:ascii="David" w:hAnsi="David"/>
          <w:rtl/>
        </w:rPr>
        <w:tab/>
        <w:t xml:space="preserve">בהתייחס לעבירה בענייננו הנאשם </w:t>
      </w:r>
      <w:r>
        <w:rPr>
          <w:rFonts w:ascii="David" w:hAnsi="David" w:hint="cs"/>
          <w:rtl/>
        </w:rPr>
        <w:t>ה</w:t>
      </w:r>
      <w:r>
        <w:rPr>
          <w:rFonts w:ascii="David" w:hAnsi="David"/>
          <w:rtl/>
        </w:rPr>
        <w:t xml:space="preserve">ודה בביצועה. לדבריו ברקע לעבירה אירוע חתונה שהתקיים אצל שכניו, כאשר שמע ירי יצא מחוץ לביתו עם אקדח, אותו רכש לצורכי הגנה שכן בעבר היה בבעלותו בית קפה מסביבו התרחשו אירוע אלימות רבים. הנאשם שלל קונפליקטים בקרבו או בקרב בני משפחתו. הנאשם התקשה להכיר </w:t>
      </w:r>
      <w:r>
        <w:rPr>
          <w:rFonts w:ascii="David" w:hAnsi="David" w:hint="cs"/>
          <w:rtl/>
        </w:rPr>
        <w:t>ב</w:t>
      </w:r>
      <w:r>
        <w:rPr>
          <w:rFonts w:ascii="David" w:hAnsi="David"/>
          <w:rtl/>
        </w:rPr>
        <w:t>דפוסי חשיבתו שעמדו בבסיס הקנייה והבחירה לצאת עם האקדח מחוץ לביתו.</w:t>
      </w:r>
      <w:r>
        <w:rPr>
          <w:rFonts w:ascii="David" w:hAnsi="David" w:hint="cs"/>
          <w:rtl/>
        </w:rPr>
        <w:t xml:space="preserve"> עם זאת, הצטער על מעשיו ומסר כי הוא מבין שפעל באופן שגוי, ושהי</w:t>
      </w:r>
      <w:r>
        <w:rPr>
          <w:rFonts w:ascii="David" w:hAnsi="David"/>
          <w:rtl/>
        </w:rPr>
        <w:t xml:space="preserve">ה עליו לסמוך על גורמי אכיפת החוק </w:t>
      </w:r>
      <w:r>
        <w:rPr>
          <w:rFonts w:ascii="David" w:hAnsi="David" w:hint="cs"/>
          <w:rtl/>
        </w:rPr>
        <w:t xml:space="preserve">כך </w:t>
      </w:r>
      <w:r>
        <w:rPr>
          <w:rFonts w:ascii="David" w:hAnsi="David"/>
          <w:rtl/>
        </w:rPr>
        <w:t>שבעתיד יצ</w:t>
      </w:r>
      <w:r>
        <w:rPr>
          <w:rFonts w:ascii="David" w:hAnsi="David" w:hint="cs"/>
          <w:rtl/>
        </w:rPr>
        <w:t>ו</w:t>
      </w:r>
      <w:r>
        <w:rPr>
          <w:rFonts w:ascii="David" w:hAnsi="David"/>
          <w:rtl/>
        </w:rPr>
        <w:t xml:space="preserve">ר קשר עם המשטרה לקבלת סיוע. הנאשם שיתף כי במסגרת מעצרו מזה כחמישה חודשים משולב בקבוצות טיפוליות שם רוכש מיומנויות שיסייעו לו להתנהג באופן מקדם בחייו, למד להיות סובלני והביע דאגה למשפחתו. </w:t>
      </w:r>
    </w:p>
    <w:p w14:paraId="79675B0B" w14:textId="77777777" w:rsidR="007A0DE4" w:rsidRDefault="007A0DE4" w:rsidP="007A0DE4">
      <w:pPr>
        <w:spacing w:line="360" w:lineRule="auto"/>
        <w:ind w:left="720" w:hanging="720"/>
        <w:jc w:val="both"/>
        <w:rPr>
          <w:rFonts w:ascii="David" w:hAnsi="David"/>
          <w:rtl/>
        </w:rPr>
      </w:pPr>
    </w:p>
    <w:p w14:paraId="0D1CB3EE" w14:textId="77777777" w:rsidR="007A0DE4" w:rsidRDefault="007A0DE4" w:rsidP="007A0DE4">
      <w:pPr>
        <w:spacing w:line="360" w:lineRule="auto"/>
        <w:ind w:left="720" w:hanging="720"/>
        <w:jc w:val="both"/>
        <w:rPr>
          <w:rFonts w:ascii="David" w:hAnsi="David"/>
          <w:rtl/>
        </w:rPr>
      </w:pPr>
      <w:r>
        <w:rPr>
          <w:rFonts w:ascii="David" w:hAnsi="David"/>
          <w:rtl/>
        </w:rPr>
        <w:tab/>
        <w:t>שירות המבחן התרשם כי על אף שהנאשם מבטא שאיפות לתפקוד תקין, נראה כי הוא התקשה לבחון את העומד בבחירתו להחזיק נשק וכי קיים ערפול בנושא זה</w:t>
      </w:r>
      <w:r>
        <w:rPr>
          <w:rFonts w:ascii="David" w:hAnsi="David" w:hint="cs"/>
          <w:rtl/>
        </w:rPr>
        <w:t>,</w:t>
      </w:r>
      <w:r>
        <w:rPr>
          <w:rFonts w:ascii="David" w:hAnsi="David"/>
          <w:rtl/>
        </w:rPr>
        <w:t xml:space="preserve"> כי הנאשם מגלה חוסר אמון בגורמי אכיפת החוק, מתקשה לבחון את האירועים בחייו תוך </w:t>
      </w:r>
      <w:r>
        <w:rPr>
          <w:rFonts w:ascii="David" w:hAnsi="David" w:hint="cs"/>
          <w:rtl/>
        </w:rPr>
        <w:t>ששירות המבחן זיהה</w:t>
      </w:r>
      <w:r>
        <w:rPr>
          <w:rFonts w:ascii="David" w:hAnsi="David"/>
          <w:rtl/>
        </w:rPr>
        <w:t xml:space="preserve"> דפוס חוזר בהתנהלותו, וכי קיים סיכון להתנהלות עוברת חוק בתחום הנשק. על כן, הגיע שירות המבחן לכלל מסקנה כי יש להטיל על הנאשם עונש מוחשי שיחדד לו את חומרת </w:t>
      </w:r>
      <w:r>
        <w:rPr>
          <w:rFonts w:ascii="David" w:hAnsi="David" w:hint="cs"/>
          <w:rtl/>
        </w:rPr>
        <w:t>מעשיו</w:t>
      </w:r>
      <w:r>
        <w:rPr>
          <w:rFonts w:ascii="David" w:hAnsi="David"/>
          <w:rtl/>
        </w:rPr>
        <w:t xml:space="preserve">, לצד מאסר מותנה. </w:t>
      </w:r>
    </w:p>
    <w:p w14:paraId="212F598D" w14:textId="77777777" w:rsidR="007A0DE4" w:rsidRDefault="007A0DE4" w:rsidP="007A0DE4">
      <w:pPr>
        <w:spacing w:line="360" w:lineRule="auto"/>
        <w:ind w:left="720" w:hanging="720"/>
        <w:jc w:val="both"/>
        <w:rPr>
          <w:rFonts w:ascii="David" w:hAnsi="David"/>
          <w:rtl/>
        </w:rPr>
      </w:pPr>
    </w:p>
    <w:p w14:paraId="308B3085" w14:textId="77777777" w:rsidR="007A0DE4" w:rsidRDefault="007A0DE4" w:rsidP="007A0DE4">
      <w:pPr>
        <w:spacing w:line="360" w:lineRule="auto"/>
        <w:ind w:left="720" w:hanging="720"/>
        <w:jc w:val="both"/>
        <w:rPr>
          <w:rFonts w:ascii="David" w:hAnsi="David"/>
          <w:u w:val="single"/>
          <w:rtl/>
        </w:rPr>
      </w:pPr>
      <w:r>
        <w:rPr>
          <w:rFonts w:ascii="David" w:hAnsi="David"/>
          <w:rtl/>
        </w:rPr>
        <w:tab/>
      </w:r>
      <w:r>
        <w:rPr>
          <w:rFonts w:ascii="David" w:hAnsi="David"/>
          <w:u w:val="single"/>
          <w:rtl/>
        </w:rPr>
        <w:t>טיעוני הצדדים לעונש</w:t>
      </w:r>
    </w:p>
    <w:p w14:paraId="66D11DEE" w14:textId="77777777" w:rsidR="007A0DE4" w:rsidRDefault="007A0DE4" w:rsidP="007A0DE4">
      <w:pPr>
        <w:spacing w:line="360" w:lineRule="auto"/>
        <w:ind w:left="720" w:hanging="720"/>
        <w:jc w:val="both"/>
        <w:rPr>
          <w:rFonts w:ascii="David" w:hAnsi="David"/>
          <w:u w:val="single"/>
          <w:rtl/>
        </w:rPr>
      </w:pPr>
    </w:p>
    <w:p w14:paraId="7F761577" w14:textId="77777777" w:rsidR="007A0DE4" w:rsidRDefault="007A0DE4" w:rsidP="007A0DE4">
      <w:pPr>
        <w:spacing w:line="360" w:lineRule="auto"/>
        <w:ind w:left="720" w:hanging="720"/>
        <w:jc w:val="both"/>
        <w:rPr>
          <w:rFonts w:ascii="David" w:hAnsi="David"/>
          <w:rtl/>
        </w:rPr>
      </w:pPr>
      <w:r>
        <w:rPr>
          <w:rFonts w:ascii="David" w:hAnsi="David"/>
          <w:rtl/>
        </w:rPr>
        <w:t>4.</w:t>
      </w:r>
      <w:r>
        <w:rPr>
          <w:rFonts w:ascii="David" w:hAnsi="David"/>
          <w:rtl/>
        </w:rPr>
        <w:tab/>
        <w:t xml:space="preserve">ב״כ התביעה, עו״ד גל אוסטריאק, עמדה בטיעוניה על חומרת מעשיו של הנאשם, עוצמת הפגיעה בערכים המוגנים, נסיבות ביצוע העבירה ומדיניות הענישה הנוהגת. התובעת ציינה כי עבירות הנשק על כל סוגיהן הפכו ״מכת מדינה״ ומגלמות סכנה ממשית לשלום הציבור ולביטחונו. </w:t>
      </w:r>
    </w:p>
    <w:p w14:paraId="7022668C" w14:textId="77777777" w:rsidR="007A0DE4" w:rsidRDefault="007A0DE4" w:rsidP="007A0DE4">
      <w:pPr>
        <w:spacing w:line="360" w:lineRule="auto"/>
        <w:ind w:left="720" w:hanging="720"/>
        <w:jc w:val="both"/>
        <w:rPr>
          <w:rFonts w:ascii="David" w:hAnsi="David"/>
          <w:rtl/>
        </w:rPr>
      </w:pPr>
    </w:p>
    <w:p w14:paraId="72C4ED7C" w14:textId="77777777" w:rsidR="007A0DE4" w:rsidRDefault="007A0DE4" w:rsidP="007A0DE4">
      <w:pPr>
        <w:spacing w:line="360" w:lineRule="auto"/>
        <w:ind w:left="720" w:hanging="720"/>
        <w:jc w:val="both"/>
        <w:rPr>
          <w:rFonts w:ascii="David" w:hAnsi="David"/>
          <w:rtl/>
        </w:rPr>
      </w:pPr>
      <w:r>
        <w:rPr>
          <w:rFonts w:ascii="David" w:hAnsi="David"/>
          <w:rtl/>
        </w:rPr>
        <w:tab/>
        <w:t>בהתייחס למדיניות הענישה הנוהגת ולמגמת ההחמרה בשנים האחרונות בעונשי המאסר הנגזרים על נאשמים בעבירות נשק כמשתקף מפסיקת בית המשפט העליון</w:t>
      </w:r>
      <w:r>
        <w:rPr>
          <w:rFonts w:ascii="David" w:hAnsi="David" w:hint="cs"/>
          <w:rtl/>
        </w:rPr>
        <w:t>,</w:t>
      </w:r>
      <w:r>
        <w:rPr>
          <w:rFonts w:ascii="David" w:hAnsi="David"/>
          <w:rtl/>
        </w:rPr>
        <w:t xml:space="preserve"> ו</w:t>
      </w:r>
      <w:r>
        <w:rPr>
          <w:rFonts w:ascii="David" w:hAnsi="David" w:hint="cs"/>
          <w:rtl/>
        </w:rPr>
        <w:t>בהתאם ל</w:t>
      </w:r>
      <w:r>
        <w:rPr>
          <w:rFonts w:ascii="David" w:hAnsi="David"/>
          <w:rtl/>
        </w:rPr>
        <w:t>עמדת המחוקק כפי שנקבע בתיקון 140 ל</w:t>
      </w:r>
      <w:hyperlink r:id="rId12" w:history="1">
        <w:r w:rsidR="005D7318" w:rsidRPr="005D7318">
          <w:rPr>
            <w:rFonts w:ascii="David" w:hAnsi="David"/>
            <w:color w:val="0000FF"/>
            <w:u w:val="single"/>
            <w:rtl/>
          </w:rPr>
          <w:t>חוק העונשין</w:t>
        </w:r>
      </w:hyperlink>
      <w:r>
        <w:rPr>
          <w:rFonts w:ascii="David" w:hAnsi="David"/>
          <w:rtl/>
        </w:rPr>
        <w:t xml:space="preserve"> הקובע עונשי מינימום לעבירות הנשק, עתרה התביעה לקביעת מתחם ענישה </w:t>
      </w:r>
      <w:r>
        <w:rPr>
          <w:rFonts w:ascii="David" w:hAnsi="David"/>
          <w:rtl/>
        </w:rPr>
        <w:lastRenderedPageBreak/>
        <w:t xml:space="preserve">הנע בין 4.5 ל- 7 שנות מאסר. התביעה לקחה בחשבון את הודאת הנאשם והחיסכון בזמן הציבורי; העבר הפלילי העומד לחובתו בגין עבירות אלימות וסמים; </w:t>
      </w:r>
      <w:r>
        <w:rPr>
          <w:rFonts w:ascii="David" w:hAnsi="David" w:hint="cs"/>
          <w:rtl/>
        </w:rPr>
        <w:t>המלצת שירות המבחן</w:t>
      </w:r>
      <w:r>
        <w:rPr>
          <w:rFonts w:ascii="David" w:hAnsi="David"/>
          <w:rtl/>
        </w:rPr>
        <w:t xml:space="preserve"> להטיל על הנאשם ענישה מוחשית שתחדד לו את חומרת מעשיו; ושיקולי הרתעת הרבים והרתעת היחיד. בשים לב לאלו, סברה התובעת כי יש למקם את הנאשם מתחת למחצית המתחם אך בקירוב אליו, לצד הטלת עונש מאסר על תנאי מרתיע וקנס משמעותי. </w:t>
      </w:r>
    </w:p>
    <w:p w14:paraId="07D7AC28" w14:textId="77777777" w:rsidR="007A0DE4" w:rsidRDefault="007A0DE4" w:rsidP="007A0DE4">
      <w:pPr>
        <w:spacing w:line="360" w:lineRule="auto"/>
        <w:ind w:left="720" w:hanging="720"/>
        <w:jc w:val="both"/>
        <w:rPr>
          <w:rFonts w:ascii="David" w:hAnsi="David"/>
          <w:rtl/>
        </w:rPr>
      </w:pPr>
    </w:p>
    <w:p w14:paraId="77F4229D" w14:textId="77777777" w:rsidR="007A0DE4" w:rsidRDefault="007A0DE4" w:rsidP="007A0DE4">
      <w:pPr>
        <w:spacing w:line="360" w:lineRule="auto"/>
        <w:ind w:left="720" w:hanging="720"/>
        <w:jc w:val="both"/>
        <w:rPr>
          <w:rFonts w:ascii="David" w:hAnsi="David"/>
          <w:rtl/>
        </w:rPr>
      </w:pPr>
      <w:r>
        <w:rPr>
          <w:rFonts w:ascii="David" w:hAnsi="David"/>
          <w:rtl/>
        </w:rPr>
        <w:t>5.</w:t>
      </w:r>
      <w:r>
        <w:rPr>
          <w:rFonts w:ascii="David" w:hAnsi="David"/>
          <w:rtl/>
        </w:rPr>
        <w:tab/>
        <w:t xml:space="preserve">ב״כ הנאשם, עו״ד שפיק אבו האני, עמד על נסיבותיו האישיות של הנאשם, בן 33, נכה, נעדר עבר פלילי רלוונטי ואב למשפחה. לדבריו מדובר במי שניהל חיים נורמטיביים ומגיל 17 עובד כמכונאי. משפחתו תרמה למדינת ישראל, אביו אח שכול ואחיו נכה צה"ל. </w:t>
      </w:r>
      <w:r>
        <w:rPr>
          <w:rFonts w:ascii="David" w:hAnsi="David" w:hint="cs"/>
          <w:rtl/>
        </w:rPr>
        <w:t>לטענת הסנגור,</w:t>
      </w:r>
      <w:r>
        <w:rPr>
          <w:rFonts w:ascii="David" w:hAnsi="David"/>
          <w:rtl/>
        </w:rPr>
        <w:t xml:space="preserve"> נסיבותיו האישיות </w:t>
      </w:r>
      <w:r>
        <w:rPr>
          <w:rFonts w:ascii="David" w:hAnsi="David" w:hint="cs"/>
          <w:rtl/>
        </w:rPr>
        <w:t xml:space="preserve">של הנאשם </w:t>
      </w:r>
      <w:r>
        <w:rPr>
          <w:rFonts w:ascii="David" w:hAnsi="David"/>
          <w:rtl/>
        </w:rPr>
        <w:t xml:space="preserve">לא הובאו לידי ביטוי כראוי בתסקיר שירות המבחן. הסנגור </w:t>
      </w:r>
      <w:r>
        <w:rPr>
          <w:rFonts w:ascii="David" w:hAnsi="David" w:hint="cs"/>
          <w:rtl/>
        </w:rPr>
        <w:t>עמד על כך</w:t>
      </w:r>
      <w:r>
        <w:rPr>
          <w:rFonts w:ascii="David" w:hAnsi="David"/>
          <w:rtl/>
        </w:rPr>
        <w:t xml:space="preserve"> </w:t>
      </w:r>
      <w:r>
        <w:rPr>
          <w:rFonts w:ascii="David" w:hAnsi="David" w:hint="cs"/>
          <w:rtl/>
        </w:rPr>
        <w:t>ש</w:t>
      </w:r>
      <w:r>
        <w:rPr>
          <w:rFonts w:ascii="David" w:hAnsi="David"/>
          <w:rtl/>
        </w:rPr>
        <w:t xml:space="preserve">הנאשם הודה במעשיו בהזדמנות הראשונה בפני </w:t>
      </w:r>
      <w:r>
        <w:rPr>
          <w:rFonts w:ascii="David" w:hAnsi="David" w:hint="cs"/>
          <w:rtl/>
        </w:rPr>
        <w:t>ה</w:t>
      </w:r>
      <w:r>
        <w:rPr>
          <w:rFonts w:ascii="David" w:hAnsi="David"/>
          <w:rtl/>
        </w:rPr>
        <w:t>שוטרים וכן ב</w:t>
      </w:r>
      <w:r>
        <w:rPr>
          <w:rFonts w:ascii="David" w:hAnsi="David" w:hint="cs"/>
          <w:rtl/>
        </w:rPr>
        <w:t xml:space="preserve">פני </w:t>
      </w:r>
      <w:r>
        <w:rPr>
          <w:rFonts w:ascii="David" w:hAnsi="David"/>
          <w:rtl/>
        </w:rPr>
        <w:t xml:space="preserve">בית המשפט, ובכך חסך זמן ציבורי יקר. </w:t>
      </w:r>
      <w:r>
        <w:rPr>
          <w:rFonts w:ascii="David" w:hAnsi="David" w:hint="cs"/>
          <w:rtl/>
        </w:rPr>
        <w:t>הנאשם אף ציין</w:t>
      </w:r>
      <w:r>
        <w:rPr>
          <w:rFonts w:ascii="David" w:hAnsi="David"/>
          <w:rtl/>
        </w:rPr>
        <w:t xml:space="preserve"> בפני שירות המבחן כי</w:t>
      </w:r>
      <w:r>
        <w:rPr>
          <w:rFonts w:ascii="David" w:hAnsi="David" w:hint="cs"/>
          <w:rtl/>
        </w:rPr>
        <w:t>צד כל</w:t>
      </w:r>
      <w:r>
        <w:rPr>
          <w:rFonts w:ascii="David" w:hAnsi="David"/>
          <w:rtl/>
        </w:rPr>
        <w:t xml:space="preserve"> האירוע קרה, </w:t>
      </w:r>
      <w:r>
        <w:rPr>
          <w:rFonts w:ascii="David" w:hAnsi="David" w:hint="cs"/>
          <w:rtl/>
        </w:rPr>
        <w:t xml:space="preserve">התנצל </w:t>
      </w:r>
      <w:r>
        <w:rPr>
          <w:rFonts w:ascii="David" w:hAnsi="David"/>
          <w:rtl/>
        </w:rPr>
        <w:t xml:space="preserve">ומטרתו היא לשקם את חייו. על אף הקשיים הרבים שעברה המשפחה, נטען כי הנאשם גייס כוחותיו ועמל קשות על מנת לחיות חיים נורמטיביים. לטענת הסנגור, תסקיר שירות המבחן הוא חיובי ועל בית המשפט לקחת אותו בחשבון בעת גזירת דינו של הנאשם. </w:t>
      </w:r>
    </w:p>
    <w:p w14:paraId="6BE0E80E" w14:textId="77777777" w:rsidR="007A0DE4" w:rsidRDefault="007A0DE4" w:rsidP="007A0DE4">
      <w:pPr>
        <w:spacing w:line="360" w:lineRule="auto"/>
        <w:ind w:left="720" w:hanging="720"/>
        <w:jc w:val="both"/>
        <w:rPr>
          <w:rFonts w:ascii="David" w:hAnsi="David"/>
          <w:rtl/>
        </w:rPr>
      </w:pPr>
    </w:p>
    <w:p w14:paraId="2E334737" w14:textId="77777777" w:rsidR="007A0DE4" w:rsidRDefault="007A0DE4" w:rsidP="007A0DE4">
      <w:pPr>
        <w:spacing w:line="360" w:lineRule="auto"/>
        <w:ind w:left="720" w:hanging="720"/>
        <w:jc w:val="both"/>
        <w:rPr>
          <w:rFonts w:ascii="David" w:hAnsi="David"/>
          <w:rtl/>
        </w:rPr>
      </w:pPr>
      <w:r>
        <w:rPr>
          <w:rFonts w:ascii="David" w:hAnsi="David"/>
          <w:rtl/>
        </w:rPr>
        <w:tab/>
        <w:t xml:space="preserve">לטענת הסנגור, מתחם הענישה בתיק זה צריך שישקף את המתחם הנמוך ביותר שנקבע בפסיקה, שכן לא בוצע ירי, הנשק נתפס, הנאשם לא התנגד למעצרו והודה בטרם נשאל על מעשיו כי מדובר בנשק שלו. הסנגור </w:t>
      </w:r>
      <w:r>
        <w:rPr>
          <w:rFonts w:ascii="David" w:hAnsi="David" w:hint="cs"/>
          <w:rtl/>
        </w:rPr>
        <w:t>עתר לקביעת</w:t>
      </w:r>
      <w:r>
        <w:rPr>
          <w:rFonts w:ascii="David" w:hAnsi="David"/>
          <w:rtl/>
        </w:rPr>
        <w:t xml:space="preserve"> מתחם ענישה הנע בין 12 ל-18 חודשי מאסר, ו</w:t>
      </w:r>
      <w:r>
        <w:rPr>
          <w:rFonts w:ascii="David" w:hAnsi="David" w:hint="cs"/>
          <w:rtl/>
        </w:rPr>
        <w:t>סבר כי הענישה בתיק זה</w:t>
      </w:r>
      <w:r>
        <w:rPr>
          <w:rFonts w:ascii="David" w:hAnsi="David"/>
          <w:rtl/>
        </w:rPr>
        <w:t xml:space="preserve"> </w:t>
      </w:r>
      <w:r>
        <w:rPr>
          <w:rFonts w:ascii="David" w:hAnsi="David" w:hint="cs"/>
          <w:rtl/>
        </w:rPr>
        <w:t>צריכה להסתכם</w:t>
      </w:r>
      <w:r>
        <w:rPr>
          <w:rFonts w:ascii="David" w:hAnsi="David"/>
          <w:rtl/>
        </w:rPr>
        <w:t xml:space="preserve"> </w:t>
      </w:r>
      <w:r>
        <w:rPr>
          <w:rFonts w:ascii="David" w:hAnsi="David" w:hint="cs"/>
          <w:rtl/>
        </w:rPr>
        <w:t xml:space="preserve">במספר חודשי מאסר. </w:t>
      </w:r>
    </w:p>
    <w:p w14:paraId="003FD2A4" w14:textId="77777777" w:rsidR="007A0DE4" w:rsidRDefault="007A0DE4" w:rsidP="007A0DE4">
      <w:pPr>
        <w:spacing w:line="360" w:lineRule="auto"/>
        <w:ind w:left="720" w:hanging="720"/>
        <w:jc w:val="both"/>
        <w:rPr>
          <w:rFonts w:ascii="David" w:hAnsi="David"/>
          <w:rtl/>
        </w:rPr>
      </w:pPr>
    </w:p>
    <w:p w14:paraId="2B807FE6" w14:textId="77777777" w:rsidR="007A0DE4" w:rsidRDefault="007A0DE4" w:rsidP="007A0DE4">
      <w:pPr>
        <w:spacing w:line="360" w:lineRule="auto"/>
        <w:ind w:left="720" w:hanging="720"/>
        <w:jc w:val="both"/>
        <w:rPr>
          <w:rFonts w:ascii="David" w:hAnsi="David"/>
          <w:rtl/>
        </w:rPr>
      </w:pPr>
      <w:r>
        <w:rPr>
          <w:rFonts w:ascii="David" w:hAnsi="David"/>
          <w:rtl/>
        </w:rPr>
        <w:t>6.</w:t>
      </w:r>
      <w:r>
        <w:rPr>
          <w:rFonts w:ascii="David" w:hAnsi="David"/>
          <w:rtl/>
        </w:rPr>
        <w:tab/>
        <w:t>הנאשם בדברו האחרון אמר: "</w:t>
      </w:r>
      <w:r>
        <w:rPr>
          <w:rFonts w:ascii="David" w:hAnsi="David"/>
          <w:b/>
          <w:bCs/>
          <w:rtl/>
        </w:rPr>
        <w:t>רציתי להגיד אני מצטער על מה שעשיתי ואני מודה ויש לי משפחה שכולה ואני מבקש להתייחס</w:t>
      </w:r>
      <w:r>
        <w:rPr>
          <w:rFonts w:ascii="David" w:hAnsi="David"/>
          <w:rtl/>
        </w:rPr>
        <w:t>" (פרו' עמ' 6, ש' 20).</w:t>
      </w:r>
    </w:p>
    <w:p w14:paraId="7BB7555F" w14:textId="77777777" w:rsidR="007A0DE4" w:rsidRDefault="007A0DE4" w:rsidP="007A0DE4">
      <w:pPr>
        <w:spacing w:line="360" w:lineRule="auto"/>
        <w:ind w:left="720" w:hanging="720"/>
        <w:jc w:val="both"/>
        <w:rPr>
          <w:rFonts w:ascii="David" w:hAnsi="David"/>
          <w:rtl/>
          <w:lang w:val=""/>
        </w:rPr>
      </w:pPr>
    </w:p>
    <w:p w14:paraId="43531C4A" w14:textId="77777777" w:rsidR="007A0DE4" w:rsidRDefault="007A0DE4" w:rsidP="007A0DE4">
      <w:pPr>
        <w:spacing w:line="360" w:lineRule="auto"/>
        <w:ind w:left="720" w:hanging="720"/>
        <w:jc w:val="both"/>
        <w:rPr>
          <w:rFonts w:ascii="David" w:hAnsi="David"/>
          <w:u w:val="single"/>
          <w:rtl/>
        </w:rPr>
      </w:pPr>
      <w:r>
        <w:rPr>
          <w:rFonts w:ascii="David" w:hAnsi="David"/>
          <w:rtl/>
        </w:rPr>
        <w:tab/>
      </w:r>
      <w:r>
        <w:rPr>
          <w:rFonts w:ascii="David" w:hAnsi="David"/>
          <w:u w:val="single"/>
          <w:rtl/>
        </w:rPr>
        <w:t>דיון והכרעה</w:t>
      </w:r>
    </w:p>
    <w:p w14:paraId="6671299C" w14:textId="77777777" w:rsidR="007A0DE4" w:rsidRDefault="007A0DE4" w:rsidP="007A0DE4">
      <w:pPr>
        <w:spacing w:line="360" w:lineRule="auto"/>
        <w:ind w:left="720" w:hanging="720"/>
        <w:jc w:val="both"/>
        <w:rPr>
          <w:rFonts w:ascii="David" w:hAnsi="David"/>
          <w:u w:val="single"/>
          <w:rtl/>
        </w:rPr>
      </w:pPr>
    </w:p>
    <w:p w14:paraId="1E5620A3" w14:textId="77777777" w:rsidR="007A0DE4" w:rsidRDefault="007A0DE4" w:rsidP="007A0DE4">
      <w:pPr>
        <w:spacing w:line="360" w:lineRule="auto"/>
        <w:ind w:left="720" w:hanging="720"/>
        <w:jc w:val="both"/>
        <w:rPr>
          <w:rFonts w:ascii="David" w:hAnsi="David"/>
          <w:rtl/>
        </w:rPr>
      </w:pPr>
      <w:r>
        <w:rPr>
          <w:rFonts w:ascii="David" w:hAnsi="David"/>
          <w:rtl/>
        </w:rPr>
        <w:t>7.</w:t>
      </w:r>
      <w:r>
        <w:rPr>
          <w:rFonts w:ascii="David" w:hAnsi="David"/>
          <w:rtl/>
        </w:rPr>
        <w:tab/>
        <w:t xml:space="preserve">בית המשפט העליון עמד בשורה ארוכה של פסקי דין על מגוון הערכים המוגנים הנפגעים כתוצאה מעבירות נשק, ובהם הצורך בשמירה על חיי אדם ושלמות גופו, ובשמירה על שלום הציבור וביטחונו. עוד עמד בית המשפט העליון על הצורך בהחמרת הענישה בעבירות מסוג זה. </w:t>
      </w:r>
    </w:p>
    <w:p w14:paraId="692ED452" w14:textId="77777777" w:rsidR="007A0DE4" w:rsidRDefault="007A0DE4" w:rsidP="007A0DE4">
      <w:pPr>
        <w:spacing w:line="360" w:lineRule="auto"/>
        <w:ind w:left="720" w:hanging="720"/>
        <w:jc w:val="both"/>
        <w:rPr>
          <w:rFonts w:ascii="David" w:hAnsi="David"/>
          <w:rtl/>
        </w:rPr>
      </w:pPr>
    </w:p>
    <w:p w14:paraId="44943617" w14:textId="77777777" w:rsidR="007A0DE4" w:rsidRDefault="007A0DE4" w:rsidP="007A0DE4">
      <w:pPr>
        <w:spacing w:line="360" w:lineRule="auto"/>
        <w:ind w:left="720" w:hanging="720"/>
        <w:jc w:val="both"/>
        <w:rPr>
          <w:rFonts w:ascii="David" w:hAnsi="David"/>
          <w:rtl/>
        </w:rPr>
      </w:pPr>
      <w:r>
        <w:rPr>
          <w:rFonts w:ascii="David" w:hAnsi="David"/>
          <w:rtl/>
        </w:rPr>
        <w:tab/>
        <w:t>וכך נקבע בין היתר:</w:t>
      </w:r>
      <w:r>
        <w:rPr>
          <w:rtl/>
        </w:rPr>
        <w:t xml:space="preserve"> </w:t>
      </w:r>
      <w:r>
        <w:rPr>
          <w:rFonts w:ascii="David" w:hAnsi="David"/>
          <w:rtl/>
        </w:rPr>
        <w:t>"</w:t>
      </w:r>
      <w:r>
        <w:rPr>
          <w:rFonts w:ascii="David" w:hAnsi="David"/>
          <w:b/>
          <w:bCs/>
          <w:rtl/>
        </w:rPr>
        <w:t xml:space="preserve">עבירות הנשק הפכו זה מכבר למכת מדינה. חומרתן היתרה של עבירות אלה, פגיעתן הקשה והשפעתן על תחושת הביטחון של כלל אזרחי המדינה, זכו להתייחסות נרחבת בפסקי דין רבים של בית משפט זה. צוין כי עבירות אלה מייצרות במהותן איומים וסיכונים משמעותיים לשלום הציבור וביטחונו (ראו: </w:t>
      </w:r>
      <w:hyperlink r:id="rId13" w:history="1">
        <w:r w:rsidR="005D7318" w:rsidRPr="005D7318">
          <w:rPr>
            <w:rFonts w:ascii="David" w:hAnsi="David"/>
            <w:b/>
            <w:bCs/>
            <w:color w:val="0000FF"/>
            <w:u w:val="single"/>
            <w:rtl/>
          </w:rPr>
          <w:t>ע"פ 1695/22</w:t>
        </w:r>
      </w:hyperlink>
      <w:r>
        <w:rPr>
          <w:rFonts w:ascii="David" w:hAnsi="David"/>
          <w:b/>
          <w:bCs/>
          <w:rtl/>
        </w:rPr>
        <w:t xml:space="preserve"> מדינת ישראל נ' גנאים, פסקה 11 (29.3.2022)), והן מהוות בסיס לביצוע פעילות עבריינית, פשיעה לאומנית ופעולות טרור מסכנות חיים (ראו: </w:t>
      </w:r>
      <w:hyperlink r:id="rId14" w:history="1">
        <w:r w:rsidR="005D7318" w:rsidRPr="005D7318">
          <w:rPr>
            <w:rFonts w:ascii="David" w:hAnsi="David"/>
            <w:b/>
            <w:bCs/>
            <w:color w:val="0000FF"/>
            <w:u w:val="single"/>
            <w:rtl/>
          </w:rPr>
          <w:t>ע"פ 309/22</w:t>
        </w:r>
      </w:hyperlink>
      <w:r>
        <w:rPr>
          <w:rFonts w:ascii="David" w:hAnsi="David"/>
          <w:b/>
          <w:bCs/>
          <w:rtl/>
        </w:rPr>
        <w:t xml:space="preserve"> מדינת ישראל נ' ביאדסה, פסקה 6 (10.5.2022)). זמינותם ונגישותם של כלי נשק בלתי חוקיים מאפשרות שימוש תדיר בנשק ככלי לפתרון סכסוכים, לעיתים תוך ירי באזורי מגורים, וגביית קורבנות בגוף ובנפש" </w:t>
      </w:r>
      <w:r>
        <w:rPr>
          <w:rFonts w:ascii="David" w:hAnsi="David"/>
          <w:rtl/>
        </w:rPr>
        <w:t>[</w:t>
      </w:r>
      <w:hyperlink r:id="rId15" w:history="1">
        <w:r w:rsidR="005D7318" w:rsidRPr="005D7318">
          <w:rPr>
            <w:rFonts w:ascii="David" w:hAnsi="David"/>
            <w:color w:val="0000FF"/>
            <w:u w:val="single"/>
            <w:rtl/>
          </w:rPr>
          <w:t>ע"פ 579/22</w:t>
        </w:r>
      </w:hyperlink>
      <w:r>
        <w:rPr>
          <w:rFonts w:ascii="David" w:hAnsi="David"/>
          <w:b/>
          <w:bCs/>
          <w:rtl/>
        </w:rPr>
        <w:t xml:space="preserve"> מדינת ישראל נ' טחאינה </w:t>
      </w:r>
      <w:r>
        <w:rPr>
          <w:rFonts w:ascii="David" w:hAnsi="David"/>
          <w:rtl/>
        </w:rPr>
        <w:t>(13.6.2022)].</w:t>
      </w:r>
    </w:p>
    <w:p w14:paraId="04EBE434" w14:textId="77777777" w:rsidR="007A0DE4" w:rsidRDefault="007A0DE4" w:rsidP="007A0DE4">
      <w:pPr>
        <w:spacing w:line="360" w:lineRule="auto"/>
        <w:ind w:left="720" w:hanging="720"/>
        <w:jc w:val="both"/>
        <w:rPr>
          <w:rFonts w:ascii="David" w:hAnsi="David"/>
          <w:rtl/>
          <w:lang w:val=""/>
        </w:rPr>
      </w:pPr>
    </w:p>
    <w:p w14:paraId="689E5C2E" w14:textId="77777777" w:rsidR="007A0DE4" w:rsidRDefault="007A0DE4" w:rsidP="007A0DE4">
      <w:pPr>
        <w:spacing w:line="360" w:lineRule="auto"/>
        <w:ind w:left="720" w:hanging="720"/>
        <w:jc w:val="both"/>
        <w:rPr>
          <w:rFonts w:ascii="David" w:hAnsi="David"/>
          <w:rtl/>
        </w:rPr>
      </w:pPr>
      <w:r>
        <w:rPr>
          <w:rFonts w:ascii="David" w:hAnsi="David"/>
          <w:rtl/>
        </w:rPr>
        <w:tab/>
        <w:t>יש ליתן את הדעת למגמת ההחמרה בשנים האחרונות ביחס לעבירות הנשק כפי שזו משתקפת בפסיקה ובחקיקה. בית המשפט העליון קבע כי באשר לעבירת נשק ״רגילה״, על המתחם לנוע בין 30 ל-42 חודשי מאסר, לצד רכיבי ענישה נלווים [</w:t>
      </w:r>
      <w:hyperlink r:id="rId16" w:history="1">
        <w:r w:rsidR="005D7318" w:rsidRPr="005D7318">
          <w:rPr>
            <w:rFonts w:ascii="David" w:hAnsi="David"/>
            <w:color w:val="0000FF"/>
            <w:u w:val="single"/>
            <w:rtl/>
          </w:rPr>
          <w:t>ע״פ 5602/22</w:t>
        </w:r>
      </w:hyperlink>
      <w:r>
        <w:rPr>
          <w:rFonts w:ascii="David" w:hAnsi="David"/>
          <w:rtl/>
        </w:rPr>
        <w:t xml:space="preserve"> </w:t>
      </w:r>
      <w:r>
        <w:rPr>
          <w:rFonts w:ascii="David" w:hAnsi="David"/>
          <w:b/>
          <w:bCs/>
          <w:rtl/>
        </w:rPr>
        <w:t xml:space="preserve">מדינת ישראל נ׳ פלוני </w:t>
      </w:r>
      <w:r>
        <w:rPr>
          <w:rFonts w:ascii="David" w:hAnsi="David"/>
          <w:rtl/>
        </w:rPr>
        <w:t>(8.9.2022)]. כמו כן, המחוקק קבע עונש מינימום בעבירות נשק, כך שהעונש שיושת בגינן יתחיל מרבע העונש המירבי הקבוע לצד העבירה [</w:t>
      </w:r>
      <w:hyperlink r:id="rId17" w:history="1">
        <w:r w:rsidR="005D7318" w:rsidRPr="005D7318">
          <w:rPr>
            <w:rFonts w:ascii="David" w:hAnsi="David"/>
            <w:color w:val="0000FF"/>
            <w:u w:val="single"/>
            <w:rtl/>
          </w:rPr>
          <w:t>חוק העונשין</w:t>
        </w:r>
      </w:hyperlink>
      <w:r>
        <w:rPr>
          <w:rFonts w:ascii="David" w:hAnsi="David"/>
          <w:rtl/>
        </w:rPr>
        <w:t xml:space="preserve"> (תיקון 140 - הוראת שעה) (תיקון), התשפ״ה - 2024]. </w:t>
      </w:r>
    </w:p>
    <w:p w14:paraId="1E4340E2" w14:textId="77777777" w:rsidR="007A0DE4" w:rsidRDefault="007A0DE4" w:rsidP="007A0DE4">
      <w:pPr>
        <w:spacing w:line="360" w:lineRule="auto"/>
        <w:ind w:left="720" w:hanging="720"/>
        <w:jc w:val="both"/>
        <w:rPr>
          <w:rFonts w:ascii="David" w:hAnsi="David"/>
          <w:rtl/>
        </w:rPr>
      </w:pPr>
    </w:p>
    <w:p w14:paraId="151CCE5C" w14:textId="77777777" w:rsidR="007A0DE4" w:rsidRDefault="007A0DE4" w:rsidP="007A0DE4">
      <w:pPr>
        <w:spacing w:line="360" w:lineRule="auto"/>
        <w:ind w:left="720" w:hanging="720"/>
        <w:jc w:val="both"/>
        <w:rPr>
          <w:rFonts w:ascii="David" w:hAnsi="David"/>
          <w:rtl/>
        </w:rPr>
      </w:pPr>
      <w:r>
        <w:rPr>
          <w:rFonts w:ascii="David" w:hAnsi="David"/>
          <w:rtl/>
        </w:rPr>
        <w:t>8.</w:t>
      </w:r>
      <w:r>
        <w:rPr>
          <w:rFonts w:ascii="David" w:hAnsi="David"/>
          <w:rtl/>
        </w:rPr>
        <w:tab/>
        <w:t xml:space="preserve">באשר לנסיבות ביצוע העבירה, יש להתייחס לעובדה כי הנאשם נשא עליו 2 אקדחים ותחמושת - מחסנית ארוכה ובה כדורים וכן שתי מחסניות נוספות, אחת ריקה והשנייה עם כדורים; ולכך שהנאשם היה רעול פנים, ואחז לעבר השוטרים שהיו במקום באקדח ובו מחסנית. נסיבות אלו מלמדות על פגיעה שאינה קלה בערכים המוגנים, </w:t>
      </w:r>
      <w:r>
        <w:rPr>
          <w:rFonts w:ascii="David" w:hAnsi="David" w:hint="cs"/>
          <w:rtl/>
        </w:rPr>
        <w:t>ועל פוטנציאל נזק.</w:t>
      </w:r>
      <w:r>
        <w:rPr>
          <w:rFonts w:ascii="David" w:hAnsi="David"/>
          <w:rtl/>
        </w:rPr>
        <w:t xml:space="preserve"> </w:t>
      </w:r>
    </w:p>
    <w:p w14:paraId="0D255200" w14:textId="77777777" w:rsidR="007A0DE4" w:rsidRDefault="007A0DE4" w:rsidP="007A0DE4">
      <w:pPr>
        <w:spacing w:line="360" w:lineRule="auto"/>
        <w:ind w:left="720" w:hanging="720"/>
        <w:jc w:val="both"/>
        <w:rPr>
          <w:rFonts w:ascii="David" w:hAnsi="David"/>
          <w:rtl/>
        </w:rPr>
      </w:pPr>
    </w:p>
    <w:p w14:paraId="6BC794C7" w14:textId="77777777" w:rsidR="007A0DE4" w:rsidRDefault="007A0DE4" w:rsidP="007A0DE4">
      <w:pPr>
        <w:spacing w:line="360" w:lineRule="auto"/>
        <w:ind w:left="720" w:hanging="720"/>
        <w:jc w:val="both"/>
        <w:rPr>
          <w:rFonts w:ascii="David" w:hAnsi="David"/>
          <w:rtl/>
        </w:rPr>
      </w:pPr>
      <w:r>
        <w:rPr>
          <w:rFonts w:ascii="David" w:hAnsi="David"/>
          <w:rtl/>
        </w:rPr>
        <w:t>9.</w:t>
      </w:r>
      <w:r>
        <w:rPr>
          <w:rFonts w:ascii="David" w:hAnsi="David"/>
          <w:rtl/>
        </w:rPr>
        <w:tab/>
        <w:t>בבחינת מדיניות הענישה הנוהגת, ראיתי להפנות לפסקי הדין הבאים</w:t>
      </w:r>
      <w:r>
        <w:rPr>
          <w:rFonts w:ascii="David" w:hAnsi="David" w:hint="cs"/>
          <w:rtl/>
        </w:rPr>
        <w:t>:</w:t>
      </w:r>
    </w:p>
    <w:p w14:paraId="62A37AC5" w14:textId="77777777" w:rsidR="007A0DE4" w:rsidRDefault="007A0DE4" w:rsidP="007A0DE4">
      <w:pPr>
        <w:spacing w:line="360" w:lineRule="auto"/>
        <w:ind w:left="720" w:hanging="720"/>
        <w:jc w:val="both"/>
        <w:rPr>
          <w:rFonts w:ascii="David" w:hAnsi="David"/>
          <w:rtl/>
        </w:rPr>
      </w:pPr>
    </w:p>
    <w:p w14:paraId="34A9C7BC" w14:textId="77777777" w:rsidR="007A0DE4" w:rsidRDefault="005D7318" w:rsidP="007A0DE4">
      <w:pPr>
        <w:spacing w:line="360" w:lineRule="auto"/>
        <w:ind w:left="720"/>
        <w:jc w:val="both"/>
        <w:rPr>
          <w:rFonts w:ascii="David" w:hAnsi="David"/>
          <w:rtl/>
        </w:rPr>
      </w:pPr>
      <w:hyperlink r:id="rId18" w:history="1">
        <w:r w:rsidRPr="005D7318">
          <w:rPr>
            <w:rFonts w:ascii="David" w:hAnsi="David"/>
            <w:color w:val="0000FF"/>
            <w:u w:val="single"/>
            <w:rtl/>
          </w:rPr>
          <w:t>ע"פ 5681/23</w:t>
        </w:r>
      </w:hyperlink>
      <w:r w:rsidR="007A0DE4">
        <w:rPr>
          <w:rFonts w:ascii="David" w:hAnsi="David"/>
          <w:rtl/>
        </w:rPr>
        <w:t xml:space="preserve"> </w:t>
      </w:r>
      <w:r w:rsidR="007A0DE4">
        <w:rPr>
          <w:rFonts w:ascii="David" w:hAnsi="David"/>
          <w:b/>
          <w:bCs/>
          <w:rtl/>
        </w:rPr>
        <w:t>חווא נ' מדינת ישראל</w:t>
      </w:r>
      <w:r w:rsidR="007A0DE4">
        <w:rPr>
          <w:rFonts w:ascii="David" w:hAnsi="David"/>
          <w:rtl/>
        </w:rPr>
        <w:t xml:space="preserve"> (20.12.2023) - הנאשם הורשע על יסוד הודאתו, בעבירות של החזקה ונשיאה של נשק לפי </w:t>
      </w:r>
      <w:hyperlink r:id="rId19" w:history="1">
        <w:r w:rsidR="00A71673" w:rsidRPr="00A71673">
          <w:rPr>
            <w:rStyle w:val="Hyperlink"/>
            <w:rFonts w:ascii="David" w:hAnsi="David"/>
            <w:color w:val="0000FF"/>
            <w:rtl/>
          </w:rPr>
          <w:t>סעיף 144(א)+(ב)</w:t>
        </w:r>
      </w:hyperlink>
      <w:r w:rsidR="007A0DE4">
        <w:rPr>
          <w:rFonts w:ascii="David" w:hAnsi="David"/>
          <w:rtl/>
        </w:rPr>
        <w:t xml:space="preserve"> רישא וסיפא ל</w:t>
      </w:r>
      <w:hyperlink r:id="rId20" w:history="1">
        <w:r w:rsidRPr="005D7318">
          <w:rPr>
            <w:rFonts w:ascii="David" w:hAnsi="David"/>
            <w:color w:val="0000FF"/>
            <w:u w:val="single"/>
            <w:rtl/>
          </w:rPr>
          <w:t>חוק העונשין</w:t>
        </w:r>
      </w:hyperlink>
      <w:r w:rsidR="007A0DE4">
        <w:rPr>
          <w:rFonts w:ascii="David" w:hAnsi="David"/>
          <w:rtl/>
        </w:rPr>
        <w:t xml:space="preserve">, בכך שהחזיק אקדח מוסב, אשר ביכולתו להמית אדם, טעון במחסנית ובתוכה 6 כדורים. הנאשם יצא מביתו, כשהוא מחזיק ונושא את האקדח טעון במחסנית ובכדורים מוסתר בבגדיו, יחד עם אשתו לכיוון רכבו. שוטרים שהיו בתצפית יזומה על הנאשם הבחינו בו. לאחר שהנאשם זיהה את השוטרים הוא פתח במנוסה, במהלכה הוציא את האקדח והחזיק אותו בידו. השוטרים השיגו את הנאשם ואחד השוטרים דרך את נשקו האישי, כיוון אל הנאשם והורה לו להשליך את האקדח לרצפה. לאחר מכן הנאשם נעצר. בית המשפט המחוזי קבע </w:t>
      </w:r>
      <w:r w:rsidR="007A0DE4">
        <w:rPr>
          <w:rFonts w:ascii="David" w:hAnsi="David"/>
          <w:b/>
          <w:bCs/>
          <w:rtl/>
        </w:rPr>
        <w:t>מתחם עונש הולם הנע בין 24 חודשים ל-50 חודשי מאסר</w:t>
      </w:r>
      <w:r w:rsidR="007A0DE4">
        <w:rPr>
          <w:rFonts w:ascii="David" w:hAnsi="David"/>
          <w:rtl/>
        </w:rPr>
        <w:t xml:space="preserve">, וגזר על הנאשם </w:t>
      </w:r>
      <w:r w:rsidR="007A0DE4">
        <w:rPr>
          <w:rFonts w:ascii="David" w:hAnsi="David"/>
          <w:b/>
          <w:bCs/>
          <w:rtl/>
        </w:rPr>
        <w:t>35 חודשי מאסר</w:t>
      </w:r>
      <w:r w:rsidR="007A0DE4">
        <w:rPr>
          <w:rFonts w:ascii="David" w:hAnsi="David"/>
          <w:rtl/>
        </w:rPr>
        <w:t xml:space="preserve"> וענישה נלווית. ערעור שהוגש לבית המשפט העליון על חומרת העונש נדחה.</w:t>
      </w:r>
    </w:p>
    <w:p w14:paraId="70604DE9" w14:textId="77777777" w:rsidR="007A0DE4" w:rsidRDefault="007A0DE4" w:rsidP="007A0DE4">
      <w:pPr>
        <w:spacing w:line="360" w:lineRule="auto"/>
        <w:ind w:left="720" w:hanging="720"/>
        <w:jc w:val="both"/>
        <w:rPr>
          <w:rFonts w:ascii="David" w:hAnsi="David"/>
          <w:rtl/>
        </w:rPr>
      </w:pPr>
      <w:r>
        <w:rPr>
          <w:rFonts w:ascii="David" w:hAnsi="David"/>
          <w:rtl/>
        </w:rPr>
        <w:softHyphen/>
      </w:r>
    </w:p>
    <w:p w14:paraId="3999E2F3" w14:textId="77777777" w:rsidR="007A0DE4" w:rsidRDefault="005D7318" w:rsidP="007A0DE4">
      <w:pPr>
        <w:spacing w:line="360" w:lineRule="auto"/>
        <w:ind w:left="720"/>
        <w:jc w:val="both"/>
        <w:rPr>
          <w:rFonts w:ascii="David" w:hAnsi="David"/>
          <w:rtl/>
        </w:rPr>
      </w:pPr>
      <w:hyperlink r:id="rId21" w:history="1">
        <w:r w:rsidRPr="005D7318">
          <w:rPr>
            <w:rFonts w:ascii="David" w:hAnsi="David"/>
            <w:color w:val="0000FF"/>
            <w:u w:val="single"/>
            <w:rtl/>
          </w:rPr>
          <w:t>ע"פ 6498/22</w:t>
        </w:r>
      </w:hyperlink>
      <w:r w:rsidR="007A0DE4">
        <w:rPr>
          <w:rFonts w:ascii="David" w:hAnsi="David"/>
          <w:rtl/>
        </w:rPr>
        <w:t xml:space="preserve"> </w:t>
      </w:r>
      <w:r w:rsidR="007A0DE4">
        <w:rPr>
          <w:rFonts w:ascii="David" w:hAnsi="David"/>
          <w:b/>
          <w:bCs/>
          <w:rtl/>
        </w:rPr>
        <w:t>בוהדנה נ' מדינת ישראל</w:t>
      </w:r>
      <w:r w:rsidR="007A0DE4">
        <w:rPr>
          <w:rFonts w:ascii="David" w:hAnsi="David"/>
          <w:rtl/>
        </w:rPr>
        <w:t xml:space="preserve"> (20.2.2023) - נאשם 1 הורשע על יסוד הודאתו בעבירות בנשק (נשיאה והובלה) לפי סעיף </w:t>
      </w:r>
      <w:hyperlink r:id="rId22" w:history="1">
        <w:r w:rsidR="00A71673" w:rsidRPr="00A71673">
          <w:rPr>
            <w:rStyle w:val="Hyperlink"/>
            <w:rFonts w:ascii="David" w:hAnsi="David"/>
            <w:color w:val="0000FF"/>
            <w:rtl/>
          </w:rPr>
          <w:t>144 (ב)</w:t>
        </w:r>
      </w:hyperlink>
      <w:r w:rsidR="007A0DE4">
        <w:rPr>
          <w:rFonts w:ascii="David" w:hAnsi="David"/>
          <w:rtl/>
        </w:rPr>
        <w:t xml:space="preserve"> רישא וסיפא ל</w:t>
      </w:r>
      <w:hyperlink r:id="rId23" w:history="1">
        <w:r w:rsidRPr="005D7318">
          <w:rPr>
            <w:rFonts w:ascii="David" w:hAnsi="David"/>
            <w:color w:val="0000FF"/>
            <w:u w:val="single"/>
            <w:rtl/>
          </w:rPr>
          <w:t>חוק העונשין</w:t>
        </w:r>
      </w:hyperlink>
      <w:r w:rsidR="007A0DE4">
        <w:rPr>
          <w:rFonts w:ascii="David" w:hAnsi="David"/>
          <w:rtl/>
        </w:rPr>
        <w:t xml:space="preserve">. ממועד שאינו ידוע למאשימה ועד יום 30.6.21 החזיק הנאשם באקדח יריחו עם מחסנית. ביום 30.6.21 נסע נאשם 1 יחד עם נאשם 2 ברכב, כשנאשם 1 יושב במושב האחורי וברשותו כלי הנשק כשהוא דרוך, כדור נמצא בקנה ובמחסנית שני כדורים נוספים. הנאשמים נתקלו במחסום משטרתי והחלו להתרחק מהאזור בנסיעה מהירה. השוטרים רדפו אחרי הנאשמים, וכשלבסוף נעצרו על ידם יצא נאשם 1 מהרכב והניח את כלי הנשק על הכביש מתחת לרכב ועליו הניח כפפה שחורה. בית המשפט המחוזי קבע </w:t>
      </w:r>
      <w:r w:rsidR="007A0DE4">
        <w:rPr>
          <w:rFonts w:ascii="David" w:hAnsi="David"/>
          <w:b/>
          <w:bCs/>
          <w:rtl/>
        </w:rPr>
        <w:t>מתחם עונש הולם הנע בין 24 ל-48 חודשי מאסר</w:t>
      </w:r>
      <w:r w:rsidR="007A0DE4">
        <w:rPr>
          <w:rFonts w:ascii="David" w:hAnsi="David"/>
          <w:rtl/>
        </w:rPr>
        <w:t xml:space="preserve">, וגזר על הנאשם </w:t>
      </w:r>
      <w:r w:rsidR="007A0DE4">
        <w:rPr>
          <w:rFonts w:ascii="David" w:hAnsi="David"/>
          <w:b/>
          <w:bCs/>
          <w:rtl/>
        </w:rPr>
        <w:t>30 חודשי מאסר</w:t>
      </w:r>
      <w:r w:rsidR="007A0DE4">
        <w:rPr>
          <w:rFonts w:ascii="David" w:hAnsi="David"/>
          <w:rtl/>
        </w:rPr>
        <w:t xml:space="preserve"> בגין האירועים נשוא תיק זה. ערעור שהוגש לבית המשפט העליון נדחה.</w:t>
      </w:r>
    </w:p>
    <w:p w14:paraId="5FA44F21" w14:textId="77777777" w:rsidR="007A0DE4" w:rsidRDefault="007A0DE4" w:rsidP="007A0DE4">
      <w:pPr>
        <w:spacing w:line="360" w:lineRule="auto"/>
        <w:ind w:left="720" w:hanging="720"/>
        <w:jc w:val="both"/>
        <w:rPr>
          <w:rFonts w:ascii="David" w:hAnsi="David"/>
          <w:rtl/>
        </w:rPr>
      </w:pPr>
    </w:p>
    <w:p w14:paraId="3D7C9070" w14:textId="77777777" w:rsidR="007A0DE4" w:rsidRDefault="005D7318" w:rsidP="007A0DE4">
      <w:pPr>
        <w:spacing w:line="360" w:lineRule="auto"/>
        <w:ind w:left="720"/>
        <w:jc w:val="both"/>
        <w:rPr>
          <w:rFonts w:ascii="David" w:hAnsi="David"/>
          <w:rtl/>
        </w:rPr>
      </w:pPr>
      <w:hyperlink r:id="rId24" w:history="1">
        <w:r w:rsidRPr="005D7318">
          <w:rPr>
            <w:rFonts w:ascii="David" w:hAnsi="David"/>
            <w:color w:val="0000FF"/>
            <w:u w:val="single"/>
            <w:rtl/>
          </w:rPr>
          <w:t>ע"פ 5602/22</w:t>
        </w:r>
      </w:hyperlink>
      <w:r w:rsidR="007A0DE4">
        <w:rPr>
          <w:rFonts w:ascii="David" w:hAnsi="David"/>
          <w:rtl/>
        </w:rPr>
        <w:t xml:space="preserve"> </w:t>
      </w:r>
      <w:r w:rsidR="007A0DE4">
        <w:rPr>
          <w:rFonts w:ascii="David" w:hAnsi="David"/>
          <w:b/>
          <w:bCs/>
          <w:rtl/>
        </w:rPr>
        <w:t>מדינת ישראל נ' פלוני</w:t>
      </w:r>
      <w:r w:rsidR="007A0DE4">
        <w:rPr>
          <w:rFonts w:ascii="David" w:hAnsi="David"/>
          <w:rtl/>
        </w:rPr>
        <w:t xml:space="preserve"> (14.9.2022) - הנאשם הורשע על יסוד הודאתו במסגרת הסדר טיעון בעבירות של נשיאת נשק לפי </w:t>
      </w:r>
      <w:hyperlink r:id="rId25" w:history="1">
        <w:r w:rsidR="00A71673" w:rsidRPr="00A71673">
          <w:rPr>
            <w:rStyle w:val="Hyperlink"/>
            <w:rFonts w:ascii="David" w:hAnsi="David"/>
            <w:color w:val="0000FF"/>
            <w:rtl/>
          </w:rPr>
          <w:t>סעיף 144(ב)</w:t>
        </w:r>
      </w:hyperlink>
      <w:r w:rsidR="007A0DE4">
        <w:rPr>
          <w:rFonts w:ascii="David" w:hAnsi="David"/>
          <w:rtl/>
        </w:rPr>
        <w:t xml:space="preserve"> רישא וסיפא, הפרעה לשוטר במילוי תפקידו ושהייה בישראל בניגוד לחוק. הנאשם תושב ג'נין שאינו מורשה כניסה לישראל, שהה ברכב אשר נסע ברחבי העיר אום אל פאחם כשהוא נושא על גופו אקדח חצי אוטומטי עם מחסנית וכדורים תואמים. כשנהג הרכב התבקש לעצור לבדיקת שוטרים, יצא הנאשם מהרכב כשהוא נושא עמו את הנשק והחל להימלט, וכשנתפס נאבק בשוטר. בית המשפט המחוזי קבע בעניינו מתחם הנע בין 16 ל-40 חודשי מאסר והטיל עליו עונש של 18 חודשים לצד ענישה נלווית. בית המשפט העליון קבע כי "</w:t>
      </w:r>
      <w:r w:rsidR="007A0DE4">
        <w:rPr>
          <w:rFonts w:ascii="David" w:hAnsi="David"/>
          <w:b/>
          <w:bCs/>
          <w:rtl/>
        </w:rPr>
        <w:t>בית משפט שמקל בעונשו של עבריין נשק מכביד על החברה שנאלצת להגן על עצמה - על כל בניה ובנותיה - מעברייני נשק</w:t>
      </w:r>
      <w:r w:rsidR="007A0DE4">
        <w:rPr>
          <w:rFonts w:ascii="David" w:hAnsi="David"/>
          <w:rtl/>
        </w:rPr>
        <w:t xml:space="preserve">" וכי </w:t>
      </w:r>
      <w:r w:rsidR="007A0DE4">
        <w:rPr>
          <w:rFonts w:ascii="David" w:hAnsi="David"/>
          <w:b/>
          <w:bCs/>
          <w:rtl/>
        </w:rPr>
        <w:t>מתחם הענישה הרגיל שראוי לקבוע לנאשם בגיר בגין נשיאה בלתי חוקית של נשק חם במרחב הציבורי נע בין 30 ל-42 חודשי מאסר</w:t>
      </w:r>
      <w:r w:rsidR="007A0DE4">
        <w:rPr>
          <w:rFonts w:ascii="David" w:hAnsi="David"/>
          <w:rtl/>
        </w:rPr>
        <w:t xml:space="preserve"> בין סורג ובריח (לצד עונשים נלווים של מאסר על תנאי וקנס). לאור האמור, ומשום שערכאת הערעור אינה ממצה את הדין, החמיר בית המשפט העליון את עונשו </w:t>
      </w:r>
      <w:r w:rsidR="007A0DE4">
        <w:rPr>
          <w:rFonts w:ascii="David" w:hAnsi="David"/>
          <w:b/>
          <w:bCs/>
          <w:rtl/>
        </w:rPr>
        <w:t>ל-28 חודשי מאסר</w:t>
      </w:r>
      <w:r w:rsidR="007A0DE4">
        <w:rPr>
          <w:rFonts w:ascii="David" w:hAnsi="David"/>
          <w:rtl/>
        </w:rPr>
        <w:t>.</w:t>
      </w:r>
    </w:p>
    <w:p w14:paraId="6EBDDE4B" w14:textId="77777777" w:rsidR="007A0DE4" w:rsidRDefault="007A0DE4" w:rsidP="007A0DE4">
      <w:pPr>
        <w:spacing w:line="360" w:lineRule="auto"/>
        <w:ind w:left="720" w:hanging="720"/>
        <w:jc w:val="both"/>
        <w:rPr>
          <w:rFonts w:ascii="David" w:hAnsi="David"/>
          <w:rtl/>
        </w:rPr>
      </w:pPr>
    </w:p>
    <w:p w14:paraId="0505D9A3" w14:textId="77777777" w:rsidR="007A0DE4" w:rsidRDefault="007A0DE4" w:rsidP="007A0DE4">
      <w:pPr>
        <w:spacing w:line="360" w:lineRule="auto"/>
        <w:ind w:left="720" w:hanging="720"/>
        <w:jc w:val="both"/>
        <w:rPr>
          <w:rFonts w:ascii="David" w:hAnsi="David"/>
          <w:rtl/>
        </w:rPr>
      </w:pPr>
      <w:r>
        <w:rPr>
          <w:rFonts w:ascii="David" w:hAnsi="David"/>
          <w:rtl/>
        </w:rPr>
        <w:tab/>
      </w:r>
      <w:hyperlink r:id="rId26" w:history="1">
        <w:r w:rsidR="005D7318" w:rsidRPr="005D7318">
          <w:rPr>
            <w:rFonts w:ascii="David" w:hAnsi="David"/>
            <w:color w:val="0000FF"/>
            <w:u w:val="single"/>
            <w:rtl/>
          </w:rPr>
          <w:t>ת״פ (מחוזי ב״ש) 41832-08-24</w:t>
        </w:r>
      </w:hyperlink>
      <w:r>
        <w:rPr>
          <w:rFonts w:ascii="David" w:hAnsi="David"/>
          <w:rtl/>
        </w:rPr>
        <w:t xml:space="preserve"> </w:t>
      </w:r>
      <w:r>
        <w:rPr>
          <w:rFonts w:ascii="David" w:hAnsi="David"/>
          <w:b/>
          <w:bCs/>
          <w:rtl/>
        </w:rPr>
        <w:t xml:space="preserve">מדינת ישראל נ׳ סימונס </w:t>
      </w:r>
      <w:r>
        <w:rPr>
          <w:rFonts w:ascii="David" w:hAnsi="David"/>
          <w:rtl/>
        </w:rPr>
        <w:t xml:space="preserve">(7.1.2025) - הנאשם הורשע על יסוד הודאתו בעבירה של נשיאת נשק ותחמושת לפי </w:t>
      </w:r>
      <w:hyperlink r:id="rId27" w:history="1">
        <w:r w:rsidR="00A71673" w:rsidRPr="00A71673">
          <w:rPr>
            <w:rStyle w:val="Hyperlink"/>
            <w:rFonts w:ascii="David" w:hAnsi="David"/>
            <w:color w:val="0000FF"/>
            <w:rtl/>
          </w:rPr>
          <w:t>סעיף 144(ב)</w:t>
        </w:r>
      </w:hyperlink>
      <w:r>
        <w:rPr>
          <w:rFonts w:ascii="David" w:hAnsi="David"/>
          <w:rtl/>
        </w:rPr>
        <w:t xml:space="preserve"> רישא וסיפא ל</w:t>
      </w:r>
      <w:hyperlink r:id="rId28" w:history="1">
        <w:r w:rsidR="005D7318" w:rsidRPr="005D7318">
          <w:rPr>
            <w:rFonts w:ascii="David" w:hAnsi="David"/>
            <w:color w:val="0000FF"/>
            <w:u w:val="single"/>
            <w:rtl/>
          </w:rPr>
          <w:t>חוק העונשין</w:t>
        </w:r>
      </w:hyperlink>
      <w:r>
        <w:rPr>
          <w:rFonts w:ascii="David" w:hAnsi="David"/>
          <w:rtl/>
        </w:rPr>
        <w:t xml:space="preserve">. הנאשם נהג ברכב שבבעלותו כשהוא נושא ומוביל עמו מתחת למושב הנהג אקדח, ובתוכו מחסנית המכילה 7 כדורים. במקרה זה קבעתי </w:t>
      </w:r>
      <w:r>
        <w:rPr>
          <w:rFonts w:ascii="David" w:hAnsi="David"/>
          <w:b/>
          <w:bCs/>
          <w:rtl/>
        </w:rPr>
        <w:t>מתחם ענישה הנע בין 28 ל-52 חודשי מאסר</w:t>
      </w:r>
      <w:r>
        <w:rPr>
          <w:rFonts w:ascii="David" w:hAnsi="David"/>
          <w:rtl/>
        </w:rPr>
        <w:t xml:space="preserve">, וגזרתי על הנאשם עונש של </w:t>
      </w:r>
      <w:r>
        <w:rPr>
          <w:rFonts w:ascii="David" w:hAnsi="David"/>
          <w:b/>
          <w:bCs/>
          <w:rtl/>
        </w:rPr>
        <w:t>32 חודשי מאסר</w:t>
      </w:r>
      <w:r>
        <w:rPr>
          <w:rFonts w:ascii="David" w:hAnsi="David"/>
          <w:rtl/>
        </w:rPr>
        <w:t xml:space="preserve"> בשים לב לעברו הפלילי, תוך שקבעתי כי מכיוון שמדובר בעבירות שהתיישנו, השפעת עברו הפלילי של הנאשם על מיקומו במתחם הענישה אינה דרמטית.</w:t>
      </w:r>
    </w:p>
    <w:p w14:paraId="4C7AF564" w14:textId="77777777" w:rsidR="007A0DE4" w:rsidRDefault="007A0DE4" w:rsidP="007A0DE4">
      <w:pPr>
        <w:spacing w:line="360" w:lineRule="auto"/>
        <w:ind w:left="720" w:hanging="720"/>
        <w:jc w:val="both"/>
        <w:rPr>
          <w:rFonts w:ascii="David" w:hAnsi="David"/>
          <w:rtl/>
        </w:rPr>
      </w:pPr>
    </w:p>
    <w:p w14:paraId="2424D97E" w14:textId="77777777" w:rsidR="007A0DE4" w:rsidRPr="00163EBE" w:rsidRDefault="007A0DE4" w:rsidP="007A0DE4">
      <w:pPr>
        <w:spacing w:line="360" w:lineRule="auto"/>
        <w:ind w:left="720"/>
        <w:jc w:val="both"/>
        <w:rPr>
          <w:rFonts w:ascii="David" w:hAnsi="David"/>
          <w:b/>
          <w:bCs/>
          <w:rtl/>
        </w:rPr>
      </w:pPr>
      <w:r w:rsidRPr="00163EBE">
        <w:rPr>
          <w:rFonts w:ascii="David" w:hAnsi="David" w:hint="cs"/>
          <w:b/>
          <w:bCs/>
          <w:rtl/>
        </w:rPr>
        <w:t>המקרים שלעיל קלים מענייננו, שכן בהם מדובר בנשיאה והובלה של אקדח אחד ותחמושת, בעוד שבענייננו הנאשם נשא והוביל שני אקדחים ותחמושת.</w:t>
      </w:r>
    </w:p>
    <w:p w14:paraId="34B87A49" w14:textId="77777777" w:rsidR="007A0DE4" w:rsidRDefault="007A0DE4" w:rsidP="007A0DE4">
      <w:pPr>
        <w:spacing w:line="360" w:lineRule="auto"/>
        <w:ind w:left="720" w:hanging="720"/>
        <w:jc w:val="both"/>
        <w:rPr>
          <w:rFonts w:ascii="David" w:hAnsi="David"/>
          <w:rtl/>
        </w:rPr>
      </w:pPr>
    </w:p>
    <w:p w14:paraId="24380F40" w14:textId="77777777" w:rsidR="007A0DE4" w:rsidRDefault="007A0DE4" w:rsidP="007A0DE4">
      <w:pPr>
        <w:spacing w:line="360" w:lineRule="auto"/>
        <w:ind w:left="720" w:hanging="720"/>
        <w:jc w:val="both"/>
        <w:rPr>
          <w:rFonts w:ascii="David" w:hAnsi="David"/>
          <w:rtl/>
        </w:rPr>
      </w:pPr>
      <w:r>
        <w:rPr>
          <w:rFonts w:ascii="David" w:hAnsi="David"/>
          <w:rtl/>
        </w:rPr>
        <w:tab/>
      </w:r>
      <w:hyperlink r:id="rId29" w:history="1">
        <w:r w:rsidR="005D7318" w:rsidRPr="005D7318">
          <w:rPr>
            <w:rFonts w:ascii="David" w:hAnsi="David"/>
            <w:color w:val="0000FF"/>
            <w:u w:val="single"/>
            <w:rtl/>
          </w:rPr>
          <w:t>ת"פ (מחוזי חיפה) 39808-05-23</w:t>
        </w:r>
      </w:hyperlink>
      <w:r>
        <w:rPr>
          <w:rFonts w:ascii="David" w:hAnsi="David"/>
          <w:rtl/>
        </w:rPr>
        <w:t xml:space="preserve"> </w:t>
      </w:r>
      <w:r>
        <w:rPr>
          <w:rFonts w:ascii="David" w:hAnsi="David"/>
          <w:b/>
          <w:bCs/>
          <w:rtl/>
        </w:rPr>
        <w:t>מדינת ישראל נ' זיבאק</w:t>
      </w:r>
      <w:r>
        <w:rPr>
          <w:rFonts w:ascii="David" w:hAnsi="David"/>
          <w:rtl/>
        </w:rPr>
        <w:t xml:space="preserve"> (10.6.2024) - הנאשמים הורשעו על יסוד הודאתם בעבירות של נשיאה והובל</w:t>
      </w:r>
      <w:r>
        <w:rPr>
          <w:rFonts w:ascii="David" w:hAnsi="David" w:hint="cs"/>
          <w:rtl/>
        </w:rPr>
        <w:t>ה של</w:t>
      </w:r>
      <w:r>
        <w:rPr>
          <w:rFonts w:ascii="David" w:hAnsi="David"/>
          <w:rtl/>
        </w:rPr>
        <w:t xml:space="preserve"> נשק בצוותא לפי </w:t>
      </w:r>
      <w:hyperlink r:id="rId30" w:history="1">
        <w:r w:rsidR="00A71673" w:rsidRPr="00A71673">
          <w:rPr>
            <w:rStyle w:val="Hyperlink"/>
            <w:rFonts w:ascii="David" w:hAnsi="David"/>
            <w:color w:val="0000FF"/>
            <w:rtl/>
          </w:rPr>
          <w:t>144(ב)</w:t>
        </w:r>
      </w:hyperlink>
      <w:r>
        <w:rPr>
          <w:rFonts w:ascii="David" w:hAnsi="David"/>
          <w:rtl/>
        </w:rPr>
        <w:t xml:space="preserve"> רישא וסיפא ל</w:t>
      </w:r>
      <w:hyperlink r:id="rId31" w:history="1">
        <w:r w:rsidR="005D7318" w:rsidRPr="005D7318">
          <w:rPr>
            <w:rFonts w:ascii="David" w:hAnsi="David"/>
            <w:color w:val="0000FF"/>
            <w:u w:val="single"/>
            <w:rtl/>
          </w:rPr>
          <w:t>חוק העונשין</w:t>
        </w:r>
      </w:hyperlink>
      <w:r>
        <w:rPr>
          <w:rFonts w:ascii="David" w:hAnsi="David"/>
          <w:rtl/>
        </w:rPr>
        <w:t xml:space="preserve">, ובשימוש ברכב ללא רשות ונטישה במקום אחר בצוותא לפי </w:t>
      </w:r>
      <w:hyperlink r:id="rId32" w:history="1">
        <w:r w:rsidR="00A71673" w:rsidRPr="00A71673">
          <w:rPr>
            <w:rStyle w:val="Hyperlink"/>
            <w:rFonts w:ascii="David" w:hAnsi="David"/>
            <w:color w:val="0000FF"/>
            <w:rtl/>
          </w:rPr>
          <w:t>סעיף 413ג</w:t>
        </w:r>
      </w:hyperlink>
      <w:r>
        <w:rPr>
          <w:rFonts w:ascii="David" w:hAnsi="David"/>
          <w:rtl/>
        </w:rPr>
        <w:t xml:space="preserve"> לחוק העונשין. במקרה זה דובר בנשיאה והובלה של שני אקדחים טעונים במחסנית, כשאחת המחסניות הכילה 8 כדורים והשנייה 14 כדורים. בית המשפט המחוזי קבע </w:t>
      </w:r>
      <w:r>
        <w:rPr>
          <w:rFonts w:ascii="David" w:hAnsi="David"/>
          <w:b/>
          <w:bCs/>
          <w:rtl/>
        </w:rPr>
        <w:t>מתחם עונש הולם הנע בין 36 ל- 54 חודשי מאסר בפועל</w:t>
      </w:r>
      <w:r>
        <w:rPr>
          <w:rFonts w:ascii="David" w:hAnsi="David"/>
          <w:rtl/>
        </w:rPr>
        <w:t xml:space="preserve">, והשית על הנאשם 1 (שלא צירף תיקים נוספים) </w:t>
      </w:r>
      <w:r>
        <w:rPr>
          <w:rFonts w:ascii="David" w:hAnsi="David"/>
          <w:b/>
          <w:bCs/>
          <w:rtl/>
        </w:rPr>
        <w:t>36 חודשי מאסר בפועל</w:t>
      </w:r>
      <w:r>
        <w:rPr>
          <w:rFonts w:ascii="David" w:hAnsi="David"/>
          <w:rtl/>
        </w:rPr>
        <w:t>, לצד עונשים נלווים.</w:t>
      </w:r>
    </w:p>
    <w:p w14:paraId="15ADBDBB" w14:textId="77777777" w:rsidR="007A0DE4" w:rsidRDefault="007A0DE4" w:rsidP="007A0DE4">
      <w:pPr>
        <w:spacing w:line="360" w:lineRule="auto"/>
        <w:ind w:left="720" w:hanging="720"/>
        <w:jc w:val="both"/>
        <w:rPr>
          <w:rFonts w:ascii="David" w:hAnsi="David"/>
          <w:rtl/>
        </w:rPr>
      </w:pPr>
    </w:p>
    <w:p w14:paraId="45545A3E" w14:textId="77777777" w:rsidR="007A0DE4" w:rsidRDefault="007A0DE4" w:rsidP="007A0DE4">
      <w:pPr>
        <w:spacing w:line="360" w:lineRule="auto"/>
        <w:ind w:left="720" w:hanging="720"/>
        <w:jc w:val="both"/>
        <w:rPr>
          <w:rFonts w:ascii="David" w:hAnsi="David"/>
        </w:rPr>
      </w:pPr>
      <w:r>
        <w:rPr>
          <w:rFonts w:ascii="David" w:hAnsi="David"/>
          <w:rtl/>
        </w:rPr>
        <w:tab/>
        <w:t xml:space="preserve">על בסיס האמור לעיל, ראיתי לקבוע </w:t>
      </w:r>
      <w:r>
        <w:rPr>
          <w:rFonts w:ascii="David" w:hAnsi="David"/>
          <w:b/>
          <w:bCs/>
          <w:rtl/>
        </w:rPr>
        <w:t>מתחם עונש הנע בין 3</w:t>
      </w:r>
      <w:r>
        <w:rPr>
          <w:rFonts w:ascii="David" w:hAnsi="David" w:hint="cs"/>
          <w:b/>
          <w:bCs/>
          <w:rtl/>
        </w:rPr>
        <w:t>5</w:t>
      </w:r>
      <w:r>
        <w:rPr>
          <w:rFonts w:ascii="David" w:hAnsi="David"/>
          <w:b/>
          <w:bCs/>
          <w:rtl/>
        </w:rPr>
        <w:t xml:space="preserve"> ל-</w:t>
      </w:r>
      <w:r>
        <w:rPr>
          <w:rFonts w:ascii="David" w:hAnsi="David" w:hint="cs"/>
          <w:b/>
          <w:bCs/>
          <w:rtl/>
        </w:rPr>
        <w:t>55</w:t>
      </w:r>
      <w:r>
        <w:rPr>
          <w:rFonts w:ascii="David" w:hAnsi="David"/>
          <w:b/>
          <w:bCs/>
          <w:rtl/>
        </w:rPr>
        <w:t xml:space="preserve"> חודשי מאסר</w:t>
      </w:r>
      <w:r>
        <w:rPr>
          <w:rFonts w:ascii="David" w:hAnsi="David"/>
          <w:rtl/>
        </w:rPr>
        <w:t>.</w:t>
      </w:r>
    </w:p>
    <w:p w14:paraId="5016D5EA" w14:textId="77777777" w:rsidR="007A0DE4" w:rsidRDefault="007A0DE4" w:rsidP="007A0DE4">
      <w:pPr>
        <w:spacing w:line="360" w:lineRule="auto"/>
        <w:ind w:left="720" w:hanging="720"/>
        <w:jc w:val="both"/>
        <w:rPr>
          <w:rFonts w:ascii="David" w:hAnsi="David"/>
          <w:rtl/>
        </w:rPr>
      </w:pPr>
    </w:p>
    <w:p w14:paraId="1719403C" w14:textId="77777777" w:rsidR="007A0DE4" w:rsidRDefault="007A0DE4" w:rsidP="007A0DE4">
      <w:pPr>
        <w:spacing w:line="360" w:lineRule="auto"/>
        <w:ind w:left="720" w:hanging="720"/>
        <w:jc w:val="both"/>
        <w:rPr>
          <w:rFonts w:ascii="David" w:hAnsi="David"/>
          <w:rtl/>
        </w:rPr>
      </w:pPr>
      <w:r>
        <w:rPr>
          <w:rFonts w:ascii="David" w:hAnsi="David"/>
          <w:rtl/>
        </w:rPr>
        <w:t>10.</w:t>
      </w:r>
      <w:r>
        <w:rPr>
          <w:rFonts w:ascii="David" w:hAnsi="David"/>
          <w:b/>
          <w:bCs/>
          <w:rtl/>
        </w:rPr>
        <w:tab/>
      </w:r>
      <w:r>
        <w:rPr>
          <w:rFonts w:ascii="David" w:hAnsi="David"/>
          <w:rtl/>
        </w:rPr>
        <w:t xml:space="preserve">בקביעת מיקומו של הנאשם בתוך מתחם העונש שנקבע, </w:t>
      </w:r>
      <w:r>
        <w:rPr>
          <w:rFonts w:ascii="David" w:hAnsi="David" w:hint="cs"/>
          <w:rtl/>
        </w:rPr>
        <w:t xml:space="preserve">ראיתי להתייחס למאפיינים הבאים: </w:t>
      </w:r>
    </w:p>
    <w:p w14:paraId="3EC2098D" w14:textId="77777777" w:rsidR="007A0DE4" w:rsidRDefault="007A0DE4" w:rsidP="007A0DE4">
      <w:pPr>
        <w:spacing w:line="360" w:lineRule="auto"/>
        <w:ind w:left="720" w:hanging="720"/>
        <w:jc w:val="both"/>
        <w:rPr>
          <w:rFonts w:ascii="David" w:hAnsi="David"/>
          <w:rtl/>
        </w:rPr>
      </w:pPr>
    </w:p>
    <w:p w14:paraId="34F53233" w14:textId="77777777" w:rsidR="007A0DE4" w:rsidRDefault="007A0DE4" w:rsidP="007A0DE4">
      <w:pPr>
        <w:spacing w:line="360" w:lineRule="auto"/>
        <w:ind w:left="720" w:hanging="720"/>
        <w:jc w:val="both"/>
        <w:rPr>
          <w:rFonts w:ascii="David" w:hAnsi="David"/>
          <w:rtl/>
        </w:rPr>
      </w:pPr>
      <w:r>
        <w:rPr>
          <w:rFonts w:ascii="David" w:hAnsi="David"/>
          <w:rtl/>
        </w:rPr>
        <w:tab/>
      </w:r>
      <w:r w:rsidRPr="00AD1D9F">
        <w:rPr>
          <w:rFonts w:ascii="David" w:hAnsi="David" w:hint="cs"/>
          <w:b/>
          <w:bCs/>
          <w:rtl/>
        </w:rPr>
        <w:t>הודאה וקבלת אחריות</w:t>
      </w:r>
      <w:r>
        <w:rPr>
          <w:rFonts w:ascii="David" w:hAnsi="David" w:hint="cs"/>
          <w:rtl/>
        </w:rPr>
        <w:t xml:space="preserve"> - הנאשם הודה בכתב האישום המתוקן וקיבל אחריות על מעשיו, ואף חסך בזמן ציבורי יקר. יש בנתון זה כדי להשפיע לקולא על מיקומו של הנאשם במתחם הענישה. </w:t>
      </w:r>
    </w:p>
    <w:p w14:paraId="3D93AF69" w14:textId="77777777" w:rsidR="007A0DE4" w:rsidRDefault="007A0DE4" w:rsidP="007A0DE4">
      <w:pPr>
        <w:spacing w:line="360" w:lineRule="auto"/>
        <w:ind w:left="720" w:hanging="720"/>
        <w:jc w:val="both"/>
        <w:rPr>
          <w:rFonts w:ascii="David" w:hAnsi="David"/>
          <w:rtl/>
        </w:rPr>
      </w:pPr>
    </w:p>
    <w:p w14:paraId="65BD23A9" w14:textId="77777777" w:rsidR="007A0DE4" w:rsidRDefault="007A0DE4" w:rsidP="007A0DE4">
      <w:pPr>
        <w:spacing w:line="360" w:lineRule="auto"/>
        <w:ind w:left="720" w:hanging="720"/>
        <w:jc w:val="both"/>
        <w:rPr>
          <w:rFonts w:ascii="David" w:hAnsi="David"/>
          <w:rtl/>
        </w:rPr>
      </w:pPr>
      <w:r>
        <w:rPr>
          <w:rFonts w:ascii="David" w:hAnsi="David"/>
          <w:rtl/>
        </w:rPr>
        <w:tab/>
      </w:r>
      <w:r w:rsidRPr="00AD1D9F">
        <w:rPr>
          <w:rFonts w:ascii="David" w:hAnsi="David" w:hint="cs"/>
          <w:b/>
          <w:bCs/>
          <w:rtl/>
        </w:rPr>
        <w:t>עבר פלילי</w:t>
      </w:r>
      <w:r>
        <w:rPr>
          <w:rFonts w:ascii="David" w:hAnsi="David" w:hint="cs"/>
          <w:rtl/>
        </w:rPr>
        <w:t xml:space="preserve"> - לחובתו של הנאשם שתי הרשעות בעבירות של </w:t>
      </w:r>
      <w:r w:rsidRPr="00123030">
        <w:rPr>
          <w:rFonts w:ascii="David" w:hAnsi="David" w:hint="cs"/>
          <w:u w:val="single"/>
          <w:rtl/>
        </w:rPr>
        <w:t xml:space="preserve">תקיפה </w:t>
      </w:r>
      <w:r w:rsidRPr="00E10CD6">
        <w:rPr>
          <w:rFonts w:ascii="David" w:hAnsi="David" w:hint="cs"/>
          <w:u w:val="single"/>
          <w:rtl/>
        </w:rPr>
        <w:t>סתם</w:t>
      </w:r>
      <w:r>
        <w:rPr>
          <w:rFonts w:ascii="David" w:hAnsi="David" w:hint="cs"/>
          <w:rtl/>
        </w:rPr>
        <w:t xml:space="preserve"> </w:t>
      </w:r>
      <w:r w:rsidRPr="00E10CD6">
        <w:rPr>
          <w:rFonts w:ascii="David" w:hAnsi="David" w:hint="cs"/>
          <w:u w:val="single"/>
          <w:rtl/>
        </w:rPr>
        <w:t>ו</w:t>
      </w:r>
      <w:r>
        <w:rPr>
          <w:rFonts w:ascii="David" w:hAnsi="David" w:hint="cs"/>
          <w:u w:val="single"/>
          <w:rtl/>
        </w:rPr>
        <w:t>החזקת סם</w:t>
      </w:r>
      <w:r w:rsidRPr="00123030">
        <w:rPr>
          <w:rFonts w:ascii="David" w:hAnsi="David" w:hint="cs"/>
          <w:u w:val="single"/>
          <w:rtl/>
        </w:rPr>
        <w:t xml:space="preserve"> לצריכה עצמית</w:t>
      </w:r>
      <w:r>
        <w:rPr>
          <w:rFonts w:ascii="David" w:hAnsi="David" w:hint="cs"/>
          <w:rtl/>
        </w:rPr>
        <w:t xml:space="preserve"> בהן הואשם לפני כעשור (בשנת 2014 ובשנת 2016 בהתאמה), אשר בגינן הוטלו על הנאשם מאסרים מותנים לתקופה של שלושה חודשים. מדובר בעבר פלילי ישן הרחוק מלהיות מכביד, ומשכך, אין בנתון זה כדי להשפיע באופן משמעותי על מיקומו של הנאשם במתחם הענישה.</w:t>
      </w:r>
    </w:p>
    <w:p w14:paraId="240E0667" w14:textId="77777777" w:rsidR="007A0DE4" w:rsidRDefault="007A0DE4" w:rsidP="007A0DE4">
      <w:pPr>
        <w:spacing w:line="360" w:lineRule="auto"/>
        <w:ind w:left="720" w:hanging="720"/>
        <w:jc w:val="both"/>
        <w:rPr>
          <w:rFonts w:ascii="David" w:hAnsi="David"/>
          <w:rtl/>
        </w:rPr>
      </w:pPr>
    </w:p>
    <w:p w14:paraId="4918687F" w14:textId="77777777" w:rsidR="007A0DE4" w:rsidRDefault="007A0DE4" w:rsidP="007A0DE4">
      <w:pPr>
        <w:spacing w:line="360" w:lineRule="auto"/>
        <w:ind w:left="720" w:hanging="720"/>
        <w:jc w:val="both"/>
        <w:rPr>
          <w:rFonts w:ascii="David" w:hAnsi="David"/>
          <w:rtl/>
        </w:rPr>
      </w:pPr>
      <w:r>
        <w:rPr>
          <w:rFonts w:ascii="David" w:hAnsi="David"/>
          <w:rtl/>
        </w:rPr>
        <w:tab/>
      </w:r>
      <w:r w:rsidRPr="00AD1D9F">
        <w:rPr>
          <w:rFonts w:ascii="David" w:hAnsi="David" w:hint="cs"/>
          <w:b/>
          <w:bCs/>
          <w:rtl/>
        </w:rPr>
        <w:t>נסיבותיו האישיות של הנאשם</w:t>
      </w:r>
      <w:r>
        <w:rPr>
          <w:rFonts w:ascii="David" w:hAnsi="David" w:hint="cs"/>
          <w:rtl/>
        </w:rPr>
        <w:t xml:space="preserve"> - במכלול השיקולים אף לקחתי בחשבון את נסיבותיו האישיות של הנאשם, אב לשלושה ילדים קטינים, המבטא שאיפות לתפקוד תקין ומהווה המפרנס היחיד במשפחתו, כפי שאלו השתקפו בתסקיר שירות המבחן. </w:t>
      </w:r>
    </w:p>
    <w:p w14:paraId="486DAA20" w14:textId="77777777" w:rsidR="007A0DE4" w:rsidRDefault="007A0DE4" w:rsidP="007A0DE4">
      <w:pPr>
        <w:spacing w:line="360" w:lineRule="auto"/>
        <w:ind w:left="720" w:hanging="720"/>
        <w:jc w:val="both"/>
        <w:rPr>
          <w:rFonts w:ascii="David" w:hAnsi="David"/>
          <w:rtl/>
        </w:rPr>
      </w:pPr>
    </w:p>
    <w:p w14:paraId="32246D3C" w14:textId="77777777" w:rsidR="007A0DE4" w:rsidRDefault="007A0DE4" w:rsidP="007A0DE4">
      <w:pPr>
        <w:spacing w:line="360" w:lineRule="auto"/>
        <w:jc w:val="both"/>
        <w:rPr>
          <w:rFonts w:ascii="David" w:hAnsi="David"/>
          <w:rtl/>
        </w:rPr>
      </w:pPr>
      <w:r>
        <w:rPr>
          <w:rFonts w:ascii="David" w:hAnsi="David"/>
          <w:rtl/>
        </w:rPr>
        <w:t>11.</w:t>
      </w:r>
      <w:r>
        <w:rPr>
          <w:rFonts w:ascii="David" w:hAnsi="David"/>
          <w:rtl/>
        </w:rPr>
        <w:tab/>
        <w:t xml:space="preserve">לאור </w:t>
      </w:r>
      <w:r>
        <w:rPr>
          <w:rFonts w:ascii="David" w:hAnsi="David" w:hint="cs"/>
          <w:rtl/>
        </w:rPr>
        <w:t>כ</w:t>
      </w:r>
      <w:r>
        <w:rPr>
          <w:rFonts w:ascii="David" w:hAnsi="David"/>
          <w:rtl/>
        </w:rPr>
        <w:t xml:space="preserve">ל האמור לעיל, ראיתי לגזור על הנאשם את העונשים הבאים: </w:t>
      </w:r>
    </w:p>
    <w:p w14:paraId="3A7F67F2" w14:textId="77777777" w:rsidR="007A0DE4" w:rsidRDefault="007A0DE4" w:rsidP="007A0DE4">
      <w:pPr>
        <w:spacing w:line="360" w:lineRule="auto"/>
        <w:jc w:val="both"/>
        <w:rPr>
          <w:rFonts w:ascii="David" w:hAnsi="David"/>
          <w:rtl/>
        </w:rPr>
      </w:pPr>
    </w:p>
    <w:p w14:paraId="44C37DE3" w14:textId="77777777" w:rsidR="007A0DE4" w:rsidRDefault="007A0DE4" w:rsidP="007A0DE4">
      <w:pPr>
        <w:spacing w:line="360" w:lineRule="auto"/>
        <w:jc w:val="both"/>
        <w:rPr>
          <w:rFonts w:ascii="David" w:hAnsi="David"/>
          <w:rtl/>
        </w:rPr>
      </w:pPr>
      <w:r>
        <w:rPr>
          <w:rFonts w:ascii="David" w:hAnsi="David" w:hint="cs"/>
          <w:rtl/>
        </w:rPr>
        <w:t>א.</w:t>
      </w:r>
      <w:r>
        <w:rPr>
          <w:rFonts w:ascii="David" w:hAnsi="David"/>
          <w:rtl/>
        </w:rPr>
        <w:tab/>
      </w:r>
      <w:r w:rsidRPr="009A597C">
        <w:rPr>
          <w:rFonts w:ascii="David" w:hAnsi="David" w:hint="cs"/>
          <w:b/>
          <w:bCs/>
          <w:rtl/>
        </w:rPr>
        <w:t>3</w:t>
      </w:r>
      <w:r>
        <w:rPr>
          <w:rFonts w:ascii="David" w:hAnsi="David" w:hint="cs"/>
          <w:b/>
          <w:bCs/>
          <w:rtl/>
        </w:rPr>
        <w:t>5 חודשים ו-21 ימי מעצר</w:t>
      </w:r>
      <w:r w:rsidRPr="009A597C">
        <w:rPr>
          <w:rFonts w:ascii="David" w:hAnsi="David" w:hint="cs"/>
          <w:b/>
          <w:bCs/>
          <w:rtl/>
        </w:rPr>
        <w:t xml:space="preserve"> לריצוי בפועל</w:t>
      </w:r>
      <w:r>
        <w:rPr>
          <w:rFonts w:ascii="David" w:hAnsi="David" w:hint="cs"/>
          <w:rtl/>
        </w:rPr>
        <w:t>, החל מיום מעצרו בהתאם לרישומי שב"ס.</w:t>
      </w:r>
    </w:p>
    <w:p w14:paraId="1AC1588A" w14:textId="77777777" w:rsidR="007A0DE4" w:rsidRDefault="007A0DE4" w:rsidP="007A0DE4">
      <w:pPr>
        <w:spacing w:line="360" w:lineRule="auto"/>
        <w:jc w:val="both"/>
        <w:rPr>
          <w:rFonts w:ascii="David" w:hAnsi="David"/>
          <w:rtl/>
        </w:rPr>
      </w:pPr>
    </w:p>
    <w:p w14:paraId="066E6F44" w14:textId="77777777" w:rsidR="007A0DE4" w:rsidRDefault="007A0DE4" w:rsidP="007A0DE4">
      <w:pPr>
        <w:spacing w:line="360" w:lineRule="auto"/>
        <w:ind w:left="720" w:hanging="720"/>
        <w:jc w:val="both"/>
        <w:rPr>
          <w:rFonts w:ascii="David" w:hAnsi="David"/>
          <w:rtl/>
        </w:rPr>
      </w:pPr>
      <w:r>
        <w:rPr>
          <w:rFonts w:ascii="David" w:hAnsi="David" w:hint="cs"/>
          <w:rtl/>
        </w:rPr>
        <w:t>ב.</w:t>
      </w:r>
      <w:r>
        <w:rPr>
          <w:rFonts w:ascii="David" w:hAnsi="David"/>
          <w:rtl/>
        </w:rPr>
        <w:tab/>
      </w:r>
      <w:r>
        <w:rPr>
          <w:rFonts w:ascii="David" w:hAnsi="David" w:hint="cs"/>
          <w:rtl/>
        </w:rPr>
        <w:t xml:space="preserve">9 חודשי מאסר אולם הנאשם לא יישא עונש זה אלא אם יעבור תוך שלוש שנים מיום שחרורו עבירת נשק מסוג פשע או עבירת אלימות נגד הגוף מסוג פשע. </w:t>
      </w:r>
    </w:p>
    <w:p w14:paraId="55AF41F8" w14:textId="77777777" w:rsidR="007A0DE4" w:rsidRDefault="007A0DE4" w:rsidP="007A0DE4">
      <w:pPr>
        <w:spacing w:line="360" w:lineRule="auto"/>
        <w:jc w:val="both"/>
        <w:rPr>
          <w:rFonts w:ascii="David" w:hAnsi="David"/>
          <w:rtl/>
        </w:rPr>
      </w:pPr>
    </w:p>
    <w:p w14:paraId="3F829EC3" w14:textId="77777777" w:rsidR="007A0DE4" w:rsidRDefault="007A0DE4" w:rsidP="007A0DE4">
      <w:pPr>
        <w:spacing w:line="360" w:lineRule="auto"/>
        <w:ind w:left="720" w:hanging="720"/>
        <w:jc w:val="both"/>
        <w:rPr>
          <w:rFonts w:ascii="David" w:hAnsi="David"/>
          <w:rtl/>
        </w:rPr>
      </w:pPr>
      <w:r>
        <w:rPr>
          <w:rFonts w:ascii="David" w:hAnsi="David" w:hint="cs"/>
          <w:rtl/>
        </w:rPr>
        <w:t>ג.</w:t>
      </w:r>
      <w:r>
        <w:rPr>
          <w:rFonts w:ascii="David" w:hAnsi="David"/>
          <w:rtl/>
        </w:rPr>
        <w:tab/>
      </w:r>
      <w:r>
        <w:rPr>
          <w:rFonts w:ascii="David" w:hAnsi="David" w:hint="cs"/>
          <w:rtl/>
        </w:rPr>
        <w:t>5 חודשי מאסר אולם הנאשם לא יישא עונש זה אלא אם יעבור תוך שלוש שנים מיום שחרורו עבירת אלימות נגד הגוף מסוג עוון.</w:t>
      </w:r>
    </w:p>
    <w:p w14:paraId="11116640" w14:textId="77777777" w:rsidR="007A0DE4" w:rsidRDefault="007A0DE4" w:rsidP="007A0DE4">
      <w:pPr>
        <w:spacing w:line="360" w:lineRule="auto"/>
        <w:jc w:val="both"/>
        <w:rPr>
          <w:rFonts w:ascii="David" w:hAnsi="David"/>
          <w:rtl/>
        </w:rPr>
      </w:pPr>
    </w:p>
    <w:p w14:paraId="638C5CB2" w14:textId="77777777" w:rsidR="007A0DE4" w:rsidRDefault="007A0DE4" w:rsidP="007A0DE4">
      <w:pPr>
        <w:spacing w:line="360" w:lineRule="auto"/>
        <w:jc w:val="both"/>
        <w:rPr>
          <w:rFonts w:ascii="David" w:hAnsi="David"/>
          <w:rtl/>
        </w:rPr>
      </w:pPr>
      <w:r>
        <w:rPr>
          <w:rFonts w:ascii="David" w:hAnsi="David" w:hint="cs"/>
          <w:rtl/>
        </w:rPr>
        <w:t>ד.</w:t>
      </w:r>
      <w:r>
        <w:rPr>
          <w:rFonts w:ascii="David" w:hAnsi="David"/>
          <w:rtl/>
        </w:rPr>
        <w:tab/>
      </w:r>
      <w:r>
        <w:rPr>
          <w:rFonts w:ascii="David" w:hAnsi="David" w:hint="cs"/>
          <w:rtl/>
        </w:rPr>
        <w:t>קנס כספי בסך 8,000 ₪ או 40 ימי מאסר תמורתו, אשר ישולם ב-8 תשלומים חודשיים שווים החל מיום</w:t>
      </w:r>
      <w:r>
        <w:rPr>
          <w:rFonts w:ascii="David" w:hAnsi="David"/>
          <w:rtl/>
        </w:rPr>
        <w:tab/>
      </w:r>
      <w:r>
        <w:rPr>
          <w:rFonts w:ascii="David" w:hAnsi="David" w:hint="cs"/>
          <w:rtl/>
        </w:rPr>
        <w:t xml:space="preserve">1.9.25 ועד לסיום התשלומים. </w:t>
      </w:r>
    </w:p>
    <w:p w14:paraId="1ACD0264" w14:textId="77777777" w:rsidR="007A0DE4" w:rsidRDefault="007A0DE4" w:rsidP="007A0DE4">
      <w:pPr>
        <w:spacing w:line="360" w:lineRule="auto"/>
        <w:rPr>
          <w:rtl/>
        </w:rPr>
      </w:pPr>
    </w:p>
    <w:p w14:paraId="45E1751E" w14:textId="77777777" w:rsidR="007A0DE4" w:rsidRDefault="007A0DE4" w:rsidP="007A0DE4">
      <w:pPr>
        <w:spacing w:line="360" w:lineRule="auto"/>
        <w:rPr>
          <w:rtl/>
        </w:rPr>
      </w:pPr>
      <w:r>
        <w:rPr>
          <w:rtl/>
        </w:rPr>
        <w:t xml:space="preserve">ניתן צו כללי למוצגים לשיקול </w:t>
      </w:r>
      <w:r>
        <w:rPr>
          <w:rFonts w:hint="cs"/>
          <w:rtl/>
        </w:rPr>
        <w:t xml:space="preserve">דעת </w:t>
      </w:r>
      <w:r>
        <w:rPr>
          <w:rtl/>
        </w:rPr>
        <w:t>קצין משטרה ו/או התביעה.</w:t>
      </w:r>
    </w:p>
    <w:p w14:paraId="7556E1FA" w14:textId="77777777" w:rsidR="007A0DE4" w:rsidRDefault="007A0DE4" w:rsidP="007A0DE4">
      <w:pPr>
        <w:spacing w:line="360" w:lineRule="auto"/>
        <w:rPr>
          <w:rtl/>
        </w:rPr>
      </w:pPr>
    </w:p>
    <w:p w14:paraId="21282B1C" w14:textId="77777777" w:rsidR="007A0DE4" w:rsidRPr="00B05847" w:rsidRDefault="007A0DE4" w:rsidP="007A0DE4">
      <w:pPr>
        <w:spacing w:line="360" w:lineRule="auto"/>
        <w:rPr>
          <w:rtl/>
        </w:rPr>
      </w:pPr>
      <w:r>
        <w:rPr>
          <w:rtl/>
        </w:rPr>
        <w:t>זכות ערעור כחוק.</w:t>
      </w:r>
    </w:p>
    <w:p w14:paraId="1D0A8B3E" w14:textId="77777777" w:rsidR="007A0DE4" w:rsidRDefault="007A0DE4" w:rsidP="007A0DE4">
      <w:pPr>
        <w:spacing w:line="360" w:lineRule="auto"/>
        <w:jc w:val="both"/>
        <w:rPr>
          <w:rFonts w:ascii="Arial" w:hAnsi="Arial"/>
          <w:rtl/>
        </w:rPr>
      </w:pPr>
    </w:p>
    <w:p w14:paraId="388C9A99" w14:textId="77777777" w:rsidR="007A0DE4" w:rsidRPr="00250B83" w:rsidRDefault="005D7318" w:rsidP="007A0DE4">
      <w:pPr>
        <w:spacing w:line="360" w:lineRule="auto"/>
        <w:rPr>
          <w:rtl/>
        </w:rPr>
      </w:pPr>
      <w:bookmarkStart w:id="8" w:name="Nitan"/>
      <w:r w:rsidRPr="005D7318">
        <w:rPr>
          <w:rFonts w:ascii="Arial" w:hAnsi="Arial"/>
          <w:color w:val="FFFFFF"/>
          <w:sz w:val="2"/>
          <w:szCs w:val="2"/>
          <w:rtl/>
        </w:rPr>
        <w:t>5129371</w:t>
      </w:r>
      <w:r>
        <w:rPr>
          <w:rFonts w:ascii="Arial" w:hAnsi="Arial"/>
          <w:rtl/>
        </w:rPr>
        <w:t xml:space="preserve">ניתן היום, כ' שבט תשפ"ה, 18 פברואר 2025, במעמד הצדדים. </w:t>
      </w:r>
      <w:bookmarkEnd w:id="8"/>
    </w:p>
    <w:tbl>
      <w:tblPr>
        <w:tblpPr w:leftFromText="180" w:rightFromText="180" w:vertAnchor="text" w:horzAnchor="page" w:tblpX="1654" w:tblpY="119"/>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7A0DE4" w14:paraId="5E1114AF" w14:textId="77777777" w:rsidTr="007A0DE4">
        <w:trPr>
          <w:trHeight w:val="316"/>
        </w:trPr>
        <w:tc>
          <w:tcPr>
            <w:tcW w:w="3936" w:type="dxa"/>
            <w:tcBorders>
              <w:top w:val="nil"/>
              <w:left w:val="nil"/>
              <w:bottom w:val="single" w:sz="4" w:space="0" w:color="auto"/>
              <w:right w:val="nil"/>
            </w:tcBorders>
            <w:shd w:val="clear" w:color="auto" w:fill="auto"/>
            <w:vAlign w:val="bottom"/>
          </w:tcPr>
          <w:p w14:paraId="0513A798" w14:textId="77777777" w:rsidR="007A0DE4" w:rsidRPr="005D7318" w:rsidRDefault="005D7318" w:rsidP="007A0DE4">
            <w:pPr>
              <w:spacing w:line="360" w:lineRule="auto"/>
              <w:jc w:val="center"/>
              <w:rPr>
                <w:rFonts w:cs="Times New Roman"/>
                <w:color w:val="FFFFFF"/>
                <w:sz w:val="2"/>
                <w:szCs w:val="2"/>
              </w:rPr>
            </w:pPr>
            <w:r w:rsidRPr="005D7318">
              <w:rPr>
                <w:rFonts w:cs="Times New Roman"/>
                <w:color w:val="FFFFFF"/>
                <w:sz w:val="2"/>
                <w:szCs w:val="2"/>
                <w:rtl/>
              </w:rPr>
              <w:t>54678313</w:t>
            </w:r>
          </w:p>
        </w:tc>
      </w:tr>
      <w:tr w:rsidR="007A0DE4" w14:paraId="0F00EA0D" w14:textId="77777777" w:rsidTr="007A0DE4">
        <w:trPr>
          <w:trHeight w:val="361"/>
        </w:trPr>
        <w:tc>
          <w:tcPr>
            <w:tcW w:w="3936" w:type="dxa"/>
            <w:tcBorders>
              <w:top w:val="single" w:sz="4" w:space="0" w:color="auto"/>
              <w:left w:val="nil"/>
              <w:bottom w:val="nil"/>
              <w:right w:val="nil"/>
            </w:tcBorders>
            <w:shd w:val="clear" w:color="auto" w:fill="auto"/>
          </w:tcPr>
          <w:p w14:paraId="50536CB1" w14:textId="77777777" w:rsidR="007A0DE4" w:rsidRPr="007A0DE4" w:rsidRDefault="007A0DE4" w:rsidP="007A0DE4">
            <w:pPr>
              <w:spacing w:line="360" w:lineRule="auto"/>
              <w:jc w:val="center"/>
              <w:rPr>
                <w:rFonts w:ascii="David" w:hAnsi="David"/>
                <w:b/>
                <w:bCs/>
                <w:rtl/>
              </w:rPr>
            </w:pPr>
            <w:r w:rsidRPr="007A0DE4">
              <w:rPr>
                <w:rFonts w:ascii="David" w:hAnsi="David"/>
                <w:b/>
                <w:bCs/>
                <w:rtl/>
              </w:rPr>
              <w:t>בני שגיא,</w:t>
            </w:r>
            <w:r w:rsidRPr="007A0DE4">
              <w:rPr>
                <w:rFonts w:ascii="David" w:hAnsi="David" w:hint="cs"/>
                <w:b/>
                <w:bCs/>
                <w:rtl/>
              </w:rPr>
              <w:t xml:space="preserve"> שופט</w:t>
            </w:r>
          </w:p>
          <w:p w14:paraId="2B7DAA74" w14:textId="77777777" w:rsidR="007A0DE4" w:rsidRPr="007A0DE4" w:rsidRDefault="007A0DE4" w:rsidP="007A0DE4">
            <w:pPr>
              <w:spacing w:line="360" w:lineRule="auto"/>
              <w:jc w:val="center"/>
              <w:rPr>
                <w:rFonts w:ascii="David" w:hAnsi="David"/>
                <w:b/>
                <w:bCs/>
                <w:rtl/>
              </w:rPr>
            </w:pPr>
            <w:r w:rsidRPr="007A0DE4">
              <w:rPr>
                <w:rFonts w:ascii="David" w:hAnsi="David"/>
                <w:b/>
                <w:bCs/>
                <w:rtl/>
              </w:rPr>
              <w:t xml:space="preserve"> נשיא (בפועל)</w:t>
            </w:r>
          </w:p>
        </w:tc>
      </w:tr>
    </w:tbl>
    <w:p w14:paraId="311FBA42" w14:textId="77777777" w:rsidR="007A0DE4" w:rsidRPr="00250B83" w:rsidRDefault="007A0DE4" w:rsidP="007A0DE4">
      <w:pPr>
        <w:spacing w:line="360" w:lineRule="auto"/>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29393F09" w14:textId="77777777" w:rsidR="007A0DE4" w:rsidRPr="00AF1097" w:rsidRDefault="007A0DE4" w:rsidP="007A0DE4">
      <w:pPr>
        <w:spacing w:line="360" w:lineRule="auto"/>
        <w:jc w:val="center"/>
        <w:rPr>
          <w:rFonts w:ascii="Arial" w:hAnsi="Arial"/>
          <w:rtl/>
        </w:rPr>
      </w:pPr>
    </w:p>
    <w:p w14:paraId="1433F392" w14:textId="77777777" w:rsidR="007A0DE4" w:rsidRPr="00250B83" w:rsidRDefault="007A0DE4" w:rsidP="007A0DE4">
      <w:pPr>
        <w:spacing w:line="360" w:lineRule="auto"/>
        <w:rPr>
          <w:rtl/>
        </w:rPr>
      </w:pPr>
    </w:p>
    <w:p w14:paraId="2813DD77" w14:textId="77777777" w:rsidR="007A0DE4" w:rsidRPr="00A71673" w:rsidRDefault="00A71673" w:rsidP="007A0DE4">
      <w:pPr>
        <w:pStyle w:val="a3"/>
        <w:spacing w:line="360" w:lineRule="auto"/>
        <w:jc w:val="center"/>
        <w:rPr>
          <w:color w:val="FFFFFF"/>
          <w:sz w:val="2"/>
          <w:szCs w:val="2"/>
          <w:rtl/>
        </w:rPr>
      </w:pPr>
      <w:r w:rsidRPr="00A71673">
        <w:rPr>
          <w:color w:val="FFFFFF"/>
          <w:sz w:val="2"/>
          <w:szCs w:val="2"/>
          <w:rtl/>
        </w:rPr>
        <w:t>5129371</w:t>
      </w:r>
    </w:p>
    <w:p w14:paraId="1D23E544" w14:textId="77777777" w:rsidR="00490E1B" w:rsidRPr="00A71673" w:rsidRDefault="00A71673" w:rsidP="005D7318">
      <w:pPr>
        <w:keepNext/>
        <w:rPr>
          <w:rFonts w:ascii="David" w:hAnsi="David"/>
          <w:color w:val="FFFFFF"/>
          <w:sz w:val="2"/>
          <w:szCs w:val="2"/>
          <w:rtl/>
        </w:rPr>
      </w:pPr>
      <w:r w:rsidRPr="00A71673">
        <w:rPr>
          <w:rFonts w:ascii="David" w:hAnsi="David"/>
          <w:color w:val="FFFFFF"/>
          <w:sz w:val="2"/>
          <w:szCs w:val="2"/>
          <w:rtl/>
        </w:rPr>
        <w:t>54678313</w:t>
      </w:r>
    </w:p>
    <w:p w14:paraId="051F1CAD" w14:textId="77777777" w:rsidR="005D7318" w:rsidRDefault="005D7318" w:rsidP="005D7318">
      <w:pPr>
        <w:rPr>
          <w:rtl/>
        </w:rPr>
      </w:pPr>
    </w:p>
    <w:p w14:paraId="159BCA74" w14:textId="77777777" w:rsidR="005D7318" w:rsidRDefault="005D7318" w:rsidP="005D7318">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14B2810F" w14:textId="77777777" w:rsidR="00A71673" w:rsidRPr="00A71673" w:rsidRDefault="00A71673" w:rsidP="00A71673">
      <w:pPr>
        <w:keepNext/>
        <w:rPr>
          <w:rFonts w:ascii="David" w:hAnsi="David"/>
          <w:color w:val="000000"/>
          <w:sz w:val="22"/>
          <w:szCs w:val="22"/>
          <w:rtl/>
        </w:rPr>
      </w:pPr>
    </w:p>
    <w:p w14:paraId="1F0DE9C7" w14:textId="77777777" w:rsidR="00A71673" w:rsidRPr="00A71673" w:rsidRDefault="00A71673" w:rsidP="00A71673">
      <w:pPr>
        <w:keepNext/>
        <w:rPr>
          <w:rFonts w:ascii="David" w:hAnsi="David"/>
          <w:color w:val="000000"/>
          <w:sz w:val="22"/>
          <w:szCs w:val="22"/>
          <w:rtl/>
        </w:rPr>
      </w:pPr>
      <w:r w:rsidRPr="00A71673">
        <w:rPr>
          <w:rFonts w:ascii="David" w:hAnsi="David"/>
          <w:color w:val="000000"/>
          <w:sz w:val="22"/>
          <w:szCs w:val="22"/>
          <w:rtl/>
        </w:rPr>
        <w:t>בני שגיא 54678313-/</w:t>
      </w:r>
    </w:p>
    <w:p w14:paraId="73CE3C26" w14:textId="77777777" w:rsidR="005D7318" w:rsidRPr="005D7318" w:rsidRDefault="00A71673" w:rsidP="00A71673">
      <w:pPr>
        <w:rPr>
          <w:color w:val="0000FF"/>
          <w:u w:val="single"/>
        </w:rPr>
      </w:pPr>
      <w:r w:rsidRPr="00A71673">
        <w:rPr>
          <w:color w:val="000000"/>
          <w:u w:val="single"/>
          <w:rtl/>
        </w:rPr>
        <w:t>נוסח מסמך זה כפוף לשינויי ניסוח ועריכה</w:t>
      </w:r>
    </w:p>
    <w:sectPr w:rsidR="005D7318" w:rsidRPr="005D7318" w:rsidSect="00A71673">
      <w:headerReference w:type="even" r:id="rId34"/>
      <w:headerReference w:type="default" r:id="rId35"/>
      <w:footerReference w:type="even" r:id="rId36"/>
      <w:footerReference w:type="default" r:id="rId37"/>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E180E" w14:textId="77777777" w:rsidR="0013177B" w:rsidRDefault="0013177B" w:rsidP="004D5752">
      <w:r>
        <w:separator/>
      </w:r>
    </w:p>
  </w:endnote>
  <w:endnote w:type="continuationSeparator" w:id="0">
    <w:p w14:paraId="7AA0A3B9" w14:textId="77777777" w:rsidR="0013177B" w:rsidRDefault="0013177B" w:rsidP="004D5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5DD4D" w14:textId="77777777" w:rsidR="00A71673" w:rsidRDefault="00A71673" w:rsidP="00A7167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B6788C5" w14:textId="77777777" w:rsidR="00DD3636" w:rsidRPr="00A71673" w:rsidRDefault="00A71673" w:rsidP="00A71673">
    <w:pPr>
      <w:pStyle w:val="a5"/>
      <w:pBdr>
        <w:top w:val="single" w:sz="4" w:space="1" w:color="auto"/>
        <w:between w:val="single" w:sz="4" w:space="0" w:color="auto"/>
      </w:pBdr>
      <w:spacing w:after="60"/>
      <w:jc w:val="center"/>
      <w:rPr>
        <w:rFonts w:ascii="FrankRuehl" w:hAnsi="FrankRuehl" w:cs="FrankRuehl"/>
        <w:color w:val="000000"/>
      </w:rPr>
    </w:pPr>
    <w:r w:rsidRPr="00A7167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3D6C6" w14:textId="77777777" w:rsidR="00A71673" w:rsidRDefault="00A71673" w:rsidP="00A7167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C166D">
      <w:rPr>
        <w:rFonts w:ascii="FrankRuehl" w:hAnsi="FrankRuehl" w:cs="FrankRuehl"/>
        <w:noProof/>
        <w:rtl/>
      </w:rPr>
      <w:t>1</w:t>
    </w:r>
    <w:r>
      <w:rPr>
        <w:rFonts w:ascii="FrankRuehl" w:hAnsi="FrankRuehl" w:cs="FrankRuehl"/>
        <w:rtl/>
      </w:rPr>
      <w:fldChar w:fldCharType="end"/>
    </w:r>
  </w:p>
  <w:p w14:paraId="1B436A22" w14:textId="77777777" w:rsidR="00DD3636" w:rsidRPr="00A71673" w:rsidRDefault="00A71673" w:rsidP="00A71673">
    <w:pPr>
      <w:pStyle w:val="a5"/>
      <w:pBdr>
        <w:top w:val="single" w:sz="4" w:space="1" w:color="auto"/>
        <w:between w:val="single" w:sz="4" w:space="0" w:color="auto"/>
      </w:pBdr>
      <w:spacing w:after="60"/>
      <w:jc w:val="center"/>
      <w:rPr>
        <w:rFonts w:ascii="FrankRuehl" w:hAnsi="FrankRuehl" w:cs="FrankRuehl"/>
        <w:color w:val="000000"/>
      </w:rPr>
    </w:pPr>
    <w:r w:rsidRPr="00A71673">
      <w:rPr>
        <w:rFonts w:ascii="FrankRuehl" w:hAnsi="FrankRuehl" w:cs="FrankRuehl"/>
        <w:color w:val="000000"/>
      </w:rPr>
      <w:pict w14:anchorId="09B54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28956" w14:textId="77777777" w:rsidR="0013177B" w:rsidRDefault="0013177B" w:rsidP="004D5752">
      <w:r>
        <w:separator/>
      </w:r>
    </w:p>
  </w:footnote>
  <w:footnote w:type="continuationSeparator" w:id="0">
    <w:p w14:paraId="304A7DEB" w14:textId="77777777" w:rsidR="0013177B" w:rsidRDefault="0013177B" w:rsidP="004D5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9299A" w14:textId="77777777" w:rsidR="005D7318" w:rsidRPr="00A71673" w:rsidRDefault="00A71673" w:rsidP="00A7167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69734-08-24</w:t>
    </w:r>
    <w:r>
      <w:rPr>
        <w:rFonts w:ascii="David" w:hAnsi="David"/>
        <w:color w:val="000000"/>
        <w:sz w:val="22"/>
        <w:szCs w:val="22"/>
        <w:rtl/>
      </w:rPr>
      <w:tab/>
      <w:t xml:space="preserve"> מדינת ישראל נ' ראפת אבו האני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F5AF4" w14:textId="77777777" w:rsidR="005D7318" w:rsidRPr="00A71673" w:rsidRDefault="00A71673" w:rsidP="00A7167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69734-08-24</w:t>
    </w:r>
    <w:r>
      <w:rPr>
        <w:rFonts w:ascii="David" w:hAnsi="David"/>
        <w:color w:val="000000"/>
        <w:sz w:val="22"/>
        <w:szCs w:val="22"/>
        <w:rtl/>
      </w:rPr>
      <w:tab/>
      <w:t xml:space="preserve"> מדינת ישראל נ' ראפת אבו האני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0DE4"/>
    <w:rsid w:val="0013177B"/>
    <w:rsid w:val="00490E1B"/>
    <w:rsid w:val="004D5752"/>
    <w:rsid w:val="005D7318"/>
    <w:rsid w:val="007A0DE4"/>
    <w:rsid w:val="00A71673"/>
    <w:rsid w:val="00A912ED"/>
    <w:rsid w:val="00B86C9A"/>
    <w:rsid w:val="00DD3636"/>
    <w:rsid w:val="00FC16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7305D9"/>
  <w15:chartTrackingRefBased/>
  <w15:docId w15:val="{C081FF54-C303-44EE-9FBB-BA0C8A94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0DE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0DE4"/>
    <w:pPr>
      <w:tabs>
        <w:tab w:val="center" w:pos="4153"/>
        <w:tab w:val="right" w:pos="8306"/>
      </w:tabs>
    </w:pPr>
  </w:style>
  <w:style w:type="character" w:customStyle="1" w:styleId="a4">
    <w:name w:val="כותרת עליונה תו"/>
    <w:link w:val="a3"/>
    <w:rsid w:val="007A0DE4"/>
    <w:rPr>
      <w:rFonts w:ascii="Times New Roman" w:eastAsia="Times New Roman" w:hAnsi="Times New Roman" w:cs="David"/>
      <w:sz w:val="24"/>
      <w:szCs w:val="24"/>
    </w:rPr>
  </w:style>
  <w:style w:type="paragraph" w:styleId="a5">
    <w:name w:val="footer"/>
    <w:basedOn w:val="a"/>
    <w:link w:val="a6"/>
    <w:rsid w:val="007A0DE4"/>
    <w:pPr>
      <w:tabs>
        <w:tab w:val="center" w:pos="4153"/>
        <w:tab w:val="right" w:pos="8306"/>
      </w:tabs>
    </w:pPr>
  </w:style>
  <w:style w:type="character" w:customStyle="1" w:styleId="a6">
    <w:name w:val="כותרת תחתונה תו"/>
    <w:link w:val="a5"/>
    <w:rsid w:val="007A0DE4"/>
    <w:rPr>
      <w:rFonts w:ascii="Times New Roman" w:eastAsia="Times New Roman" w:hAnsi="Times New Roman" w:cs="David"/>
      <w:sz w:val="24"/>
      <w:szCs w:val="24"/>
    </w:rPr>
  </w:style>
  <w:style w:type="table" w:styleId="a7">
    <w:name w:val="Table Grid"/>
    <w:basedOn w:val="a1"/>
    <w:rsid w:val="007A0DE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A0DE4"/>
  </w:style>
  <w:style w:type="character" w:styleId="Hyperlink">
    <w:name w:val="Hyperlink"/>
    <w:rsid w:val="005D731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384637" TargetMode="External"/><Relationship Id="rId18" Type="http://schemas.openxmlformats.org/officeDocument/2006/relationships/hyperlink" Target="http://www.nevo.co.il/case/29867910" TargetMode="External"/><Relationship Id="rId26" Type="http://schemas.openxmlformats.org/officeDocument/2006/relationships/hyperlink" Target="http://www.nevo.co.il/case/32721670" TargetMode="External"/><Relationship Id="rId39" Type="http://schemas.openxmlformats.org/officeDocument/2006/relationships/theme" Target="theme/theme1.xml"/><Relationship Id="rId21" Type="http://schemas.openxmlformats.org/officeDocument/2006/relationships/hyperlink" Target="http://www.nevo.co.il/case/29030176" TargetMode="External"/><Relationship Id="rId34" Type="http://schemas.openxmlformats.org/officeDocument/2006/relationships/header" Target="header1.xml"/><Relationship Id="rId7" Type="http://schemas.openxmlformats.org/officeDocument/2006/relationships/hyperlink" Target="http://www.nevo.co.il/law/70301/144.a."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28883087"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9662894"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8883087" TargetMode="External"/><Relationship Id="rId32" Type="http://schemas.openxmlformats.org/officeDocument/2006/relationships/hyperlink" Target="http://www.nevo.co.il/law/70301/413c"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28266138"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law/70301/144.a.;144.b"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413c" TargetMode="External"/><Relationship Id="rId14" Type="http://schemas.openxmlformats.org/officeDocument/2006/relationships/hyperlink" Target="http://www.nevo.co.il/case/28243273"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70301/144.b" TargetMode="External"/><Relationship Id="rId35" Type="http://schemas.openxmlformats.org/officeDocument/2006/relationships/header" Target="header2.xml"/><Relationship Id="rId8" Type="http://schemas.openxmlformats.org/officeDocument/2006/relationships/hyperlink" Target="http://www.nevo.co.il/law/70301/144.b"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2280</Words>
  <Characters>11402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13655</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458834</vt:i4>
      </vt:variant>
      <vt:variant>
        <vt:i4>78</vt:i4>
      </vt:variant>
      <vt:variant>
        <vt:i4>0</vt:i4>
      </vt:variant>
      <vt:variant>
        <vt:i4>5</vt:i4>
      </vt:variant>
      <vt:variant>
        <vt:lpwstr>http://www.nevo.co.il/law/70301/413c</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4128883</vt:i4>
      </vt:variant>
      <vt:variant>
        <vt:i4>69</vt:i4>
      </vt:variant>
      <vt:variant>
        <vt:i4>0</vt:i4>
      </vt:variant>
      <vt:variant>
        <vt:i4>5</vt:i4>
      </vt:variant>
      <vt:variant>
        <vt:lpwstr>http://www.nevo.co.il/case/29662894</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3276914</vt:i4>
      </vt:variant>
      <vt:variant>
        <vt:i4>60</vt:i4>
      </vt:variant>
      <vt:variant>
        <vt:i4>0</vt:i4>
      </vt:variant>
      <vt:variant>
        <vt:i4>5</vt:i4>
      </vt:variant>
      <vt:variant>
        <vt:lpwstr>http://www.nevo.co.il/case/32721670</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3211380</vt:i4>
      </vt:variant>
      <vt:variant>
        <vt:i4>54</vt:i4>
      </vt:variant>
      <vt:variant>
        <vt:i4>0</vt:i4>
      </vt:variant>
      <vt:variant>
        <vt:i4>5</vt:i4>
      </vt:variant>
      <vt:variant>
        <vt:lpwstr>http://www.nevo.co.il/case/28883087</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3473535</vt:i4>
      </vt:variant>
      <vt:variant>
        <vt:i4>45</vt:i4>
      </vt:variant>
      <vt:variant>
        <vt:i4>0</vt:i4>
      </vt:variant>
      <vt:variant>
        <vt:i4>5</vt:i4>
      </vt:variant>
      <vt:variant>
        <vt:lpwstr>http://www.nevo.co.il/case/29030176</vt:lpwstr>
      </vt:variant>
      <vt:variant>
        <vt:lpwstr/>
      </vt:variant>
      <vt:variant>
        <vt:i4>7995492</vt:i4>
      </vt:variant>
      <vt:variant>
        <vt:i4>42</vt:i4>
      </vt:variant>
      <vt:variant>
        <vt:i4>0</vt:i4>
      </vt:variant>
      <vt:variant>
        <vt:i4>5</vt:i4>
      </vt:variant>
      <vt:variant>
        <vt:lpwstr>http://www.nevo.co.il/law/70301</vt:lpwstr>
      </vt:variant>
      <vt:variant>
        <vt:lpwstr/>
      </vt:variant>
      <vt:variant>
        <vt:i4>393232</vt:i4>
      </vt:variant>
      <vt:variant>
        <vt:i4>39</vt:i4>
      </vt:variant>
      <vt:variant>
        <vt:i4>0</vt:i4>
      </vt:variant>
      <vt:variant>
        <vt:i4>5</vt:i4>
      </vt:variant>
      <vt:variant>
        <vt:lpwstr>http://www.nevo.co.il/law/70301/144.a.;144.b</vt:lpwstr>
      </vt:variant>
      <vt:variant>
        <vt:lpwstr/>
      </vt:variant>
      <vt:variant>
        <vt:i4>3932274</vt:i4>
      </vt:variant>
      <vt:variant>
        <vt:i4>36</vt:i4>
      </vt:variant>
      <vt:variant>
        <vt:i4>0</vt:i4>
      </vt:variant>
      <vt:variant>
        <vt:i4>5</vt:i4>
      </vt:variant>
      <vt:variant>
        <vt:lpwstr>http://www.nevo.co.il/case/29867910</vt:lpwstr>
      </vt:variant>
      <vt:variant>
        <vt:lpwstr/>
      </vt:variant>
      <vt:variant>
        <vt:i4>7995492</vt:i4>
      </vt:variant>
      <vt:variant>
        <vt:i4>33</vt:i4>
      </vt:variant>
      <vt:variant>
        <vt:i4>0</vt:i4>
      </vt:variant>
      <vt:variant>
        <vt:i4>5</vt:i4>
      </vt:variant>
      <vt:variant>
        <vt:lpwstr>http://www.nevo.co.il/law/70301</vt:lpwstr>
      </vt:variant>
      <vt:variant>
        <vt:lpwstr/>
      </vt:variant>
      <vt:variant>
        <vt:i4>3211380</vt:i4>
      </vt:variant>
      <vt:variant>
        <vt:i4>30</vt:i4>
      </vt:variant>
      <vt:variant>
        <vt:i4>0</vt:i4>
      </vt:variant>
      <vt:variant>
        <vt:i4>5</vt:i4>
      </vt:variant>
      <vt:variant>
        <vt:lpwstr>http://www.nevo.co.il/case/28883087</vt:lpwstr>
      </vt:variant>
      <vt:variant>
        <vt:lpwstr/>
      </vt:variant>
      <vt:variant>
        <vt:i4>3473531</vt:i4>
      </vt:variant>
      <vt:variant>
        <vt:i4>27</vt:i4>
      </vt:variant>
      <vt:variant>
        <vt:i4>0</vt:i4>
      </vt:variant>
      <vt:variant>
        <vt:i4>5</vt:i4>
      </vt:variant>
      <vt:variant>
        <vt:lpwstr>http://www.nevo.co.il/case/28266138</vt:lpwstr>
      </vt:variant>
      <vt:variant>
        <vt:lpwstr/>
      </vt:variant>
      <vt:variant>
        <vt:i4>3407994</vt:i4>
      </vt:variant>
      <vt:variant>
        <vt:i4>24</vt:i4>
      </vt:variant>
      <vt:variant>
        <vt:i4>0</vt:i4>
      </vt:variant>
      <vt:variant>
        <vt:i4>5</vt:i4>
      </vt:variant>
      <vt:variant>
        <vt:lpwstr>http://www.nevo.co.il/case/28243273</vt:lpwstr>
      </vt:variant>
      <vt:variant>
        <vt:lpwstr/>
      </vt:variant>
      <vt:variant>
        <vt:i4>3539058</vt:i4>
      </vt:variant>
      <vt:variant>
        <vt:i4>21</vt:i4>
      </vt:variant>
      <vt:variant>
        <vt:i4>0</vt:i4>
      </vt:variant>
      <vt:variant>
        <vt:i4>5</vt:i4>
      </vt:variant>
      <vt:variant>
        <vt:lpwstr>http://www.nevo.co.il/case/28384637</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458834</vt:i4>
      </vt:variant>
      <vt:variant>
        <vt:i4>9</vt:i4>
      </vt:variant>
      <vt:variant>
        <vt:i4>0</vt:i4>
      </vt:variant>
      <vt:variant>
        <vt:i4>5</vt:i4>
      </vt:variant>
      <vt:variant>
        <vt:lpwstr>http://www.nevo.co.il/law/70301/413c</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6357041</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2025-02-28T15:26:00Z</dcterms:created>
  <dcterms:modified xsi:type="dcterms:W3CDTF">2025-02-28T15:26:00Z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69734</vt:lpwstr>
  </property>
  <property fmtid="{D5CDD505-2E9C-101B-9397-08002B2CF9AE}" pid="6" name="NEWPARTB">
    <vt:lpwstr>08</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ראפת אבו האני</vt:lpwstr>
  </property>
  <property fmtid="{D5CDD505-2E9C-101B-9397-08002B2CF9AE}" pid="10" name="LAWYER">
    <vt:lpwstr>גל אוסטריאק;שפיק אבו האני</vt:lpwstr>
  </property>
  <property fmtid="{D5CDD505-2E9C-101B-9397-08002B2CF9AE}" pid="11" name="JUDGE">
    <vt:lpwstr>בני שגיא</vt:lpwstr>
  </property>
  <property fmtid="{D5CDD505-2E9C-101B-9397-08002B2CF9AE}" pid="12" name="CITY">
    <vt:lpwstr>ב"ש</vt:lpwstr>
  </property>
  <property fmtid="{D5CDD505-2E9C-101B-9397-08002B2CF9AE}" pid="13" name="DATE">
    <vt:lpwstr>20250218</vt:lpwstr>
  </property>
  <property fmtid="{D5CDD505-2E9C-101B-9397-08002B2CF9AE}" pid="14" name="TYPE_N_DATE">
    <vt:lpwstr>39020250218</vt:lpwstr>
  </property>
  <property fmtid="{D5CDD505-2E9C-101B-9397-08002B2CF9AE}" pid="15" name="CASESLISTTMP1">
    <vt:lpwstr>28384637;28243273;28266138;28883087:2;29867910;29030176;32721670;29662894</vt:lpwstr>
  </property>
  <property fmtid="{D5CDD505-2E9C-101B-9397-08002B2CF9AE}" pid="16" name="WORDNUMPAGES">
    <vt:lpwstr>6</vt:lpwstr>
  </property>
  <property fmtid="{D5CDD505-2E9C-101B-9397-08002B2CF9AE}" pid="17" name="TYPE_ABS_DATE">
    <vt:lpwstr>390020250218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70301/144.b:6;144.a;413c</vt:lpwstr>
  </property>
  <property fmtid="{D5CDD505-2E9C-101B-9397-08002B2CF9AE}" pid="36" name="ISABSTRACT">
    <vt:lpwstr>Y</vt:lpwstr>
  </property>
</Properties>
</file>