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F402C" w:rsidRPr="004F402C" w14:paraId="286AEA09" w14:textId="77777777" w:rsidTr="009561DC">
        <w:trPr>
          <w:trHeight w:hRule="exact" w:val="418"/>
          <w:jc w:val="center"/>
        </w:trPr>
        <w:tc>
          <w:tcPr>
            <w:tcW w:w="8721" w:type="dxa"/>
            <w:gridSpan w:val="2"/>
          </w:tcPr>
          <w:p w14:paraId="6E82BBC8" w14:textId="77777777" w:rsidR="004F402C" w:rsidRPr="004F402C" w:rsidRDefault="004F402C" w:rsidP="006D5397">
            <w:pPr>
              <w:pStyle w:val="a3"/>
              <w:jc w:val="center"/>
              <w:rPr>
                <w:rFonts w:ascii="Tahoma" w:hAnsi="Tahoma" w:cs="Tahoma"/>
                <w:color w:val="000080"/>
                <w:rtl/>
              </w:rPr>
            </w:pPr>
            <w:bookmarkStart w:id="0" w:name="LastJudge"/>
            <w:r w:rsidRPr="004F402C">
              <w:rPr>
                <w:rFonts w:ascii="Tahoma" w:hAnsi="Tahoma" w:cs="Tahoma"/>
                <w:b/>
                <w:bCs/>
                <w:color w:val="000080"/>
                <w:rtl/>
              </w:rPr>
              <w:t>בית משפט לנוער בבית המשפט המחוזי בחיפה</w:t>
            </w:r>
          </w:p>
        </w:tc>
      </w:tr>
      <w:tr w:rsidR="004F402C" w:rsidRPr="006D5397" w14:paraId="6F60B8C6" w14:textId="77777777" w:rsidTr="009561DC">
        <w:trPr>
          <w:trHeight w:val="337"/>
          <w:jc w:val="center"/>
        </w:trPr>
        <w:tc>
          <w:tcPr>
            <w:tcW w:w="5057" w:type="dxa"/>
          </w:tcPr>
          <w:p w14:paraId="28A110D8" w14:textId="77777777" w:rsidR="004F402C" w:rsidRPr="006D5397" w:rsidRDefault="004F402C" w:rsidP="006D5397">
            <w:pPr>
              <w:pStyle w:val="a3"/>
              <w:spacing w:before="120" w:after="120" w:line="240" w:lineRule="exact"/>
              <w:jc w:val="both"/>
              <w:rPr>
                <w:rFonts w:ascii="David" w:hAnsi="David"/>
                <w:b/>
                <w:bCs/>
                <w:sz w:val="26"/>
                <w:szCs w:val="26"/>
                <w:rtl/>
              </w:rPr>
            </w:pPr>
            <w:r w:rsidRPr="006D5397">
              <w:rPr>
                <w:rFonts w:ascii="David" w:hAnsi="David"/>
                <w:b/>
                <w:bCs/>
                <w:sz w:val="26"/>
                <w:szCs w:val="26"/>
                <w:rtl/>
              </w:rPr>
              <w:t>ת"פ 25870-09-24 מדינת ישראל נ' פלוני(עציר)</w:t>
            </w:r>
          </w:p>
        </w:tc>
        <w:tc>
          <w:tcPr>
            <w:tcW w:w="3664" w:type="dxa"/>
          </w:tcPr>
          <w:p w14:paraId="46100370" w14:textId="77777777" w:rsidR="004F402C" w:rsidRPr="006D5397" w:rsidRDefault="004F402C" w:rsidP="006D5397">
            <w:pPr>
              <w:pStyle w:val="a3"/>
              <w:spacing w:before="120" w:after="120" w:line="240" w:lineRule="exact"/>
              <w:jc w:val="both"/>
              <w:rPr>
                <w:rFonts w:ascii="David" w:hAnsi="David"/>
                <w:b/>
                <w:bCs/>
                <w:sz w:val="26"/>
                <w:szCs w:val="26"/>
                <w:rtl/>
              </w:rPr>
            </w:pPr>
          </w:p>
        </w:tc>
      </w:tr>
    </w:tbl>
    <w:p w14:paraId="6C9D8301" w14:textId="77777777" w:rsidR="004B31C7" w:rsidRPr="006D5397" w:rsidRDefault="004F402C" w:rsidP="006D5397">
      <w:pPr>
        <w:pStyle w:val="a3"/>
        <w:spacing w:before="120" w:after="120" w:line="240" w:lineRule="exact"/>
        <w:jc w:val="both"/>
        <w:rPr>
          <w:rtl/>
        </w:rPr>
      </w:pPr>
      <w:r w:rsidRPr="006D5397">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620"/>
        <w:gridCol w:w="6277"/>
      </w:tblGrid>
      <w:tr w:rsidR="004B31C7" w:rsidRPr="006D5397" w14:paraId="530B8D2B" w14:textId="77777777" w:rsidTr="001F358C">
        <w:trPr>
          <w:trHeight w:val="295"/>
          <w:jc w:val="center"/>
        </w:trPr>
        <w:tc>
          <w:tcPr>
            <w:tcW w:w="923" w:type="dxa"/>
            <w:tcBorders>
              <w:top w:val="nil"/>
              <w:left w:val="nil"/>
              <w:bottom w:val="nil"/>
              <w:right w:val="nil"/>
            </w:tcBorders>
          </w:tcPr>
          <w:p w14:paraId="71B7BFF6" w14:textId="77777777" w:rsidR="004B31C7" w:rsidRPr="006D5397" w:rsidRDefault="004B31C7" w:rsidP="006D5397">
            <w:pPr>
              <w:spacing w:before="120" w:after="120" w:line="240" w:lineRule="exact"/>
              <w:jc w:val="both"/>
              <w:rPr>
                <w:rFonts w:ascii="David" w:hAnsi="David"/>
                <w:b/>
                <w:bCs/>
                <w:sz w:val="26"/>
                <w:szCs w:val="26"/>
              </w:rPr>
            </w:pPr>
            <w:r w:rsidRPr="006D5397">
              <w:rPr>
                <w:rFonts w:ascii="David" w:hAnsi="David"/>
                <w:b/>
                <w:bCs/>
                <w:sz w:val="26"/>
                <w:szCs w:val="26"/>
                <w:rtl/>
              </w:rPr>
              <w:t xml:space="preserve">לפני </w:t>
            </w:r>
          </w:p>
        </w:tc>
        <w:tc>
          <w:tcPr>
            <w:tcW w:w="7897" w:type="dxa"/>
            <w:gridSpan w:val="2"/>
            <w:tcBorders>
              <w:top w:val="nil"/>
              <w:left w:val="nil"/>
              <w:bottom w:val="nil"/>
              <w:right w:val="nil"/>
            </w:tcBorders>
          </w:tcPr>
          <w:p w14:paraId="314C3149" w14:textId="77777777" w:rsidR="004B31C7" w:rsidRPr="006D5397" w:rsidRDefault="004B31C7" w:rsidP="006D5397">
            <w:pPr>
              <w:spacing w:before="120" w:after="120" w:line="240" w:lineRule="exact"/>
              <w:jc w:val="both"/>
              <w:rPr>
                <w:rFonts w:ascii="David" w:hAnsi="David"/>
                <w:b/>
                <w:bCs/>
                <w:sz w:val="26"/>
                <w:szCs w:val="26"/>
              </w:rPr>
            </w:pPr>
            <w:r w:rsidRPr="006D5397">
              <w:rPr>
                <w:rFonts w:ascii="David" w:hAnsi="David"/>
                <w:b/>
                <w:bCs/>
                <w:sz w:val="26"/>
                <w:szCs w:val="26"/>
                <w:rtl/>
              </w:rPr>
              <w:t>כבוד השופטת  אילנית אימבר</w:t>
            </w:r>
          </w:p>
        </w:tc>
      </w:tr>
      <w:tr w:rsidR="006D5397" w:rsidRPr="006D5397" w14:paraId="76B983CA" w14:textId="77777777" w:rsidTr="006D5397">
        <w:trPr>
          <w:trHeight w:val="355"/>
          <w:jc w:val="center"/>
        </w:trPr>
        <w:tc>
          <w:tcPr>
            <w:tcW w:w="2543" w:type="dxa"/>
            <w:gridSpan w:val="2"/>
            <w:tcBorders>
              <w:top w:val="nil"/>
              <w:left w:val="nil"/>
              <w:bottom w:val="nil"/>
              <w:right w:val="nil"/>
            </w:tcBorders>
          </w:tcPr>
          <w:p w14:paraId="7D3387AE" w14:textId="77777777" w:rsidR="006D5397" w:rsidRPr="006D5397" w:rsidRDefault="006D5397" w:rsidP="006D5397">
            <w:pPr>
              <w:spacing w:before="120" w:after="120" w:line="240" w:lineRule="exact"/>
              <w:jc w:val="both"/>
              <w:rPr>
                <w:rFonts w:ascii="David" w:hAnsi="David"/>
                <w:b/>
                <w:bCs/>
                <w:sz w:val="26"/>
                <w:szCs w:val="26"/>
              </w:rPr>
            </w:pPr>
            <w:bookmarkStart w:id="1" w:name="FirstAppellant"/>
            <w:r w:rsidRPr="006D5397">
              <w:rPr>
                <w:rFonts w:ascii="David" w:hAnsi="David"/>
                <w:b/>
                <w:bCs/>
                <w:sz w:val="26"/>
                <w:szCs w:val="26"/>
                <w:rtl/>
              </w:rPr>
              <w:t>בעניין:</w:t>
            </w:r>
          </w:p>
          <w:p w14:paraId="3CE90EFB" w14:textId="77777777" w:rsidR="006D5397" w:rsidRPr="006D5397" w:rsidRDefault="006D5397" w:rsidP="006D5397">
            <w:pPr>
              <w:spacing w:before="120" w:after="120" w:line="240" w:lineRule="exact"/>
              <w:jc w:val="both"/>
              <w:rPr>
                <w:rFonts w:ascii="David" w:hAnsi="David"/>
                <w:b/>
                <w:bCs/>
                <w:sz w:val="26"/>
                <w:szCs w:val="26"/>
              </w:rPr>
            </w:pPr>
            <w:r w:rsidRPr="006D5397">
              <w:rPr>
                <w:rFonts w:ascii="David" w:hAnsi="David"/>
                <w:b/>
                <w:bCs/>
                <w:sz w:val="26"/>
                <w:szCs w:val="26"/>
                <w:rtl/>
              </w:rPr>
              <w:t>המאשימה</w:t>
            </w:r>
          </w:p>
        </w:tc>
        <w:tc>
          <w:tcPr>
            <w:tcW w:w="6277" w:type="dxa"/>
            <w:tcBorders>
              <w:top w:val="nil"/>
              <w:left w:val="nil"/>
              <w:bottom w:val="nil"/>
              <w:right w:val="nil"/>
            </w:tcBorders>
            <w:vAlign w:val="center"/>
          </w:tcPr>
          <w:p w14:paraId="53F074E5" w14:textId="77777777" w:rsidR="006D5397" w:rsidRPr="006D5397" w:rsidRDefault="006D5397" w:rsidP="006D5397">
            <w:pPr>
              <w:suppressLineNumbers/>
              <w:spacing w:before="120" w:after="120" w:line="240" w:lineRule="exact"/>
              <w:jc w:val="both"/>
              <w:rPr>
                <w:rFonts w:ascii="David" w:hAnsi="David"/>
                <w:b/>
                <w:bCs/>
                <w:sz w:val="26"/>
                <w:szCs w:val="26"/>
              </w:rPr>
            </w:pPr>
            <w:r w:rsidRPr="006D5397">
              <w:rPr>
                <w:rFonts w:ascii="David" w:hAnsi="David"/>
                <w:b/>
                <w:bCs/>
                <w:sz w:val="26"/>
                <w:szCs w:val="26"/>
                <w:rtl/>
              </w:rPr>
              <w:t>מדינת ישראל</w:t>
            </w:r>
          </w:p>
          <w:p w14:paraId="4AC15A7E" w14:textId="77777777" w:rsidR="006D5397" w:rsidRPr="006D5397" w:rsidRDefault="006D5397" w:rsidP="006D5397">
            <w:pPr>
              <w:spacing w:before="120" w:after="120" w:line="240" w:lineRule="exact"/>
              <w:jc w:val="both"/>
              <w:rPr>
                <w:rFonts w:ascii="David" w:hAnsi="David"/>
                <w:b/>
                <w:bCs/>
                <w:sz w:val="26"/>
                <w:szCs w:val="26"/>
              </w:rPr>
            </w:pPr>
          </w:p>
        </w:tc>
      </w:tr>
      <w:bookmarkEnd w:id="1"/>
      <w:tr w:rsidR="006D5397" w:rsidRPr="006D5397" w14:paraId="4DE5F5EE" w14:textId="77777777" w:rsidTr="00D4087C">
        <w:trPr>
          <w:trHeight w:val="355"/>
          <w:jc w:val="center"/>
        </w:trPr>
        <w:tc>
          <w:tcPr>
            <w:tcW w:w="8820" w:type="dxa"/>
            <w:gridSpan w:val="3"/>
            <w:tcBorders>
              <w:top w:val="nil"/>
              <w:left w:val="nil"/>
              <w:bottom w:val="nil"/>
              <w:right w:val="nil"/>
            </w:tcBorders>
          </w:tcPr>
          <w:p w14:paraId="4601CB6D" w14:textId="77777777" w:rsidR="006D5397" w:rsidRPr="006D5397" w:rsidRDefault="006D5397" w:rsidP="006D5397">
            <w:pPr>
              <w:spacing w:before="240" w:after="240" w:line="240" w:lineRule="exact"/>
              <w:jc w:val="center"/>
              <w:rPr>
                <w:rFonts w:ascii="David" w:hAnsi="David" w:hint="cs"/>
                <w:b/>
                <w:bCs/>
                <w:sz w:val="26"/>
                <w:szCs w:val="26"/>
              </w:rPr>
            </w:pPr>
            <w:r w:rsidRPr="006D5397">
              <w:rPr>
                <w:rFonts w:ascii="David" w:hAnsi="David"/>
                <w:b/>
                <w:bCs/>
                <w:sz w:val="26"/>
                <w:szCs w:val="26"/>
                <w:rtl/>
              </w:rPr>
              <w:t>נגד</w:t>
            </w:r>
          </w:p>
        </w:tc>
      </w:tr>
      <w:tr w:rsidR="006D5397" w:rsidRPr="006D5397" w14:paraId="0E11B811" w14:textId="77777777" w:rsidTr="006D5397">
        <w:trPr>
          <w:trHeight w:val="355"/>
          <w:jc w:val="center"/>
        </w:trPr>
        <w:tc>
          <w:tcPr>
            <w:tcW w:w="2543" w:type="dxa"/>
            <w:gridSpan w:val="2"/>
            <w:tcBorders>
              <w:top w:val="nil"/>
              <w:left w:val="nil"/>
              <w:bottom w:val="nil"/>
              <w:right w:val="nil"/>
            </w:tcBorders>
          </w:tcPr>
          <w:p w14:paraId="0A18836E" w14:textId="77777777" w:rsidR="006D5397" w:rsidRPr="006D5397" w:rsidRDefault="006D5397" w:rsidP="006D5397">
            <w:pPr>
              <w:spacing w:before="120" w:after="120" w:line="240" w:lineRule="exact"/>
              <w:jc w:val="both"/>
              <w:rPr>
                <w:rFonts w:ascii="David" w:hAnsi="David"/>
                <w:b/>
                <w:bCs/>
                <w:sz w:val="26"/>
                <w:szCs w:val="26"/>
                <w:rtl/>
              </w:rPr>
            </w:pPr>
            <w:r w:rsidRPr="006D5397">
              <w:rPr>
                <w:rFonts w:ascii="David" w:hAnsi="David"/>
                <w:b/>
                <w:bCs/>
                <w:sz w:val="26"/>
                <w:szCs w:val="26"/>
                <w:rtl/>
              </w:rPr>
              <w:t>הנאשם</w:t>
            </w:r>
          </w:p>
        </w:tc>
        <w:tc>
          <w:tcPr>
            <w:tcW w:w="6277" w:type="dxa"/>
            <w:tcBorders>
              <w:top w:val="nil"/>
              <w:left w:val="nil"/>
              <w:bottom w:val="nil"/>
              <w:right w:val="nil"/>
            </w:tcBorders>
            <w:vAlign w:val="center"/>
          </w:tcPr>
          <w:p w14:paraId="6976CFE0" w14:textId="77777777" w:rsidR="006D5397" w:rsidRPr="006D5397" w:rsidRDefault="006D5397" w:rsidP="006D5397">
            <w:pPr>
              <w:spacing w:before="120" w:after="120" w:line="240" w:lineRule="exact"/>
              <w:jc w:val="both"/>
              <w:rPr>
                <w:rFonts w:ascii="David" w:hAnsi="David"/>
                <w:b/>
                <w:bCs/>
                <w:sz w:val="26"/>
                <w:szCs w:val="26"/>
              </w:rPr>
            </w:pPr>
            <w:r w:rsidRPr="006D5397">
              <w:rPr>
                <w:rFonts w:ascii="David" w:hAnsi="David"/>
                <w:b/>
                <w:bCs/>
                <w:sz w:val="26"/>
                <w:szCs w:val="26"/>
                <w:rtl/>
              </w:rPr>
              <w:t>פלוני  (עציר)</w:t>
            </w:r>
          </w:p>
        </w:tc>
      </w:tr>
    </w:tbl>
    <w:p w14:paraId="58CF2909" w14:textId="77777777" w:rsidR="006D5397" w:rsidRPr="006D5397" w:rsidRDefault="006D5397" w:rsidP="006D5397">
      <w:pPr>
        <w:spacing w:before="120" w:after="120" w:line="240" w:lineRule="exact"/>
        <w:ind w:left="283" w:hanging="283"/>
        <w:jc w:val="both"/>
        <w:rPr>
          <w:rFonts w:ascii="FrankRuehl" w:hAnsi="FrankRuehl" w:cs="FrankRuehl"/>
          <w:rtl/>
        </w:rPr>
      </w:pPr>
      <w:bookmarkStart w:id="2" w:name="LawTable"/>
      <w:bookmarkEnd w:id="2"/>
    </w:p>
    <w:p w14:paraId="1E661557" w14:textId="77777777" w:rsidR="006D5397" w:rsidRPr="006D5397" w:rsidRDefault="006D5397" w:rsidP="006D5397">
      <w:pPr>
        <w:spacing w:before="120" w:after="120" w:line="240" w:lineRule="exact"/>
        <w:ind w:left="283" w:hanging="283"/>
        <w:jc w:val="both"/>
        <w:rPr>
          <w:rFonts w:ascii="FrankRuehl" w:hAnsi="FrankRuehl" w:cs="FrankRuehl"/>
          <w:rtl/>
        </w:rPr>
      </w:pPr>
      <w:r w:rsidRPr="006D5397">
        <w:rPr>
          <w:rFonts w:ascii="FrankRuehl" w:hAnsi="FrankRuehl" w:cs="FrankRuehl"/>
          <w:rtl/>
        </w:rPr>
        <w:t xml:space="preserve">חקיקה שאוזכרה: </w:t>
      </w:r>
    </w:p>
    <w:p w14:paraId="4D4D60A1" w14:textId="77777777" w:rsidR="006D5397" w:rsidRPr="006D5397" w:rsidRDefault="006D5397" w:rsidP="006D5397">
      <w:pPr>
        <w:spacing w:before="120" w:after="120" w:line="240" w:lineRule="exact"/>
        <w:ind w:left="283" w:hanging="283"/>
        <w:jc w:val="both"/>
        <w:rPr>
          <w:rFonts w:ascii="FrankRuehl" w:hAnsi="FrankRuehl" w:cs="FrankRuehl"/>
          <w:color w:val="0000FF"/>
          <w:rtl/>
        </w:rPr>
      </w:pPr>
      <w:hyperlink r:id="rId7" w:history="1">
        <w:r w:rsidRPr="006D5397">
          <w:rPr>
            <w:rStyle w:val="Hyperlink"/>
            <w:rFonts w:ascii="FrankRuehl" w:hAnsi="FrankRuehl" w:cs="FrankRuehl"/>
            <w:u w:val="none"/>
            <w:rtl/>
          </w:rPr>
          <w:t>חוק העונשין, תשל"ז-1977</w:t>
        </w:r>
      </w:hyperlink>
      <w:r w:rsidRPr="006D5397">
        <w:rPr>
          <w:rFonts w:ascii="FrankRuehl" w:hAnsi="FrankRuehl" w:cs="FrankRuehl"/>
          <w:color w:val="0000FF"/>
          <w:rtl/>
        </w:rPr>
        <w:t xml:space="preserve">: סע'  </w:t>
      </w:r>
      <w:hyperlink r:id="rId8" w:history="1">
        <w:r w:rsidRPr="006D5397">
          <w:rPr>
            <w:rStyle w:val="Hyperlink"/>
            <w:rFonts w:ascii="FrankRuehl" w:hAnsi="FrankRuehl" w:cs="FrankRuehl"/>
            <w:u w:val="none"/>
          </w:rPr>
          <w:t xml:space="preserve">144 </w:t>
        </w:r>
      </w:hyperlink>
      <w:r w:rsidRPr="006D5397">
        <w:rPr>
          <w:rFonts w:ascii="FrankRuehl" w:hAnsi="FrankRuehl" w:cs="FrankRuehl"/>
          <w:color w:val="0000FF"/>
          <w:rtl/>
        </w:rPr>
        <w:t xml:space="preserve">(א), </w:t>
      </w:r>
      <w:hyperlink r:id="rId9" w:history="1">
        <w:r w:rsidRPr="006D5397">
          <w:rPr>
            <w:rStyle w:val="Hyperlink"/>
            <w:rFonts w:ascii="FrankRuehl" w:hAnsi="FrankRuehl" w:cs="FrankRuehl"/>
            <w:u w:val="none"/>
          </w:rPr>
          <w:t xml:space="preserve">144 </w:t>
        </w:r>
      </w:hyperlink>
      <w:r w:rsidRPr="006D5397">
        <w:rPr>
          <w:rFonts w:ascii="FrankRuehl" w:hAnsi="FrankRuehl" w:cs="FrankRuehl"/>
          <w:color w:val="0000FF"/>
          <w:rtl/>
        </w:rPr>
        <w:t xml:space="preserve">(ב), </w:t>
      </w:r>
      <w:hyperlink r:id="rId10" w:history="1">
        <w:r w:rsidRPr="006D5397">
          <w:rPr>
            <w:rStyle w:val="Hyperlink"/>
            <w:rFonts w:ascii="FrankRuehl" w:hAnsi="FrankRuehl" w:cs="FrankRuehl"/>
            <w:u w:val="none"/>
          </w:rPr>
          <w:t xml:space="preserve">144 </w:t>
        </w:r>
      </w:hyperlink>
      <w:r w:rsidRPr="006D5397">
        <w:rPr>
          <w:rFonts w:ascii="FrankRuehl" w:hAnsi="FrankRuehl" w:cs="FrankRuehl"/>
          <w:color w:val="0000FF"/>
          <w:rtl/>
        </w:rPr>
        <w:t xml:space="preserve">(ב2), </w:t>
      </w:r>
      <w:hyperlink r:id="rId11" w:history="1">
        <w:r w:rsidRPr="006D5397">
          <w:rPr>
            <w:rStyle w:val="Hyperlink"/>
            <w:rFonts w:ascii="FrankRuehl" w:hAnsi="FrankRuehl" w:cs="FrankRuehl"/>
            <w:u w:val="none"/>
          </w:rPr>
          <w:t xml:space="preserve">144 </w:t>
        </w:r>
      </w:hyperlink>
      <w:r w:rsidRPr="006D5397">
        <w:rPr>
          <w:rFonts w:ascii="FrankRuehl" w:hAnsi="FrankRuehl" w:cs="FrankRuehl"/>
          <w:color w:val="0000FF"/>
          <w:rtl/>
        </w:rPr>
        <w:t>(ז)</w:t>
      </w:r>
    </w:p>
    <w:p w14:paraId="2C80D8E8" w14:textId="77777777" w:rsidR="006D5397" w:rsidRPr="006D5397" w:rsidRDefault="006D5397" w:rsidP="006D5397">
      <w:pPr>
        <w:spacing w:before="120" w:after="120" w:line="240" w:lineRule="exact"/>
        <w:ind w:left="283" w:hanging="283"/>
        <w:jc w:val="both"/>
        <w:rPr>
          <w:rFonts w:ascii="FrankRuehl" w:hAnsi="FrankRuehl" w:cs="FrankRuehl"/>
          <w:color w:val="0000FF"/>
          <w:rtl/>
        </w:rPr>
      </w:pPr>
      <w:hyperlink r:id="rId12" w:history="1">
        <w:r w:rsidRPr="006D5397">
          <w:rPr>
            <w:rStyle w:val="Hyperlink"/>
            <w:rFonts w:ascii="FrankRuehl" w:hAnsi="FrankRuehl" w:cs="FrankRuehl"/>
            <w:u w:val="none"/>
            <w:rtl/>
          </w:rPr>
          <w:t>חוק הנוער (שפיטה, ענישה ודרכי טיפול), תשל"א-1971</w:t>
        </w:r>
      </w:hyperlink>
      <w:r w:rsidRPr="006D5397">
        <w:rPr>
          <w:rFonts w:ascii="FrankRuehl" w:hAnsi="FrankRuehl" w:cs="FrankRuehl"/>
          <w:color w:val="0000FF"/>
          <w:rtl/>
        </w:rPr>
        <w:t xml:space="preserve">: סע'  </w:t>
      </w:r>
      <w:hyperlink r:id="rId13" w:history="1">
        <w:r w:rsidRPr="006D5397">
          <w:rPr>
            <w:rStyle w:val="Hyperlink"/>
            <w:rFonts w:ascii="FrankRuehl" w:hAnsi="FrankRuehl" w:cs="FrankRuehl"/>
            <w:u w:val="none"/>
          </w:rPr>
          <w:t>1</w:t>
        </w:r>
        <w:r w:rsidRPr="006D5397">
          <w:rPr>
            <w:rStyle w:val="Hyperlink"/>
            <w:rFonts w:ascii="FrankRuehl" w:hAnsi="FrankRuehl" w:cs="FrankRuehl"/>
            <w:u w:val="none"/>
            <w:rtl/>
          </w:rPr>
          <w:t>א</w:t>
        </w:r>
      </w:hyperlink>
      <w:r w:rsidRPr="006D5397">
        <w:rPr>
          <w:rFonts w:ascii="FrankRuehl" w:hAnsi="FrankRuehl" w:cs="FrankRuehl"/>
          <w:color w:val="0000FF"/>
          <w:rtl/>
        </w:rPr>
        <w:t xml:space="preserve">, </w:t>
      </w:r>
      <w:hyperlink r:id="rId14" w:history="1">
        <w:r w:rsidRPr="006D5397">
          <w:rPr>
            <w:rStyle w:val="Hyperlink"/>
            <w:rFonts w:ascii="FrankRuehl" w:hAnsi="FrankRuehl" w:cs="FrankRuehl"/>
            <w:u w:val="none"/>
          </w:rPr>
          <w:t>20</w:t>
        </w:r>
        <w:r w:rsidRPr="006D5397">
          <w:rPr>
            <w:rStyle w:val="Hyperlink"/>
            <w:rFonts w:ascii="FrankRuehl" w:hAnsi="FrankRuehl" w:cs="FrankRuehl"/>
            <w:u w:val="none"/>
            <w:rtl/>
          </w:rPr>
          <w:t>א</w:t>
        </w:r>
      </w:hyperlink>
      <w:r w:rsidRPr="006D5397">
        <w:rPr>
          <w:rFonts w:ascii="FrankRuehl" w:hAnsi="FrankRuehl" w:cs="FrankRuehl"/>
          <w:color w:val="0000FF"/>
          <w:rtl/>
        </w:rPr>
        <w:t xml:space="preserve">(א), </w:t>
      </w:r>
      <w:hyperlink r:id="rId15" w:history="1">
        <w:r w:rsidRPr="006D5397">
          <w:rPr>
            <w:rStyle w:val="Hyperlink"/>
            <w:rFonts w:ascii="FrankRuehl" w:hAnsi="FrankRuehl" w:cs="FrankRuehl"/>
            <w:u w:val="none"/>
          </w:rPr>
          <w:t>23</w:t>
        </w:r>
      </w:hyperlink>
      <w:r w:rsidRPr="006D5397">
        <w:rPr>
          <w:rFonts w:ascii="FrankRuehl" w:hAnsi="FrankRuehl" w:cs="FrankRuehl"/>
          <w:color w:val="0000FF"/>
          <w:rtl/>
        </w:rPr>
        <w:t xml:space="preserve">, </w:t>
      </w:r>
      <w:hyperlink r:id="rId16" w:history="1">
        <w:r w:rsidRPr="006D5397">
          <w:rPr>
            <w:rStyle w:val="Hyperlink"/>
            <w:rFonts w:ascii="FrankRuehl" w:hAnsi="FrankRuehl" w:cs="FrankRuehl"/>
            <w:u w:val="none"/>
          </w:rPr>
          <w:t xml:space="preserve">24 </w:t>
        </w:r>
      </w:hyperlink>
      <w:r w:rsidRPr="006D5397">
        <w:rPr>
          <w:rFonts w:ascii="FrankRuehl" w:hAnsi="FrankRuehl" w:cs="FrankRuehl"/>
          <w:color w:val="0000FF"/>
          <w:rtl/>
        </w:rPr>
        <w:t xml:space="preserve">(1), </w:t>
      </w:r>
      <w:hyperlink r:id="rId17" w:history="1">
        <w:r w:rsidRPr="006D5397">
          <w:rPr>
            <w:rStyle w:val="Hyperlink"/>
            <w:rFonts w:ascii="FrankRuehl" w:hAnsi="FrankRuehl" w:cs="FrankRuehl"/>
            <w:u w:val="none"/>
          </w:rPr>
          <w:t>25</w:t>
        </w:r>
      </w:hyperlink>
      <w:r w:rsidRPr="006D5397">
        <w:rPr>
          <w:rFonts w:ascii="FrankRuehl" w:hAnsi="FrankRuehl" w:cs="FrankRuehl"/>
          <w:color w:val="0000FF"/>
          <w:rtl/>
        </w:rPr>
        <w:t xml:space="preserve">, </w:t>
      </w:r>
      <w:hyperlink r:id="rId18" w:history="1">
        <w:r w:rsidRPr="006D5397">
          <w:rPr>
            <w:rStyle w:val="Hyperlink"/>
            <w:rFonts w:ascii="FrankRuehl" w:hAnsi="FrankRuehl" w:cs="FrankRuehl"/>
            <w:u w:val="none"/>
          </w:rPr>
          <w:t xml:space="preserve">25 </w:t>
        </w:r>
      </w:hyperlink>
      <w:r w:rsidRPr="006D5397">
        <w:rPr>
          <w:rFonts w:ascii="FrankRuehl" w:hAnsi="FrankRuehl" w:cs="FrankRuehl"/>
          <w:color w:val="0000FF"/>
          <w:rtl/>
        </w:rPr>
        <w:t xml:space="preserve">(ב), </w:t>
      </w:r>
      <w:hyperlink r:id="rId19" w:history="1">
        <w:r w:rsidRPr="006D5397">
          <w:rPr>
            <w:rStyle w:val="Hyperlink"/>
            <w:rFonts w:ascii="FrankRuehl" w:hAnsi="FrankRuehl" w:cs="FrankRuehl"/>
            <w:u w:val="none"/>
          </w:rPr>
          <w:t>26</w:t>
        </w:r>
      </w:hyperlink>
      <w:r w:rsidRPr="006D5397">
        <w:rPr>
          <w:rFonts w:ascii="FrankRuehl" w:hAnsi="FrankRuehl" w:cs="FrankRuehl"/>
          <w:color w:val="0000FF"/>
          <w:rtl/>
        </w:rPr>
        <w:t>(5)</w:t>
      </w:r>
    </w:p>
    <w:p w14:paraId="660DFCA5" w14:textId="77777777" w:rsidR="006D5397" w:rsidRPr="006D5397" w:rsidRDefault="006D5397" w:rsidP="006D5397">
      <w:pPr>
        <w:spacing w:before="120" w:after="120" w:line="240" w:lineRule="exact"/>
        <w:ind w:left="283" w:hanging="283"/>
        <w:jc w:val="both"/>
        <w:rPr>
          <w:rFonts w:ascii="FrankRuehl" w:hAnsi="FrankRuehl" w:cs="FrankRuehl"/>
          <w:color w:val="0000FF"/>
          <w:rtl/>
        </w:rPr>
      </w:pPr>
      <w:hyperlink r:id="rId20" w:history="1">
        <w:r w:rsidRPr="006D5397">
          <w:rPr>
            <w:rStyle w:val="Hyperlink"/>
            <w:rFonts w:ascii="FrankRuehl" w:hAnsi="FrankRuehl" w:cs="FrankRuehl"/>
            <w:u w:val="none"/>
            <w:rtl/>
          </w:rPr>
          <w:t>חוק הנוער (טיפול והשגחה), תש"ך-1960</w:t>
        </w:r>
      </w:hyperlink>
      <w:r w:rsidRPr="006D5397">
        <w:rPr>
          <w:rFonts w:ascii="FrankRuehl" w:hAnsi="FrankRuehl" w:cs="FrankRuehl"/>
          <w:color w:val="0000FF"/>
          <w:rtl/>
        </w:rPr>
        <w:t xml:space="preserve">: סע'  </w:t>
      </w:r>
      <w:hyperlink r:id="rId21" w:history="1">
        <w:r w:rsidRPr="006D5397">
          <w:rPr>
            <w:rStyle w:val="Hyperlink"/>
            <w:rFonts w:ascii="FrankRuehl" w:hAnsi="FrankRuehl" w:cs="FrankRuehl"/>
            <w:u w:val="none"/>
          </w:rPr>
          <w:t>3</w:t>
        </w:r>
      </w:hyperlink>
      <w:r w:rsidRPr="006D5397">
        <w:rPr>
          <w:rFonts w:ascii="FrankRuehl" w:hAnsi="FrankRuehl" w:cs="FrankRuehl"/>
          <w:color w:val="0000FF"/>
          <w:rtl/>
        </w:rPr>
        <w:t>(4)</w:t>
      </w:r>
    </w:p>
    <w:p w14:paraId="41A220E8" w14:textId="77777777" w:rsidR="009561DC" w:rsidRDefault="009561DC" w:rsidP="006D5397">
      <w:pPr>
        <w:jc w:val="both"/>
        <w:rPr>
          <w:rFonts w:hint="cs"/>
          <w:sz w:val="26"/>
          <w:szCs w:val="26"/>
          <w:rtl/>
        </w:rPr>
      </w:pPr>
      <w:bookmarkStart w:id="3" w:name="LawTable_End"/>
      <w:bookmarkEnd w:id="3"/>
    </w:p>
    <w:p w14:paraId="03D52B64" w14:textId="77777777" w:rsidR="006D5397" w:rsidRPr="000960A4" w:rsidRDefault="006D5397" w:rsidP="006D5397">
      <w:pPr>
        <w:pBdr>
          <w:top w:val="single" w:sz="4" w:space="1" w:color="auto"/>
          <w:bottom w:val="single" w:sz="4" w:space="1" w:color="auto"/>
        </w:pBdr>
        <w:spacing w:after="120" w:line="320" w:lineRule="exact"/>
        <w:jc w:val="both"/>
        <w:rPr>
          <w:rFonts w:cs="FrankRuehl"/>
          <w:szCs w:val="26"/>
          <w:rtl/>
        </w:rPr>
      </w:pPr>
      <w:bookmarkStart w:id="4" w:name="ABSTRACT_START"/>
      <w:bookmarkEnd w:id="4"/>
      <w:r w:rsidRPr="000960A4">
        <w:rPr>
          <w:rFonts w:cs="FrankRuehl" w:hint="cs"/>
          <w:szCs w:val="26"/>
          <w:rtl/>
        </w:rPr>
        <w:t>מיני-רציו:</w:t>
      </w:r>
    </w:p>
    <w:p w14:paraId="23EE5D44" w14:textId="77777777" w:rsidR="006D5397" w:rsidRPr="000960A4" w:rsidRDefault="006D5397" w:rsidP="006D5397">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960A4">
        <w:rPr>
          <w:rFonts w:cs="FrankRuehl"/>
          <w:szCs w:val="26"/>
          <w:rtl/>
        </w:rPr>
        <w:t xml:space="preserve">באיזון בין נסיבותיו האישיות של הנאשם לבין חומרת עבירות </w:t>
      </w:r>
      <w:r w:rsidRPr="000960A4">
        <w:rPr>
          <w:rFonts w:cs="FrankRuehl" w:hint="cs"/>
          <w:szCs w:val="26"/>
          <w:rtl/>
        </w:rPr>
        <w:t xml:space="preserve">הנשק </w:t>
      </w:r>
      <w:r w:rsidRPr="000960A4">
        <w:rPr>
          <w:rFonts w:cs="FrankRuehl"/>
          <w:szCs w:val="26"/>
          <w:rtl/>
        </w:rPr>
        <w:t xml:space="preserve">שיוחסו לו, יש להשית על הנאשם ענישה ממשית מאחורי סורג ובריח ולתחום את תקופת מאסרו שלא מעבר לתקופת קטינותו, על מנת להותיר בפניו אופק שיקומי שנמנע ממנו בשל עומס יתר במעונות הנעולים. </w:t>
      </w:r>
      <w:r w:rsidRPr="000960A4">
        <w:rPr>
          <w:rFonts w:cs="FrankRuehl" w:hint="cs"/>
          <w:szCs w:val="26"/>
          <w:rtl/>
        </w:rPr>
        <w:t>בהתאם</w:t>
      </w:r>
      <w:r w:rsidRPr="000960A4">
        <w:rPr>
          <w:rFonts w:cs="FrankRuehl"/>
          <w:szCs w:val="26"/>
          <w:rtl/>
        </w:rPr>
        <w:t xml:space="preserve"> יש לגזור על הנאשם 14 חודשי מאסר בפועל בניכוי מעצרו, 10 חודשי מאסר על תנאי וקנס בסך של 3,000 ₪.</w:t>
      </w:r>
    </w:p>
    <w:p w14:paraId="0A7CCD8D" w14:textId="77777777" w:rsidR="006D5397" w:rsidRDefault="006D5397" w:rsidP="006D5397">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70E65783" w14:textId="77777777" w:rsidR="006D5397" w:rsidRDefault="006D5397" w:rsidP="006D5397">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קטינים</w:t>
      </w:r>
    </w:p>
    <w:p w14:paraId="4FB82CC2" w14:textId="77777777" w:rsidR="006D5397" w:rsidRPr="000960A4" w:rsidRDefault="006D5397" w:rsidP="006D53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799E52B" w14:textId="77777777" w:rsidR="006D5397" w:rsidRPr="000960A4" w:rsidRDefault="006D5397" w:rsidP="006D5397">
      <w:pPr>
        <w:pBdr>
          <w:top w:val="single" w:sz="4" w:space="1" w:color="auto"/>
          <w:bottom w:val="single" w:sz="4" w:space="1" w:color="auto"/>
        </w:pBdr>
        <w:spacing w:after="120" w:line="320" w:lineRule="exact"/>
        <w:jc w:val="both"/>
        <w:rPr>
          <w:rFonts w:cs="FrankRuehl"/>
          <w:szCs w:val="26"/>
          <w:rtl/>
        </w:rPr>
      </w:pPr>
      <w:r w:rsidRPr="000960A4">
        <w:rPr>
          <w:rFonts w:cs="FrankRuehl"/>
          <w:szCs w:val="26"/>
          <w:rtl/>
        </w:rPr>
        <w:t>הנאשם</w:t>
      </w:r>
      <w:r w:rsidRPr="000960A4">
        <w:rPr>
          <w:rFonts w:cs="FrankRuehl" w:hint="cs"/>
          <w:szCs w:val="26"/>
          <w:rtl/>
        </w:rPr>
        <w:t xml:space="preserve">, שהנו קטין, </w:t>
      </w:r>
      <w:r w:rsidRPr="000960A4">
        <w:rPr>
          <w:rFonts w:cs="FrankRuehl"/>
          <w:szCs w:val="26"/>
          <w:rtl/>
        </w:rPr>
        <w:t>הודה במיוחס לו במסגרת הסדר טיעון והורשע בעבירות נשק: ייצור, רכישה נשיאה</w:t>
      </w:r>
      <w:r w:rsidRPr="000960A4">
        <w:rPr>
          <w:rFonts w:cs="FrankRuehl" w:hint="cs"/>
          <w:szCs w:val="26"/>
          <w:rtl/>
        </w:rPr>
        <w:t xml:space="preserve">, </w:t>
      </w:r>
      <w:r w:rsidRPr="000960A4">
        <w:rPr>
          <w:rFonts w:cs="FrankRuehl"/>
          <w:szCs w:val="26"/>
          <w:rtl/>
        </w:rPr>
        <w:t>הובלה והחזקה.</w:t>
      </w:r>
    </w:p>
    <w:p w14:paraId="15F98288" w14:textId="77777777" w:rsidR="006D5397" w:rsidRDefault="006D5397" w:rsidP="006D53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0116211" w14:textId="77777777" w:rsidR="006D5397" w:rsidRPr="000960A4" w:rsidRDefault="006D5397" w:rsidP="006D5397">
      <w:pPr>
        <w:pBdr>
          <w:top w:val="single" w:sz="4" w:space="1" w:color="auto"/>
          <w:bottom w:val="single" w:sz="4" w:space="1" w:color="auto"/>
        </w:pBdr>
        <w:spacing w:after="120" w:line="320" w:lineRule="exact"/>
        <w:jc w:val="both"/>
        <w:rPr>
          <w:rFonts w:cs="FrankRuehl"/>
          <w:szCs w:val="26"/>
          <w:rtl/>
        </w:rPr>
      </w:pPr>
      <w:r w:rsidRPr="000960A4">
        <w:rPr>
          <w:rFonts w:cs="FrankRuehl"/>
          <w:szCs w:val="26"/>
          <w:rtl/>
        </w:rPr>
        <w:t>בית המשפט המחוזי</w:t>
      </w:r>
      <w:r w:rsidRPr="000960A4">
        <w:rPr>
          <w:rFonts w:cs="FrankRuehl" w:hint="cs"/>
          <w:szCs w:val="26"/>
          <w:rtl/>
        </w:rPr>
        <w:t xml:space="preserve"> הרשיע את הנאשם וגזר את דינו כדלהלן:</w:t>
      </w:r>
    </w:p>
    <w:p w14:paraId="55EBE4AA" w14:textId="77777777" w:rsidR="006D5397" w:rsidRPr="000960A4" w:rsidRDefault="006D5397" w:rsidP="006D5397">
      <w:pPr>
        <w:pBdr>
          <w:top w:val="single" w:sz="4" w:space="1" w:color="auto"/>
          <w:bottom w:val="single" w:sz="4" w:space="1" w:color="auto"/>
        </w:pBdr>
        <w:spacing w:after="120" w:line="320" w:lineRule="exact"/>
        <w:jc w:val="both"/>
        <w:rPr>
          <w:rFonts w:cs="FrankRuehl"/>
          <w:szCs w:val="26"/>
          <w:rtl/>
        </w:rPr>
      </w:pPr>
      <w:r w:rsidRPr="000960A4">
        <w:rPr>
          <w:rFonts w:cs="FrankRuehl"/>
          <w:szCs w:val="26"/>
          <w:rtl/>
        </w:rPr>
        <w:t>לא ניתן לקבל את העובדה כי במדינת ישראל קיים מעון נעול אחד בלבד לדוברי השפה הערבית כאשר רשימת ההמתנה הינה למעלה משנה ומהלך שנים רבות לא התווסף אף לא מעון נעול נוסף לדוברי השפה הערבית. רשימת המתנה של שנה אינה מתיישבת עם האינטרס הציבורי הדוגל בשיקומם של קטינים.</w:t>
      </w:r>
    </w:p>
    <w:p w14:paraId="55B03A54" w14:textId="77777777" w:rsidR="006D5397" w:rsidRPr="000960A4" w:rsidRDefault="006D5397" w:rsidP="006D5397">
      <w:pPr>
        <w:pBdr>
          <w:top w:val="single" w:sz="4" w:space="1" w:color="auto"/>
          <w:bottom w:val="single" w:sz="4" w:space="1" w:color="auto"/>
        </w:pBdr>
        <w:spacing w:after="120" w:line="320" w:lineRule="exact"/>
        <w:jc w:val="both"/>
        <w:rPr>
          <w:rFonts w:cs="FrankRuehl"/>
          <w:szCs w:val="26"/>
        </w:rPr>
      </w:pPr>
      <w:r w:rsidRPr="000960A4">
        <w:rPr>
          <w:rFonts w:cs="FrankRuehl"/>
          <w:szCs w:val="26"/>
          <w:rtl/>
        </w:rPr>
        <w:lastRenderedPageBreak/>
        <w:t>עבירות הנשק הפכו לרעה חולה בחברה ומספרם האמיר בקרב נאשמים קטינים.</w:t>
      </w:r>
      <w:r w:rsidRPr="000960A4">
        <w:rPr>
          <w:rFonts w:cs="FrankRuehl" w:hint="cs"/>
          <w:szCs w:val="26"/>
          <w:rtl/>
        </w:rPr>
        <w:t xml:space="preserve"> </w:t>
      </w:r>
      <w:r w:rsidRPr="000960A4">
        <w:rPr>
          <w:rFonts w:cs="FrankRuehl"/>
          <w:szCs w:val="26"/>
          <w:rtl/>
        </w:rPr>
        <w:t xml:space="preserve">על אף שיש ליתן משקל מוגבר לשיקומו של הנאשם דנן, אין להתעלם מחומרת העבירות המיוחסות לו ויש לאזן כל מקרה ונסיבותיו מבלי להתעלם מהאינטרס הציבורי הרחב, יעדי ומטרות הענישה. יש מקום להרשיע את הנאשם בדין בהתאם </w:t>
      </w:r>
      <w:hyperlink r:id="rId22" w:history="1">
        <w:r w:rsidRPr="000960A4">
          <w:rPr>
            <w:rStyle w:val="Hyperlink"/>
            <w:rFonts w:cs="FrankRuehl"/>
            <w:color w:val="auto"/>
            <w:szCs w:val="26"/>
            <w:u w:val="none"/>
            <w:rtl/>
          </w:rPr>
          <w:t>לסעיף 24 (1)</w:t>
        </w:r>
      </w:hyperlink>
      <w:r w:rsidRPr="000960A4">
        <w:rPr>
          <w:rFonts w:cs="FrankRuehl"/>
          <w:szCs w:val="26"/>
          <w:rtl/>
        </w:rPr>
        <w:t xml:space="preserve"> לחוק הנוער. באיזון בין נסיבותיו האישיות של הנאשם לבין חומרת העבירות שיוחסו לו, יש להשית על הנאשם ענישה ממשית מאחורי סורג ובריח ולתחום את תקופת מאסרו שלא מעבר לתקופת קטינותו, על מנת להותיר בפניו אופק שיקומי שנמנע ממנו בשל עומס יתר במעונות הנעולים. על כן יש לגזור על הנאשם 14 חודשי מאסר בפועל בניכוי מעצרו, 10 חודשי מאסר על תנאי וקנס בסך של 3,000 ₪.</w:t>
      </w:r>
    </w:p>
    <w:p w14:paraId="64BA89EC" w14:textId="77777777" w:rsidR="006D5397" w:rsidRPr="006D5397" w:rsidRDefault="006D5397" w:rsidP="006D5397">
      <w:pPr>
        <w:jc w:val="both"/>
        <w:rPr>
          <w:rFonts w:hint="cs"/>
          <w:sz w:val="26"/>
          <w:szCs w:val="26"/>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31C7" w14:paraId="05C583DC" w14:textId="77777777" w:rsidTr="001F358C">
        <w:trPr>
          <w:trHeight w:val="355"/>
          <w:jc w:val="center"/>
        </w:trPr>
        <w:tc>
          <w:tcPr>
            <w:tcW w:w="8820" w:type="dxa"/>
            <w:tcBorders>
              <w:top w:val="nil"/>
              <w:left w:val="nil"/>
              <w:bottom w:val="nil"/>
              <w:right w:val="nil"/>
            </w:tcBorders>
          </w:tcPr>
          <w:p w14:paraId="634A01AB" w14:textId="77777777" w:rsidR="004F402C" w:rsidRPr="004F402C" w:rsidRDefault="004F402C" w:rsidP="006D5397">
            <w:pPr>
              <w:jc w:val="center"/>
              <w:rPr>
                <w:rFonts w:ascii="David" w:hAnsi="David"/>
                <w:b/>
                <w:bCs/>
                <w:sz w:val="32"/>
                <w:szCs w:val="32"/>
                <w:u w:val="single"/>
                <w:rtl/>
              </w:rPr>
            </w:pPr>
            <w:bookmarkStart w:id="6" w:name="PsakDin" w:colFirst="0" w:colLast="0"/>
            <w:bookmarkEnd w:id="0"/>
            <w:r w:rsidRPr="004F402C">
              <w:rPr>
                <w:rFonts w:ascii="David" w:hAnsi="David"/>
                <w:b/>
                <w:bCs/>
                <w:sz w:val="32"/>
                <w:szCs w:val="32"/>
                <w:u w:val="single"/>
                <w:rtl/>
              </w:rPr>
              <w:t>גזר דין   נוסח לפרסום</w:t>
            </w:r>
          </w:p>
          <w:p w14:paraId="292EDC48" w14:textId="77777777" w:rsidR="004B31C7" w:rsidRPr="004F402C" w:rsidRDefault="004B31C7" w:rsidP="006D5397">
            <w:pPr>
              <w:jc w:val="both"/>
              <w:rPr>
                <w:rFonts w:ascii="David" w:hAnsi="David"/>
                <w:bCs/>
                <w:sz w:val="32"/>
                <w:szCs w:val="32"/>
                <w:u w:val="single"/>
                <w:rtl/>
              </w:rPr>
            </w:pPr>
          </w:p>
        </w:tc>
      </w:tr>
      <w:bookmarkEnd w:id="6"/>
    </w:tbl>
    <w:p w14:paraId="05605043" w14:textId="77777777" w:rsidR="004B31C7" w:rsidRPr="003C6F09" w:rsidRDefault="004B31C7" w:rsidP="006D5397">
      <w:pPr>
        <w:jc w:val="both"/>
        <w:rPr>
          <w:rFonts w:ascii="Arial" w:hAnsi="Arial"/>
          <w:b/>
          <w:bCs/>
          <w:sz w:val="26"/>
          <w:szCs w:val="26"/>
          <w:rtl/>
        </w:rPr>
      </w:pPr>
    </w:p>
    <w:p w14:paraId="5AF3DCCD" w14:textId="77777777" w:rsidR="004B31C7" w:rsidRPr="003C6F09" w:rsidRDefault="004B31C7" w:rsidP="006D5397">
      <w:pPr>
        <w:jc w:val="both"/>
        <w:rPr>
          <w:rFonts w:ascii="Arial" w:hAnsi="Arial"/>
          <w:b/>
          <w:bCs/>
          <w:sz w:val="26"/>
          <w:szCs w:val="26"/>
          <w:rtl/>
        </w:rPr>
      </w:pPr>
    </w:p>
    <w:p w14:paraId="586A82BB" w14:textId="77777777" w:rsidR="004B31C7" w:rsidRPr="003C6F09" w:rsidRDefault="004B31C7" w:rsidP="006D5397">
      <w:pPr>
        <w:spacing w:line="360" w:lineRule="auto"/>
        <w:jc w:val="both"/>
        <w:rPr>
          <w:rFonts w:ascii="Arial" w:hAnsi="Arial"/>
          <w:b/>
          <w:bCs/>
          <w:rtl/>
        </w:rPr>
      </w:pPr>
      <w:r w:rsidRPr="003C6F09">
        <w:rPr>
          <w:rFonts w:ascii="Arial" w:hAnsi="Arial"/>
          <w:rtl/>
        </w:rPr>
        <w:t>טרם הקראת גזר הדין ובמשך להכרעת הדין שניתנה ביום 23/12/24 על ידי כבוד הנשיא אבי לוי כאשר הנאשם נכח בדיון באמצעות היוודעות חזותית, חזר הנאשם בפני על הודאתו בעובדות כתב האישום המתוקן ובכך הודאתו אשררה את הכרעת הדין</w:t>
      </w:r>
      <w:r w:rsidRPr="003C6F09">
        <w:rPr>
          <w:rFonts w:ascii="Arial" w:hAnsi="Arial"/>
          <w:b/>
          <w:bCs/>
          <w:rtl/>
        </w:rPr>
        <w:t>.</w:t>
      </w:r>
    </w:p>
    <w:p w14:paraId="09262D1C" w14:textId="77777777" w:rsidR="004B31C7" w:rsidRPr="003C6F09" w:rsidRDefault="004B31C7" w:rsidP="006D5397">
      <w:pPr>
        <w:jc w:val="both"/>
        <w:rPr>
          <w:rFonts w:ascii="Arial" w:hAnsi="Arial"/>
          <w:b/>
          <w:bCs/>
          <w:sz w:val="26"/>
          <w:szCs w:val="26"/>
          <w:rtl/>
        </w:rPr>
      </w:pPr>
    </w:p>
    <w:p w14:paraId="189D313D" w14:textId="77777777" w:rsidR="004B31C7" w:rsidRPr="00A22516" w:rsidRDefault="004B31C7" w:rsidP="006D5397">
      <w:pPr>
        <w:jc w:val="both"/>
        <w:rPr>
          <w:rFonts w:ascii="Arial" w:hAnsi="Arial"/>
          <w:u w:val="single"/>
          <w:rtl/>
        </w:rPr>
      </w:pPr>
      <w:r w:rsidRPr="00A22516">
        <w:rPr>
          <w:rFonts w:ascii="Arial" w:hAnsi="Arial"/>
          <w:u w:val="single"/>
          <w:rtl/>
        </w:rPr>
        <w:t>הנאשם:</w:t>
      </w:r>
    </w:p>
    <w:p w14:paraId="6176AF20" w14:textId="77777777" w:rsidR="004B31C7" w:rsidRPr="003C6F09" w:rsidRDefault="004B31C7" w:rsidP="006D5397">
      <w:pPr>
        <w:jc w:val="both"/>
        <w:rPr>
          <w:rFonts w:ascii="Arial" w:hAnsi="Arial"/>
          <w:b/>
          <w:bCs/>
          <w:sz w:val="26"/>
          <w:szCs w:val="26"/>
          <w:rtl/>
        </w:rPr>
      </w:pPr>
    </w:p>
    <w:p w14:paraId="212940C9" w14:textId="77777777" w:rsidR="004B31C7" w:rsidRPr="0062236F" w:rsidRDefault="004B31C7" w:rsidP="006D5397">
      <w:pPr>
        <w:jc w:val="both"/>
        <w:rPr>
          <w:rFonts w:ascii="Arial" w:hAnsi="Arial"/>
          <w:rtl/>
        </w:rPr>
      </w:pPr>
      <w:r w:rsidRPr="0062236F">
        <w:rPr>
          <w:rFonts w:ascii="Arial" w:hAnsi="Arial"/>
          <w:rtl/>
        </w:rPr>
        <w:t>אני חוזר על הודאתי מיום 23.12.2024 ואני מודה במיוחס לי.</w:t>
      </w:r>
    </w:p>
    <w:p w14:paraId="46A7108C" w14:textId="77777777" w:rsidR="004B31C7" w:rsidRPr="003C6F09" w:rsidRDefault="004B31C7" w:rsidP="006D5397">
      <w:pPr>
        <w:jc w:val="both"/>
        <w:rPr>
          <w:rFonts w:ascii="Arial" w:hAnsi="Arial"/>
          <w:b/>
          <w:bCs/>
          <w:sz w:val="26"/>
          <w:szCs w:val="26"/>
          <w:rtl/>
        </w:rPr>
      </w:pPr>
    </w:p>
    <w:p w14:paraId="1232A72D" w14:textId="77777777" w:rsidR="004B31C7" w:rsidRDefault="004B31C7" w:rsidP="006D5397">
      <w:pPr>
        <w:ind w:left="2880" w:firstLine="720"/>
        <w:jc w:val="both"/>
        <w:rPr>
          <w:rFonts w:ascii="Arial" w:hAnsi="Arial"/>
          <w:b/>
          <w:bCs/>
          <w:sz w:val="28"/>
          <w:szCs w:val="28"/>
          <w:u w:val="single"/>
          <w:rtl/>
        </w:rPr>
      </w:pPr>
    </w:p>
    <w:p w14:paraId="3C44146F" w14:textId="77777777" w:rsidR="004B31C7" w:rsidRPr="003C6F09" w:rsidRDefault="004B31C7" w:rsidP="006D5397">
      <w:pPr>
        <w:ind w:left="2880" w:firstLine="720"/>
        <w:jc w:val="both"/>
        <w:rPr>
          <w:rFonts w:ascii="Arial" w:hAnsi="Arial"/>
          <w:b/>
          <w:bCs/>
          <w:sz w:val="28"/>
          <w:szCs w:val="28"/>
          <w:u w:val="single"/>
          <w:rtl/>
        </w:rPr>
      </w:pPr>
      <w:r w:rsidRPr="003C6F09">
        <w:rPr>
          <w:rFonts w:ascii="Arial" w:hAnsi="Arial"/>
          <w:b/>
          <w:bCs/>
          <w:sz w:val="28"/>
          <w:szCs w:val="28"/>
          <w:u w:val="single"/>
          <w:rtl/>
        </w:rPr>
        <w:t>הכרעת דין</w:t>
      </w:r>
    </w:p>
    <w:p w14:paraId="1AD0AAD0" w14:textId="77777777" w:rsidR="004B31C7" w:rsidRPr="003C6F09" w:rsidRDefault="004B31C7" w:rsidP="006D5397">
      <w:pPr>
        <w:jc w:val="both"/>
        <w:rPr>
          <w:rFonts w:ascii="Arial" w:hAnsi="Arial"/>
          <w:b/>
          <w:bCs/>
          <w:sz w:val="26"/>
          <w:szCs w:val="26"/>
          <w:rtl/>
        </w:rPr>
      </w:pPr>
    </w:p>
    <w:p w14:paraId="5235A1C9" w14:textId="77777777" w:rsidR="004B31C7" w:rsidRDefault="004B31C7" w:rsidP="006D5397">
      <w:pPr>
        <w:jc w:val="both"/>
        <w:rPr>
          <w:rFonts w:ascii="Arial" w:hAnsi="Arial"/>
          <w:b/>
          <w:bCs/>
          <w:sz w:val="26"/>
          <w:szCs w:val="26"/>
          <w:rtl/>
        </w:rPr>
      </w:pPr>
    </w:p>
    <w:p w14:paraId="6E8C8D02" w14:textId="77777777" w:rsidR="004B31C7" w:rsidRDefault="004B31C7" w:rsidP="006D5397">
      <w:pPr>
        <w:jc w:val="both"/>
        <w:rPr>
          <w:rFonts w:ascii="Arial" w:hAnsi="Arial"/>
          <w:sz w:val="26"/>
          <w:szCs w:val="26"/>
          <w:rtl/>
        </w:rPr>
      </w:pPr>
    </w:p>
    <w:p w14:paraId="210A82A2" w14:textId="77777777" w:rsidR="004B31C7" w:rsidRPr="003C6F09" w:rsidRDefault="004B31C7" w:rsidP="006D5397">
      <w:pPr>
        <w:jc w:val="both"/>
        <w:rPr>
          <w:rFonts w:ascii="Arial" w:hAnsi="Arial"/>
          <w:b/>
          <w:bCs/>
          <w:sz w:val="26"/>
          <w:szCs w:val="26"/>
          <w:rtl/>
        </w:rPr>
      </w:pPr>
      <w:r w:rsidRPr="00850C30">
        <w:rPr>
          <w:rFonts w:ascii="Arial" w:hAnsi="Arial"/>
          <w:sz w:val="26"/>
          <w:szCs w:val="26"/>
          <w:rtl/>
        </w:rPr>
        <w:t>על בסיס הודאת הנאשם, אני קובעת כי ביצע את המיוחס לו בכתב האישום המתוקן</w:t>
      </w:r>
      <w:r w:rsidRPr="003C6F09">
        <w:rPr>
          <w:rFonts w:ascii="Arial" w:hAnsi="Arial"/>
          <w:b/>
          <w:bCs/>
          <w:sz w:val="26"/>
          <w:szCs w:val="26"/>
          <w:rtl/>
        </w:rPr>
        <w:t xml:space="preserve">. </w:t>
      </w:r>
    </w:p>
    <w:p w14:paraId="2B4252E6" w14:textId="77777777" w:rsidR="004B31C7" w:rsidRPr="003C6F09" w:rsidRDefault="004B31C7" w:rsidP="006D5397">
      <w:pPr>
        <w:jc w:val="both"/>
        <w:rPr>
          <w:rFonts w:ascii="Arial" w:hAnsi="Arial"/>
          <w:b/>
          <w:bCs/>
          <w:sz w:val="26"/>
          <w:szCs w:val="26"/>
          <w:rtl/>
        </w:rPr>
      </w:pPr>
    </w:p>
    <w:p w14:paraId="2A73176D" w14:textId="77777777" w:rsidR="004B31C7" w:rsidRPr="003C6F09" w:rsidRDefault="004B31C7" w:rsidP="006D5397">
      <w:pPr>
        <w:jc w:val="both"/>
        <w:rPr>
          <w:rFonts w:ascii="Arial" w:hAnsi="Arial"/>
          <w:b/>
          <w:bCs/>
          <w:sz w:val="26"/>
          <w:szCs w:val="26"/>
          <w:rtl/>
        </w:rPr>
      </w:pPr>
    </w:p>
    <w:p w14:paraId="1C566A38" w14:textId="77777777" w:rsidR="004B31C7" w:rsidRPr="003C6F09" w:rsidRDefault="004B31C7" w:rsidP="006D5397">
      <w:pPr>
        <w:jc w:val="both"/>
        <w:rPr>
          <w:rFonts w:ascii="Arial" w:hAnsi="Arial"/>
          <w:b/>
          <w:bCs/>
          <w:sz w:val="26"/>
          <w:szCs w:val="26"/>
          <w:rtl/>
        </w:rPr>
      </w:pPr>
    </w:p>
    <w:p w14:paraId="3A35B3F8" w14:textId="77777777" w:rsidR="004B31C7" w:rsidRPr="003C6F09" w:rsidRDefault="004B31C7" w:rsidP="006D5397">
      <w:pPr>
        <w:jc w:val="both"/>
        <w:rPr>
          <w:rFonts w:ascii="Arial" w:hAnsi="Arial"/>
          <w:b/>
          <w:bCs/>
          <w:sz w:val="26"/>
          <w:szCs w:val="26"/>
          <w:rtl/>
        </w:rPr>
      </w:pPr>
    </w:p>
    <w:p w14:paraId="394611D4" w14:textId="77777777" w:rsidR="004B31C7" w:rsidRPr="003C6F09" w:rsidRDefault="004B31C7" w:rsidP="006D5397">
      <w:pPr>
        <w:jc w:val="both"/>
        <w:rPr>
          <w:rFonts w:ascii="Arial" w:hAnsi="Arial"/>
          <w:b/>
          <w:bCs/>
          <w:sz w:val="26"/>
          <w:szCs w:val="26"/>
          <w:rtl/>
        </w:rPr>
      </w:pPr>
      <w:r w:rsidRPr="00A22516">
        <w:rPr>
          <w:rFonts w:ascii="Arial" w:hAnsi="Arial"/>
          <w:b/>
          <w:bCs/>
          <w:sz w:val="22"/>
          <w:szCs w:val="22"/>
          <w:rtl/>
        </w:rPr>
        <w:t>ניתנה והודעה היום כ"ו שבט תשפ"ה, 24/02/2025 במעמד הנוכחים</w:t>
      </w:r>
      <w:r w:rsidRPr="003C6F09">
        <w:rPr>
          <w:rFonts w:ascii="Arial" w:hAnsi="Arial"/>
          <w:b/>
          <w:bCs/>
          <w:sz w:val="26"/>
          <w:szCs w:val="26"/>
          <w:rtl/>
        </w:rPr>
        <w:t>.</w:t>
      </w:r>
    </w:p>
    <w:p w14:paraId="5026B899" w14:textId="77777777" w:rsidR="004B31C7" w:rsidRPr="003C6F09" w:rsidRDefault="004B31C7" w:rsidP="006D5397">
      <w:pPr>
        <w:jc w:val="both"/>
        <w:rPr>
          <w:rFonts w:ascii="Arial" w:hAnsi="Arial"/>
          <w:b/>
          <w:bCs/>
          <w:sz w:val="26"/>
          <w:szCs w:val="26"/>
          <w:rtl/>
        </w:rPr>
      </w:pPr>
    </w:p>
    <w:p w14:paraId="7884A377" w14:textId="77777777" w:rsidR="004B31C7" w:rsidRPr="003C6F09" w:rsidRDefault="004B31C7" w:rsidP="006D5397">
      <w:pPr>
        <w:jc w:val="both"/>
        <w:rPr>
          <w:rFonts w:ascii="Arial" w:hAnsi="Arial"/>
          <w:b/>
          <w:bCs/>
          <w:sz w:val="26"/>
          <w:szCs w:val="26"/>
          <w:rtl/>
        </w:rPr>
      </w:pPr>
      <w:r w:rsidRPr="003C6F09">
        <w:rPr>
          <w:rFonts w:ascii="Arial" w:hAnsi="Arial"/>
          <w:b/>
          <w:bCs/>
          <w:sz w:val="26"/>
          <w:szCs w:val="26"/>
          <w:rtl/>
        </w:rPr>
        <w:t xml:space="preserve"> </w:t>
      </w:r>
    </w:p>
    <w:p w14:paraId="137FFCED" w14:textId="77777777" w:rsidR="004B31C7" w:rsidRPr="003C6F09" w:rsidRDefault="004B31C7" w:rsidP="006D5397">
      <w:pPr>
        <w:jc w:val="both"/>
        <w:rPr>
          <w:rFonts w:ascii="Arial" w:hAnsi="Arial"/>
          <w:b/>
          <w:bCs/>
          <w:sz w:val="26"/>
          <w:szCs w:val="26"/>
          <w:rtl/>
        </w:rPr>
      </w:pPr>
    </w:p>
    <w:p w14:paraId="3016CAC5" w14:textId="77777777" w:rsidR="004B31C7" w:rsidRPr="00A22516" w:rsidRDefault="004B31C7" w:rsidP="006D5397">
      <w:pPr>
        <w:ind w:left="5040" w:firstLine="720"/>
        <w:jc w:val="both"/>
        <w:rPr>
          <w:rFonts w:ascii="Arial" w:hAnsi="Arial"/>
          <w:b/>
          <w:bCs/>
          <w:sz w:val="22"/>
          <w:szCs w:val="22"/>
          <w:rtl/>
        </w:rPr>
      </w:pPr>
      <w:r w:rsidRPr="00A22516">
        <w:rPr>
          <w:rFonts w:ascii="Arial" w:hAnsi="Arial"/>
          <w:b/>
          <w:bCs/>
          <w:sz w:val="22"/>
          <w:szCs w:val="22"/>
          <w:rtl/>
        </w:rPr>
        <w:t>אילנית אימבר, שופטת</w:t>
      </w:r>
    </w:p>
    <w:p w14:paraId="756DA3A8" w14:textId="77777777" w:rsidR="004B31C7" w:rsidRPr="00850C30" w:rsidRDefault="004B31C7" w:rsidP="006D5397">
      <w:pPr>
        <w:jc w:val="both"/>
        <w:rPr>
          <w:rFonts w:ascii="Arial" w:hAnsi="Arial"/>
          <w:b/>
          <w:bCs/>
          <w:sz w:val="28"/>
          <w:szCs w:val="28"/>
          <w:u w:val="single"/>
          <w:rtl/>
        </w:rPr>
      </w:pPr>
      <w:r w:rsidRPr="00850C30">
        <w:rPr>
          <w:rFonts w:ascii="Arial" w:hAnsi="Arial"/>
          <w:b/>
          <w:bCs/>
          <w:sz w:val="28"/>
          <w:szCs w:val="28"/>
          <w:u w:val="single"/>
          <w:rtl/>
        </w:rPr>
        <w:t xml:space="preserve"> </w:t>
      </w:r>
    </w:p>
    <w:p w14:paraId="0A2C57CD" w14:textId="77777777" w:rsidR="004B31C7" w:rsidRDefault="004B31C7" w:rsidP="006D5397">
      <w:pPr>
        <w:jc w:val="both"/>
        <w:rPr>
          <w:rFonts w:ascii="Arial" w:hAnsi="Arial"/>
          <w:b/>
          <w:bCs/>
          <w:sz w:val="26"/>
          <w:szCs w:val="26"/>
          <w:u w:val="single"/>
          <w:rtl/>
        </w:rPr>
      </w:pPr>
    </w:p>
    <w:p w14:paraId="6230F903" w14:textId="77777777" w:rsidR="004B31C7" w:rsidRDefault="004B31C7" w:rsidP="006D5397">
      <w:pPr>
        <w:jc w:val="both"/>
        <w:rPr>
          <w:rFonts w:ascii="Arial" w:hAnsi="Arial"/>
          <w:b/>
          <w:bCs/>
          <w:sz w:val="26"/>
          <w:szCs w:val="26"/>
          <w:u w:val="single"/>
          <w:rtl/>
        </w:rPr>
      </w:pPr>
    </w:p>
    <w:p w14:paraId="0BCDC202" w14:textId="77777777" w:rsidR="004B31C7" w:rsidRDefault="004B31C7" w:rsidP="006D5397">
      <w:pPr>
        <w:jc w:val="both"/>
        <w:rPr>
          <w:rFonts w:ascii="Arial" w:hAnsi="Arial"/>
          <w:b/>
          <w:bCs/>
          <w:sz w:val="26"/>
          <w:szCs w:val="26"/>
          <w:u w:val="single"/>
          <w:rtl/>
        </w:rPr>
      </w:pPr>
    </w:p>
    <w:p w14:paraId="6F987900" w14:textId="77777777" w:rsidR="004B31C7" w:rsidRDefault="004B31C7" w:rsidP="006D5397">
      <w:pPr>
        <w:jc w:val="both"/>
        <w:rPr>
          <w:rFonts w:ascii="Arial" w:hAnsi="Arial"/>
          <w:b/>
          <w:bCs/>
          <w:sz w:val="26"/>
          <w:szCs w:val="26"/>
          <w:u w:val="single"/>
          <w:rtl/>
        </w:rPr>
      </w:pPr>
    </w:p>
    <w:p w14:paraId="4766F0A2" w14:textId="77777777" w:rsidR="004B31C7" w:rsidRDefault="004B31C7" w:rsidP="006D5397">
      <w:pPr>
        <w:jc w:val="both"/>
        <w:rPr>
          <w:rFonts w:ascii="Arial" w:hAnsi="Arial"/>
          <w:b/>
          <w:bCs/>
          <w:sz w:val="26"/>
          <w:szCs w:val="26"/>
          <w:u w:val="single"/>
          <w:rtl/>
        </w:rPr>
      </w:pPr>
    </w:p>
    <w:p w14:paraId="532A459A" w14:textId="77777777" w:rsidR="004B31C7" w:rsidRDefault="004B31C7" w:rsidP="006D5397">
      <w:pPr>
        <w:jc w:val="both"/>
        <w:rPr>
          <w:rFonts w:ascii="Arial" w:hAnsi="Arial"/>
          <w:b/>
          <w:bCs/>
          <w:sz w:val="26"/>
          <w:szCs w:val="26"/>
          <w:u w:val="single"/>
          <w:rtl/>
        </w:rPr>
      </w:pPr>
    </w:p>
    <w:p w14:paraId="17BCFB1E" w14:textId="77777777" w:rsidR="004B31C7" w:rsidRDefault="004B31C7" w:rsidP="006D5397">
      <w:pPr>
        <w:jc w:val="both"/>
        <w:rPr>
          <w:rFonts w:ascii="Arial" w:hAnsi="Arial"/>
          <w:b/>
          <w:bCs/>
          <w:sz w:val="26"/>
          <w:szCs w:val="26"/>
          <w:u w:val="single"/>
          <w:rtl/>
        </w:rPr>
      </w:pPr>
      <w:r w:rsidRPr="00850C30">
        <w:rPr>
          <w:rFonts w:ascii="Arial" w:hAnsi="Arial"/>
          <w:b/>
          <w:bCs/>
          <w:sz w:val="26"/>
          <w:szCs w:val="26"/>
          <w:u w:val="single"/>
          <w:rtl/>
        </w:rPr>
        <w:t xml:space="preserve">ראשית דבר </w:t>
      </w:r>
    </w:p>
    <w:p w14:paraId="47FA5D07" w14:textId="77777777" w:rsidR="004B31C7" w:rsidRPr="00850C30" w:rsidRDefault="004B31C7" w:rsidP="006D5397">
      <w:pPr>
        <w:jc w:val="both"/>
        <w:rPr>
          <w:rFonts w:ascii="Arial" w:hAnsi="Arial"/>
          <w:b/>
          <w:bCs/>
          <w:sz w:val="26"/>
          <w:szCs w:val="26"/>
          <w:u w:val="single"/>
          <w:rtl/>
        </w:rPr>
      </w:pPr>
    </w:p>
    <w:p w14:paraId="6ACFB90C" w14:textId="77777777" w:rsidR="004B31C7" w:rsidRPr="003C6F09" w:rsidRDefault="004B31C7" w:rsidP="006D5397">
      <w:pPr>
        <w:jc w:val="both"/>
        <w:rPr>
          <w:rFonts w:ascii="Arial" w:hAnsi="Arial"/>
          <w:b/>
          <w:bCs/>
          <w:sz w:val="26"/>
          <w:szCs w:val="26"/>
          <w:rtl/>
        </w:rPr>
      </w:pPr>
    </w:p>
    <w:p w14:paraId="3DFAE397" w14:textId="77777777" w:rsidR="004B31C7" w:rsidRPr="003C6F09" w:rsidRDefault="004B31C7" w:rsidP="006D5397">
      <w:pPr>
        <w:jc w:val="both"/>
        <w:rPr>
          <w:rFonts w:ascii="Arial" w:hAnsi="Arial"/>
          <w:b/>
          <w:bCs/>
          <w:sz w:val="26"/>
          <w:szCs w:val="26"/>
          <w:rtl/>
        </w:rPr>
      </w:pPr>
      <w:r w:rsidRPr="000E1D6D">
        <w:rPr>
          <w:rFonts w:ascii="Arial" w:hAnsi="Arial"/>
          <w:sz w:val="26"/>
          <w:szCs w:val="26"/>
          <w:rtl/>
        </w:rPr>
        <w:t>1</w:t>
      </w:r>
      <w:r w:rsidRPr="003C6F09">
        <w:rPr>
          <w:rFonts w:ascii="Arial" w:hAnsi="Arial"/>
          <w:b/>
          <w:bCs/>
          <w:sz w:val="26"/>
          <w:szCs w:val="26"/>
          <w:rtl/>
        </w:rPr>
        <w:t>.</w:t>
      </w:r>
      <w:r w:rsidRPr="003C6F09">
        <w:rPr>
          <w:rFonts w:ascii="Arial" w:hAnsi="Arial"/>
          <w:b/>
          <w:bCs/>
          <w:sz w:val="26"/>
          <w:szCs w:val="26"/>
          <w:rtl/>
        </w:rPr>
        <w:tab/>
        <w:t xml:space="preserve"> </w:t>
      </w:r>
      <w:r w:rsidRPr="00A22516">
        <w:rPr>
          <w:rFonts w:ascii="Arial" w:hAnsi="Arial"/>
          <w:rtl/>
        </w:rPr>
        <w:t>הנאשם הודה בעובדות כתב אישום מתוקן בו יוחסו לו שני אישומים.</w:t>
      </w:r>
      <w:r w:rsidRPr="003C6F09">
        <w:rPr>
          <w:rFonts w:ascii="Arial" w:hAnsi="Arial"/>
          <w:b/>
          <w:bCs/>
          <w:sz w:val="26"/>
          <w:szCs w:val="26"/>
          <w:rtl/>
        </w:rPr>
        <w:t xml:space="preserve">  </w:t>
      </w:r>
    </w:p>
    <w:p w14:paraId="5CF9F6CA" w14:textId="77777777" w:rsidR="004B31C7" w:rsidRPr="003C6F09" w:rsidRDefault="004B31C7" w:rsidP="006D5397">
      <w:pPr>
        <w:spacing w:line="360" w:lineRule="auto"/>
        <w:jc w:val="both"/>
        <w:rPr>
          <w:rFonts w:ascii="Arial" w:hAnsi="Arial"/>
          <w:b/>
          <w:bCs/>
          <w:sz w:val="26"/>
          <w:szCs w:val="26"/>
          <w:rtl/>
        </w:rPr>
      </w:pPr>
    </w:p>
    <w:p w14:paraId="7C7D828A" w14:textId="77777777" w:rsidR="004B31C7" w:rsidRPr="003F31D5" w:rsidRDefault="004B31C7" w:rsidP="006D5397">
      <w:pPr>
        <w:spacing w:line="360" w:lineRule="auto"/>
        <w:ind w:left="720" w:hanging="720"/>
        <w:jc w:val="both"/>
        <w:rPr>
          <w:rFonts w:ascii="Arial" w:hAnsi="Arial"/>
          <w:rtl/>
        </w:rPr>
      </w:pPr>
      <w:r w:rsidRPr="009F2491">
        <w:rPr>
          <w:rFonts w:ascii="Arial" w:hAnsi="Arial"/>
          <w:rtl/>
        </w:rPr>
        <w:t>2</w:t>
      </w:r>
      <w:r w:rsidRPr="003F31D5">
        <w:rPr>
          <w:rFonts w:ascii="Arial" w:hAnsi="Arial"/>
          <w:rtl/>
        </w:rPr>
        <w:t>.</w:t>
      </w:r>
      <w:r w:rsidRPr="003F31D5">
        <w:rPr>
          <w:rFonts w:ascii="Arial" w:hAnsi="Arial"/>
          <w:rtl/>
        </w:rPr>
        <w:tab/>
        <w:t xml:space="preserve">במסגרת האישום הראשון, במהלך חודשים יולי-אוגוסט 2024 החליט הנאשם לייצר מטען חבלה מאולתר מסוג מטען צינור ולפוצץ אותו. לשם מימוש התוכנית צפה בסרטוני הדרכה לייצור מטעני חבלה, בין היתר, בערוץ הטלגרם בשפה הערבית בו הוסבר כיצד לייצר מטען חבלה מצינור מתכת, פחמים וזיקוקים. </w:t>
      </w:r>
    </w:p>
    <w:p w14:paraId="7605DC32" w14:textId="77777777" w:rsidR="004B31C7" w:rsidRPr="003F31D5" w:rsidRDefault="004B31C7" w:rsidP="006D5397">
      <w:pPr>
        <w:spacing w:line="360" w:lineRule="auto"/>
        <w:jc w:val="both"/>
        <w:rPr>
          <w:rFonts w:ascii="Arial" w:hAnsi="Arial"/>
          <w:rtl/>
        </w:rPr>
      </w:pPr>
    </w:p>
    <w:p w14:paraId="59DD51F0" w14:textId="77777777" w:rsidR="004B31C7" w:rsidRPr="003F31D5" w:rsidRDefault="004B31C7" w:rsidP="006D5397">
      <w:pPr>
        <w:spacing w:line="360" w:lineRule="auto"/>
        <w:ind w:left="720" w:hanging="720"/>
        <w:jc w:val="both"/>
        <w:rPr>
          <w:rFonts w:ascii="Arial" w:hAnsi="Arial"/>
          <w:rtl/>
        </w:rPr>
      </w:pPr>
      <w:r w:rsidRPr="003F31D5">
        <w:rPr>
          <w:rFonts w:ascii="Arial" w:hAnsi="Arial"/>
          <w:rtl/>
        </w:rPr>
        <w:t>3.</w:t>
      </w:r>
      <w:r w:rsidRPr="003F31D5">
        <w:rPr>
          <w:rFonts w:ascii="Arial" w:hAnsi="Arial"/>
          <w:rtl/>
        </w:rPr>
        <w:tab/>
        <w:t xml:space="preserve">לצורך מימוש התוכנית רכש הנאשם צינור מתכת אטום משני צדיו וכן טחן פחם וערבב אותו יחד עם אבק שריפה אותו הוציא מזיקוקים אותם פירק. בהמשך, מילא את הצינור באבקת הזיקוקים והפחם הכניס פתיל ואטם את הצינור משני צדדיו כאשר הפתיל מחוץ לצינור. בכך, ייצר הנאשם מטען חבלה מסוג מטען צינור בהיותו חפץ נפיץ שבכוחו להמית אדם או להזיק לו בעת התפוצצותו. </w:t>
      </w:r>
    </w:p>
    <w:p w14:paraId="1A9D540F" w14:textId="77777777" w:rsidR="004B31C7" w:rsidRPr="003F31D5" w:rsidRDefault="004B31C7" w:rsidP="006D5397">
      <w:pPr>
        <w:jc w:val="both"/>
        <w:rPr>
          <w:rFonts w:ascii="Arial" w:hAnsi="Arial"/>
          <w:rtl/>
        </w:rPr>
      </w:pPr>
    </w:p>
    <w:p w14:paraId="20AE7E32" w14:textId="77777777" w:rsidR="004B31C7" w:rsidRPr="003F31D5" w:rsidRDefault="004B31C7" w:rsidP="006D5397">
      <w:pPr>
        <w:jc w:val="both"/>
        <w:rPr>
          <w:rFonts w:ascii="Arial" w:hAnsi="Arial"/>
          <w:rtl/>
        </w:rPr>
      </w:pPr>
    </w:p>
    <w:p w14:paraId="612C0739" w14:textId="77777777" w:rsidR="004B31C7" w:rsidRPr="003F31D5" w:rsidRDefault="004B31C7" w:rsidP="006D5397">
      <w:pPr>
        <w:spacing w:line="360" w:lineRule="auto"/>
        <w:ind w:left="720" w:hanging="720"/>
        <w:jc w:val="both"/>
        <w:rPr>
          <w:rFonts w:ascii="Arial" w:hAnsi="Arial"/>
          <w:rtl/>
        </w:rPr>
      </w:pPr>
      <w:r w:rsidRPr="003F31D5">
        <w:rPr>
          <w:rFonts w:ascii="Arial" w:hAnsi="Arial"/>
          <w:rtl/>
        </w:rPr>
        <w:t>4.</w:t>
      </w:r>
      <w:r w:rsidRPr="003F31D5">
        <w:rPr>
          <w:rFonts w:ascii="Arial" w:hAnsi="Arial"/>
          <w:rtl/>
        </w:rPr>
        <w:tab/>
        <w:t xml:space="preserve">בתאריך 13/8/24 הנאשם רכב על אופניו החשמליים </w:t>
      </w:r>
      <w:r>
        <w:rPr>
          <w:rFonts w:ascii="Arial" w:hAnsi="Arial"/>
          <w:rtl/>
        </w:rPr>
        <w:t>מביתו לבית חברו בישוב סמוך</w:t>
      </w:r>
      <w:r w:rsidRPr="003F31D5">
        <w:rPr>
          <w:rFonts w:ascii="Arial" w:hAnsi="Arial"/>
          <w:rtl/>
        </w:rPr>
        <w:t xml:space="preserve"> כשהוא נושא ומוביל עמו את המטען בשקית. בהמשך, רכבו הנא</w:t>
      </w:r>
      <w:r>
        <w:rPr>
          <w:rFonts w:ascii="Arial" w:hAnsi="Arial"/>
          <w:rtl/>
        </w:rPr>
        <w:t>שם וחברו לחורשה באזור הישוב הסמוך</w:t>
      </w:r>
      <w:r w:rsidRPr="003F31D5">
        <w:rPr>
          <w:rFonts w:ascii="Arial" w:hAnsi="Arial"/>
          <w:rtl/>
        </w:rPr>
        <w:t xml:space="preserve"> כאשר הנאשם ממשיך לשאת ולהוביל את המטען ללא רשות על פי דין. בהגיעם לחורש</w:t>
      </w:r>
      <w:r>
        <w:rPr>
          <w:rFonts w:ascii="Arial" w:hAnsi="Arial"/>
          <w:rtl/>
        </w:rPr>
        <w:t xml:space="preserve">ה </w:t>
      </w:r>
      <w:r w:rsidRPr="003F31D5">
        <w:rPr>
          <w:rFonts w:ascii="Arial" w:hAnsi="Arial"/>
          <w:rtl/>
        </w:rPr>
        <w:t xml:space="preserve">,  הדליק את הפתיל של מטען הצינור במטרה לגרום לפיצוצו.  </w:t>
      </w:r>
    </w:p>
    <w:p w14:paraId="711E0559" w14:textId="77777777" w:rsidR="004B31C7" w:rsidRPr="003F31D5" w:rsidRDefault="004B31C7" w:rsidP="006D5397">
      <w:pPr>
        <w:spacing w:line="360" w:lineRule="auto"/>
        <w:jc w:val="both"/>
        <w:rPr>
          <w:rFonts w:ascii="Arial" w:hAnsi="Arial"/>
          <w:rtl/>
        </w:rPr>
      </w:pPr>
    </w:p>
    <w:p w14:paraId="27C019E6" w14:textId="77777777" w:rsidR="004B31C7" w:rsidRPr="003F31D5" w:rsidRDefault="004B31C7" w:rsidP="006D5397">
      <w:pPr>
        <w:spacing w:line="360" w:lineRule="auto"/>
        <w:ind w:left="720" w:hanging="720"/>
        <w:jc w:val="both"/>
        <w:rPr>
          <w:rFonts w:ascii="Arial" w:hAnsi="Arial"/>
          <w:rtl/>
        </w:rPr>
      </w:pPr>
      <w:r w:rsidRPr="003F31D5">
        <w:rPr>
          <w:rFonts w:ascii="Arial" w:hAnsi="Arial"/>
          <w:rtl/>
        </w:rPr>
        <w:t>5.</w:t>
      </w:r>
      <w:r w:rsidRPr="003F31D5">
        <w:rPr>
          <w:rFonts w:ascii="Arial" w:hAnsi="Arial"/>
          <w:rtl/>
        </w:rPr>
        <w:tab/>
        <w:t xml:space="preserve">במסגרת האישום השני, הודה הנאשם כי בחודש אוגוסט 2022 נוצר קשר בינו לבין תושב ג'נין בשם אברהים סילוואי בעת ששיחקו השניים במשחק הרשת </w:t>
      </w:r>
      <w:r w:rsidRPr="003F31D5">
        <w:rPr>
          <w:rFonts w:ascii="Arial" w:hAnsi="Arial"/>
        </w:rPr>
        <w:t>PUBG</w:t>
      </w:r>
      <w:r w:rsidRPr="003F31D5">
        <w:rPr>
          <w:rFonts w:ascii="Arial" w:hAnsi="Arial"/>
          <w:rtl/>
        </w:rPr>
        <w:t xml:space="preserve"> וכן התכתבו ושוחחו במסנג'ר. במהלך השיחות הבין הנאשם כי אברהים הנ"ל יוכל להשיג עבורו מטען חבלה. ביום 15/8/24 הודיע אברהים לנאשם כי שני מטעני חבלה מוכנים והנאשם אף ביקש ממנו "לעשות לו מחיר" עליהם. </w:t>
      </w:r>
    </w:p>
    <w:p w14:paraId="0FAE5C0F" w14:textId="77777777" w:rsidR="004B31C7" w:rsidRPr="003F31D5" w:rsidRDefault="004B31C7" w:rsidP="006D5397">
      <w:pPr>
        <w:spacing w:line="360" w:lineRule="auto"/>
        <w:jc w:val="both"/>
        <w:rPr>
          <w:rFonts w:ascii="Arial" w:hAnsi="Arial"/>
          <w:rtl/>
        </w:rPr>
      </w:pPr>
    </w:p>
    <w:p w14:paraId="2F0E5436" w14:textId="77777777" w:rsidR="004B31C7" w:rsidRPr="003F31D5" w:rsidRDefault="004B31C7" w:rsidP="006D5397">
      <w:pPr>
        <w:spacing w:line="360" w:lineRule="auto"/>
        <w:ind w:left="720" w:hanging="720"/>
        <w:jc w:val="both"/>
        <w:rPr>
          <w:rFonts w:ascii="Arial" w:hAnsi="Arial"/>
          <w:rtl/>
        </w:rPr>
      </w:pPr>
      <w:r w:rsidRPr="003F31D5">
        <w:rPr>
          <w:rFonts w:ascii="Arial" w:hAnsi="Arial"/>
          <w:rtl/>
        </w:rPr>
        <w:t>6.</w:t>
      </w:r>
      <w:r w:rsidRPr="003F31D5">
        <w:rPr>
          <w:rFonts w:ascii="Arial" w:hAnsi="Arial"/>
          <w:rtl/>
        </w:rPr>
        <w:tab/>
        <w:t xml:space="preserve">ביום 16/8/24 הודיע אברהים לנאשם באמצעות המסנג'ר כי שני המטענים יעלו 150 ₪ וסוכם כי הנאשם יגיע לג'נין לפגשו לצורך הרכישה. הנאשם נפגש עם אברהים בשוק בג'נין שם רכש הנאשם מטען חבלה מאולתר מסוג מטען צינור תמורת 50 ₪ הנאשם החביא את מטען הצינור בתיק פאוץ' שהיה ברשותו. </w:t>
      </w:r>
    </w:p>
    <w:p w14:paraId="53C16E43" w14:textId="77777777" w:rsidR="004B31C7" w:rsidRPr="003F31D5" w:rsidRDefault="004B31C7" w:rsidP="006D5397">
      <w:pPr>
        <w:spacing w:line="360" w:lineRule="auto"/>
        <w:jc w:val="both"/>
        <w:rPr>
          <w:rFonts w:ascii="Arial" w:hAnsi="Arial"/>
          <w:rtl/>
        </w:rPr>
      </w:pPr>
    </w:p>
    <w:p w14:paraId="3EAFE797" w14:textId="77777777" w:rsidR="004B31C7" w:rsidRPr="003F31D5" w:rsidRDefault="004B31C7" w:rsidP="006D5397">
      <w:pPr>
        <w:spacing w:line="360" w:lineRule="auto"/>
        <w:ind w:left="720" w:hanging="720"/>
        <w:jc w:val="both"/>
        <w:rPr>
          <w:rFonts w:ascii="Arial" w:hAnsi="Arial"/>
          <w:rtl/>
        </w:rPr>
      </w:pPr>
      <w:r w:rsidRPr="003F31D5">
        <w:rPr>
          <w:rFonts w:ascii="Arial" w:hAnsi="Arial"/>
          <w:rtl/>
        </w:rPr>
        <w:t>7.</w:t>
      </w:r>
      <w:r w:rsidRPr="003F31D5">
        <w:rPr>
          <w:rFonts w:ascii="Arial" w:hAnsi="Arial"/>
          <w:rtl/>
        </w:rPr>
        <w:tab/>
        <w:t xml:space="preserve">בסמוך לשעה 14:00 במועד הנ"ל נסע </w:t>
      </w:r>
      <w:r>
        <w:rPr>
          <w:rFonts w:ascii="Arial" w:hAnsi="Arial"/>
          <w:rtl/>
        </w:rPr>
        <w:t xml:space="preserve">הנאשם חזרה לביתו </w:t>
      </w:r>
      <w:r w:rsidRPr="003F31D5">
        <w:rPr>
          <w:rFonts w:ascii="Arial" w:hAnsi="Arial"/>
          <w:rtl/>
        </w:rPr>
        <w:t xml:space="preserve">כשהוא נושא ומוביל את מטען הצינור בתיק הפאוץ' אותו נשא, בביתו עטף אותו בטיטול והחביאו בארון הבגדים בחדרו שם נתפס בעת חיפוש ביום 22/8/24. הנאשם רכש נשא והוביל נשק בלא רשות על פי דין וכן החזיק בביתו נשק שלא כדין. </w:t>
      </w:r>
    </w:p>
    <w:p w14:paraId="7D54713B" w14:textId="77777777" w:rsidR="004B31C7" w:rsidRPr="003F31D5" w:rsidRDefault="004B31C7" w:rsidP="006D5397">
      <w:pPr>
        <w:spacing w:line="360" w:lineRule="auto"/>
        <w:jc w:val="both"/>
        <w:rPr>
          <w:rFonts w:ascii="Arial" w:hAnsi="Arial"/>
          <w:rtl/>
        </w:rPr>
      </w:pPr>
    </w:p>
    <w:p w14:paraId="2B88DB6C" w14:textId="77777777" w:rsidR="004B31C7" w:rsidRPr="003F31D5" w:rsidRDefault="004B31C7" w:rsidP="006D5397">
      <w:pPr>
        <w:spacing w:line="360" w:lineRule="auto"/>
        <w:jc w:val="both"/>
        <w:rPr>
          <w:rFonts w:ascii="Arial" w:hAnsi="Arial"/>
          <w:rtl/>
        </w:rPr>
      </w:pPr>
      <w:r w:rsidRPr="003F31D5">
        <w:rPr>
          <w:rFonts w:ascii="Arial" w:hAnsi="Arial"/>
          <w:rtl/>
        </w:rPr>
        <w:t>8.</w:t>
      </w:r>
      <w:r w:rsidRPr="003F31D5">
        <w:rPr>
          <w:rFonts w:ascii="Arial" w:hAnsi="Arial"/>
          <w:rtl/>
        </w:rPr>
        <w:tab/>
        <w:t>בגין מעשיו של הנאשם יוחסו לו בשני האישומים העבירות הבאות:</w:t>
      </w:r>
    </w:p>
    <w:p w14:paraId="3C5682CB" w14:textId="77777777" w:rsidR="004B31C7" w:rsidRPr="003F31D5" w:rsidRDefault="004B31C7" w:rsidP="006D5397">
      <w:pPr>
        <w:spacing w:line="360" w:lineRule="auto"/>
        <w:jc w:val="both"/>
        <w:rPr>
          <w:rFonts w:ascii="Arial" w:hAnsi="Arial"/>
          <w:rtl/>
        </w:rPr>
      </w:pPr>
    </w:p>
    <w:p w14:paraId="5DE4874D" w14:textId="77777777" w:rsidR="004B31C7" w:rsidRPr="003F31D5" w:rsidRDefault="004B31C7" w:rsidP="006D5397">
      <w:pPr>
        <w:spacing w:line="360" w:lineRule="auto"/>
        <w:ind w:left="1440" w:hanging="720"/>
        <w:jc w:val="both"/>
        <w:rPr>
          <w:rFonts w:ascii="Arial" w:hAnsi="Arial"/>
          <w:rtl/>
        </w:rPr>
      </w:pPr>
      <w:r w:rsidRPr="003F31D5">
        <w:rPr>
          <w:rFonts w:ascii="Arial" w:hAnsi="Arial"/>
          <w:rtl/>
        </w:rPr>
        <w:t>א.</w:t>
      </w:r>
      <w:r w:rsidRPr="003F31D5">
        <w:rPr>
          <w:rFonts w:ascii="Arial" w:hAnsi="Arial"/>
          <w:rtl/>
        </w:rPr>
        <w:tab/>
        <w:t xml:space="preserve">עבירות בנשק (ייצור) – עבירה לפי </w:t>
      </w:r>
      <w:hyperlink r:id="rId23" w:history="1">
        <w:r w:rsidR="009561DC" w:rsidRPr="009561DC">
          <w:rPr>
            <w:rStyle w:val="Hyperlink"/>
            <w:rFonts w:ascii="Arial" w:hAnsi="Arial"/>
            <w:rtl/>
          </w:rPr>
          <w:t>סעיף 144 (ב2)</w:t>
        </w:r>
      </w:hyperlink>
      <w:r w:rsidRPr="003F31D5">
        <w:rPr>
          <w:rFonts w:ascii="Arial" w:hAnsi="Arial"/>
          <w:rtl/>
        </w:rPr>
        <w:t xml:space="preserve"> ל</w:t>
      </w:r>
      <w:hyperlink r:id="rId24" w:history="1">
        <w:r w:rsidR="004F402C" w:rsidRPr="004F402C">
          <w:rPr>
            <w:rFonts w:ascii="Arial" w:hAnsi="Arial"/>
            <w:color w:val="0000FF"/>
            <w:u w:val="single"/>
            <w:rtl/>
          </w:rPr>
          <w:t>חוק העונשין</w:t>
        </w:r>
      </w:hyperlink>
      <w:r w:rsidRPr="003F31D5">
        <w:rPr>
          <w:rFonts w:ascii="Arial" w:hAnsi="Arial"/>
          <w:rtl/>
        </w:rPr>
        <w:t xml:space="preserve"> התשל"ז-1977 (להלן: </w:t>
      </w:r>
      <w:r w:rsidRPr="00D97B78">
        <w:rPr>
          <w:rFonts w:ascii="Arial" w:hAnsi="Arial"/>
          <w:b/>
          <w:bCs/>
          <w:rtl/>
        </w:rPr>
        <w:t>"החוק")</w:t>
      </w:r>
    </w:p>
    <w:p w14:paraId="232781D8" w14:textId="77777777" w:rsidR="004B31C7" w:rsidRPr="003F31D5" w:rsidRDefault="004B31C7" w:rsidP="006D5397">
      <w:pPr>
        <w:spacing w:line="360" w:lineRule="auto"/>
        <w:ind w:firstLine="720"/>
        <w:jc w:val="both"/>
        <w:rPr>
          <w:rFonts w:ascii="Arial" w:hAnsi="Arial"/>
          <w:rtl/>
        </w:rPr>
      </w:pPr>
      <w:r w:rsidRPr="003F31D5">
        <w:rPr>
          <w:rFonts w:ascii="Arial" w:hAnsi="Arial"/>
          <w:rtl/>
        </w:rPr>
        <w:t>ב.</w:t>
      </w:r>
      <w:r w:rsidRPr="003F31D5">
        <w:rPr>
          <w:rFonts w:ascii="Arial" w:hAnsi="Arial"/>
          <w:rtl/>
        </w:rPr>
        <w:tab/>
        <w:t xml:space="preserve">עבירות בנשק (נשיאה והובלה) – עבירה לפי </w:t>
      </w:r>
      <w:hyperlink r:id="rId25" w:history="1">
        <w:r w:rsidR="009561DC" w:rsidRPr="009561DC">
          <w:rPr>
            <w:rStyle w:val="Hyperlink"/>
            <w:rFonts w:ascii="Arial" w:hAnsi="Arial"/>
            <w:rtl/>
          </w:rPr>
          <w:t>סעיף 144 (ב)</w:t>
        </w:r>
      </w:hyperlink>
      <w:r w:rsidRPr="003F31D5">
        <w:rPr>
          <w:rFonts w:ascii="Arial" w:hAnsi="Arial"/>
          <w:rtl/>
        </w:rPr>
        <w:t xml:space="preserve"> לחוק.</w:t>
      </w:r>
    </w:p>
    <w:p w14:paraId="3DAD1263" w14:textId="77777777" w:rsidR="004B31C7" w:rsidRPr="003F31D5" w:rsidRDefault="004B31C7" w:rsidP="006D5397">
      <w:pPr>
        <w:spacing w:line="360" w:lineRule="auto"/>
        <w:ind w:left="720"/>
        <w:jc w:val="both"/>
        <w:rPr>
          <w:rFonts w:ascii="Arial" w:hAnsi="Arial"/>
          <w:rtl/>
        </w:rPr>
      </w:pPr>
      <w:r w:rsidRPr="003F31D5">
        <w:rPr>
          <w:rFonts w:ascii="Arial" w:hAnsi="Arial"/>
          <w:rtl/>
        </w:rPr>
        <w:t>ג.</w:t>
      </w:r>
      <w:r w:rsidRPr="003F31D5">
        <w:rPr>
          <w:rFonts w:ascii="Arial" w:hAnsi="Arial"/>
          <w:rtl/>
        </w:rPr>
        <w:tab/>
        <w:t xml:space="preserve">עבירות בנשק (רכישה נשיאה והובלה) – עבירה לפי </w:t>
      </w:r>
      <w:hyperlink r:id="rId26" w:history="1">
        <w:r w:rsidR="009561DC" w:rsidRPr="009561DC">
          <w:rPr>
            <w:rStyle w:val="Hyperlink"/>
            <w:rFonts w:ascii="Arial" w:hAnsi="Arial"/>
            <w:rtl/>
          </w:rPr>
          <w:t>סעיף 144 (ב)</w:t>
        </w:r>
      </w:hyperlink>
      <w:r w:rsidRPr="003F31D5">
        <w:rPr>
          <w:rFonts w:ascii="Arial" w:hAnsi="Arial"/>
          <w:rtl/>
        </w:rPr>
        <w:t xml:space="preserve"> רישא לחוק. </w:t>
      </w:r>
    </w:p>
    <w:p w14:paraId="33A72E6A" w14:textId="77777777" w:rsidR="004B31C7" w:rsidRPr="003F31D5" w:rsidRDefault="004B31C7" w:rsidP="006D5397">
      <w:pPr>
        <w:spacing w:line="360" w:lineRule="auto"/>
        <w:ind w:firstLine="720"/>
        <w:jc w:val="both"/>
        <w:rPr>
          <w:rFonts w:ascii="Arial" w:hAnsi="Arial"/>
          <w:rtl/>
        </w:rPr>
      </w:pPr>
      <w:r w:rsidRPr="003F31D5">
        <w:rPr>
          <w:rFonts w:ascii="Arial" w:hAnsi="Arial"/>
          <w:rtl/>
        </w:rPr>
        <w:t>ד.</w:t>
      </w:r>
      <w:r w:rsidRPr="003F31D5">
        <w:rPr>
          <w:rFonts w:ascii="Arial" w:hAnsi="Arial"/>
          <w:rtl/>
        </w:rPr>
        <w:tab/>
        <w:t xml:space="preserve">עבירות בנשק (החזקה) – עבירה לפי </w:t>
      </w:r>
      <w:hyperlink r:id="rId27" w:history="1">
        <w:r w:rsidR="009561DC" w:rsidRPr="009561DC">
          <w:rPr>
            <w:rStyle w:val="Hyperlink"/>
            <w:rFonts w:ascii="Arial" w:hAnsi="Arial"/>
            <w:rtl/>
          </w:rPr>
          <w:t>סעיף 144 (א)</w:t>
        </w:r>
      </w:hyperlink>
      <w:r w:rsidRPr="003F31D5">
        <w:rPr>
          <w:rFonts w:ascii="Arial" w:hAnsi="Arial"/>
          <w:rtl/>
        </w:rPr>
        <w:t xml:space="preserve"> רישא לחוק. </w:t>
      </w:r>
    </w:p>
    <w:p w14:paraId="2FAC792B" w14:textId="77777777" w:rsidR="004B31C7" w:rsidRPr="003F31D5" w:rsidRDefault="004B31C7" w:rsidP="006D5397">
      <w:pPr>
        <w:spacing w:line="360" w:lineRule="auto"/>
        <w:jc w:val="both"/>
        <w:rPr>
          <w:rFonts w:ascii="Arial" w:hAnsi="Arial"/>
          <w:rtl/>
        </w:rPr>
      </w:pPr>
    </w:p>
    <w:p w14:paraId="06B1263D" w14:textId="77777777" w:rsidR="004B31C7" w:rsidRPr="003F31D5" w:rsidRDefault="004B31C7" w:rsidP="006D5397">
      <w:pPr>
        <w:spacing w:line="360" w:lineRule="auto"/>
        <w:ind w:left="720" w:hanging="720"/>
        <w:jc w:val="both"/>
        <w:rPr>
          <w:rFonts w:ascii="Arial" w:hAnsi="Arial"/>
          <w:rtl/>
        </w:rPr>
      </w:pPr>
      <w:r w:rsidRPr="003F31D5">
        <w:rPr>
          <w:rFonts w:ascii="Arial" w:hAnsi="Arial"/>
          <w:rtl/>
        </w:rPr>
        <w:t>9.</w:t>
      </w:r>
      <w:r w:rsidRPr="003F31D5">
        <w:rPr>
          <w:rFonts w:ascii="Arial" w:hAnsi="Arial"/>
          <w:rtl/>
        </w:rPr>
        <w:tab/>
        <w:t xml:space="preserve">הנאשם הודה במיוחס לו במסגרת הסדר טיעון ותיקון כתב האישום ביום 23/12/24 בפני כבוד הנשיא לוי וניתנה הכרעת דין בעניינו באמצעות </w:t>
      </w:r>
      <w:r w:rsidRPr="003F31D5">
        <w:rPr>
          <w:rFonts w:ascii="Arial" w:hAnsi="Arial"/>
        </w:rPr>
        <w:t>VC</w:t>
      </w:r>
      <w:r w:rsidRPr="003F31D5">
        <w:rPr>
          <w:rFonts w:ascii="Arial" w:hAnsi="Arial"/>
          <w:rtl/>
        </w:rPr>
        <w:t>.</w:t>
      </w:r>
    </w:p>
    <w:p w14:paraId="5514ADCD" w14:textId="77777777" w:rsidR="004B31C7" w:rsidRPr="003C6F09" w:rsidRDefault="004B31C7" w:rsidP="006D5397">
      <w:pPr>
        <w:spacing w:line="360" w:lineRule="auto"/>
        <w:jc w:val="both"/>
        <w:rPr>
          <w:rFonts w:ascii="Arial" w:hAnsi="Arial"/>
          <w:b/>
          <w:bCs/>
          <w:sz w:val="26"/>
          <w:szCs w:val="26"/>
          <w:rtl/>
        </w:rPr>
      </w:pPr>
    </w:p>
    <w:p w14:paraId="155C81CB" w14:textId="77777777" w:rsidR="004B31C7" w:rsidRPr="00FF29EA" w:rsidRDefault="004B31C7" w:rsidP="006D5397">
      <w:pPr>
        <w:spacing w:line="360" w:lineRule="auto"/>
        <w:ind w:left="720" w:hanging="720"/>
        <w:jc w:val="both"/>
        <w:rPr>
          <w:rFonts w:ascii="Arial" w:hAnsi="Arial"/>
          <w:rtl/>
        </w:rPr>
      </w:pPr>
      <w:r w:rsidRPr="004027AC">
        <w:rPr>
          <w:rFonts w:ascii="Arial" w:hAnsi="Arial"/>
          <w:sz w:val="26"/>
          <w:szCs w:val="26"/>
          <w:rtl/>
        </w:rPr>
        <w:t>10</w:t>
      </w:r>
      <w:r w:rsidRPr="00FF29EA">
        <w:rPr>
          <w:rFonts w:ascii="Arial" w:hAnsi="Arial"/>
          <w:rtl/>
        </w:rPr>
        <w:t>.</w:t>
      </w:r>
      <w:r w:rsidRPr="00FF29EA">
        <w:rPr>
          <w:rFonts w:ascii="Arial" w:hAnsi="Arial"/>
          <w:rtl/>
        </w:rPr>
        <w:tab/>
        <w:t xml:space="preserve">טרם הקראת גזר הדין חזר הנאשם על הודאתו בפניי באופן פיזי ושלא באמצעות היוועדות חזותית, ואשררתי את הכרעת הדין. </w:t>
      </w:r>
    </w:p>
    <w:p w14:paraId="18EC06F0" w14:textId="77777777" w:rsidR="004B31C7" w:rsidRPr="00FF29EA" w:rsidRDefault="004B31C7" w:rsidP="006D5397">
      <w:pPr>
        <w:spacing w:line="360" w:lineRule="auto"/>
        <w:jc w:val="both"/>
        <w:rPr>
          <w:rFonts w:ascii="Arial" w:hAnsi="Arial"/>
          <w:rtl/>
        </w:rPr>
      </w:pPr>
    </w:p>
    <w:p w14:paraId="31D2F5E3" w14:textId="77777777" w:rsidR="004B31C7" w:rsidRPr="00E7602A" w:rsidRDefault="004B31C7" w:rsidP="006D5397">
      <w:pPr>
        <w:spacing w:line="360" w:lineRule="auto"/>
        <w:jc w:val="both"/>
        <w:rPr>
          <w:rFonts w:ascii="Arial" w:hAnsi="Arial"/>
          <w:b/>
          <w:bCs/>
          <w:u w:val="single"/>
          <w:rtl/>
        </w:rPr>
      </w:pPr>
      <w:r w:rsidRPr="00E7602A">
        <w:rPr>
          <w:rFonts w:ascii="Arial" w:hAnsi="Arial"/>
          <w:b/>
          <w:bCs/>
          <w:u w:val="single"/>
          <w:rtl/>
        </w:rPr>
        <w:t xml:space="preserve">תסקיר שירות המבחן </w:t>
      </w:r>
    </w:p>
    <w:p w14:paraId="052FD0FF" w14:textId="77777777" w:rsidR="004B31C7" w:rsidRPr="00FF29EA" w:rsidRDefault="004B31C7" w:rsidP="006D5397">
      <w:pPr>
        <w:spacing w:line="360" w:lineRule="auto"/>
        <w:jc w:val="both"/>
        <w:rPr>
          <w:rFonts w:ascii="Arial" w:hAnsi="Arial"/>
          <w:rtl/>
        </w:rPr>
      </w:pPr>
    </w:p>
    <w:p w14:paraId="16717DB6" w14:textId="77777777" w:rsidR="004B31C7" w:rsidRPr="00FF29EA" w:rsidRDefault="004B31C7" w:rsidP="006D5397">
      <w:pPr>
        <w:spacing w:line="360" w:lineRule="auto"/>
        <w:ind w:left="720" w:hanging="720"/>
        <w:jc w:val="both"/>
        <w:rPr>
          <w:rFonts w:ascii="Arial" w:hAnsi="Arial"/>
          <w:rtl/>
        </w:rPr>
      </w:pPr>
      <w:r w:rsidRPr="00FF29EA">
        <w:rPr>
          <w:rFonts w:ascii="Arial" w:hAnsi="Arial"/>
          <w:rtl/>
        </w:rPr>
        <w:t>11.</w:t>
      </w:r>
      <w:r w:rsidRPr="00FF29EA">
        <w:rPr>
          <w:rFonts w:ascii="Arial" w:hAnsi="Arial"/>
          <w:rtl/>
        </w:rPr>
        <w:tab/>
        <w:t xml:space="preserve">בהתאם להוראות </w:t>
      </w:r>
      <w:hyperlink r:id="rId28" w:history="1">
        <w:r w:rsidR="009561DC" w:rsidRPr="009561DC">
          <w:rPr>
            <w:rStyle w:val="Hyperlink"/>
            <w:rFonts w:ascii="Arial" w:hAnsi="Arial"/>
            <w:rtl/>
          </w:rPr>
          <w:t>סעיף 23</w:t>
        </w:r>
      </w:hyperlink>
      <w:r w:rsidRPr="00FF29EA">
        <w:rPr>
          <w:rFonts w:ascii="Arial" w:hAnsi="Arial"/>
          <w:rtl/>
        </w:rPr>
        <w:t xml:space="preserve"> ל</w:t>
      </w:r>
      <w:hyperlink r:id="rId29" w:history="1">
        <w:r w:rsidR="004F402C" w:rsidRPr="004F402C">
          <w:rPr>
            <w:rFonts w:ascii="Arial" w:hAnsi="Arial"/>
            <w:color w:val="0000FF"/>
            <w:u w:val="single"/>
            <w:rtl/>
          </w:rPr>
          <w:t>חוק הנוער (שפיטה ענישה ודרכי טיפול)</w:t>
        </w:r>
      </w:hyperlink>
      <w:r w:rsidRPr="00FF29EA">
        <w:rPr>
          <w:rFonts w:ascii="Arial" w:hAnsi="Arial"/>
          <w:rtl/>
        </w:rPr>
        <w:t xml:space="preserve"> התשל"א 1971 (להלן: </w:t>
      </w:r>
      <w:r w:rsidRPr="009E3494">
        <w:rPr>
          <w:rFonts w:ascii="Arial" w:hAnsi="Arial"/>
          <w:b/>
          <w:bCs/>
          <w:rtl/>
        </w:rPr>
        <w:t>"חוק הנוער"</w:t>
      </w:r>
      <w:r w:rsidRPr="009E3494">
        <w:rPr>
          <w:rFonts w:ascii="Arial" w:hAnsi="Arial"/>
          <w:rtl/>
        </w:rPr>
        <w:t>)</w:t>
      </w:r>
      <w:r w:rsidRPr="00FF29EA">
        <w:rPr>
          <w:rFonts w:ascii="Arial" w:hAnsi="Arial"/>
          <w:rtl/>
        </w:rPr>
        <w:t xml:space="preserve"> הוגש תסקיר לעונש בעניינו של הנאשם. </w:t>
      </w:r>
    </w:p>
    <w:p w14:paraId="1AF07600" w14:textId="77777777" w:rsidR="004B31C7" w:rsidRPr="00FF29EA" w:rsidRDefault="004B31C7" w:rsidP="006D5397">
      <w:pPr>
        <w:spacing w:line="360" w:lineRule="auto"/>
        <w:jc w:val="both"/>
        <w:rPr>
          <w:rFonts w:ascii="Arial" w:hAnsi="Arial"/>
          <w:rtl/>
        </w:rPr>
      </w:pPr>
    </w:p>
    <w:p w14:paraId="15EBB166" w14:textId="77777777" w:rsidR="004B31C7" w:rsidRPr="00FF29EA" w:rsidRDefault="004B31C7" w:rsidP="006D5397">
      <w:pPr>
        <w:spacing w:line="360" w:lineRule="auto"/>
        <w:ind w:left="720" w:hanging="720"/>
        <w:jc w:val="both"/>
        <w:rPr>
          <w:rFonts w:ascii="Arial" w:hAnsi="Arial"/>
          <w:rtl/>
        </w:rPr>
      </w:pPr>
      <w:r w:rsidRPr="00FF29EA">
        <w:rPr>
          <w:rFonts w:ascii="Arial" w:hAnsi="Arial"/>
          <w:rtl/>
        </w:rPr>
        <w:t>12.</w:t>
      </w:r>
      <w:r w:rsidRPr="00FF29EA">
        <w:rPr>
          <w:rFonts w:ascii="Arial" w:hAnsi="Arial"/>
          <w:rtl/>
        </w:rPr>
        <w:tab/>
        <w:t>מהתסקיר נלמד כי הנאשם כבן 16.9, עומד לדין לראשונה והודה בעובדות כתב אישום מתוקן.  הנאשם בן למש</w:t>
      </w:r>
      <w:r>
        <w:rPr>
          <w:rFonts w:ascii="Arial" w:hAnsi="Arial"/>
          <w:rtl/>
        </w:rPr>
        <w:t xml:space="preserve">פחה ממוצא מוסלמי מישוב צפוני.  </w:t>
      </w:r>
      <w:r w:rsidRPr="00FF29EA">
        <w:rPr>
          <w:rFonts w:ascii="Arial" w:hAnsi="Arial"/>
          <w:rtl/>
        </w:rPr>
        <w:t xml:space="preserve">אביו של הנאשם סובל ממחלת נפש מסוג סכיזופרניה, אינו עובד, נוטל טיפול תרופתי ומרבה לשהות בבית. האם עקרת בית, מתארת משפחה נורמטיבית ללא מעורבות בפליליים. האח, כבן 24, תפקודו תואר כתקין. המשפחה מוכרת לשירותי הרווחה של הישוב על רקע מחלת האב. ההתרשמות הכללית היא ממשפחה קשת יום. </w:t>
      </w:r>
    </w:p>
    <w:p w14:paraId="0E014FE7" w14:textId="77777777" w:rsidR="004B31C7" w:rsidRPr="00FF29EA" w:rsidRDefault="004B31C7" w:rsidP="006D5397">
      <w:pPr>
        <w:spacing w:line="360" w:lineRule="auto"/>
        <w:jc w:val="both"/>
        <w:rPr>
          <w:rFonts w:ascii="Arial" w:hAnsi="Arial"/>
          <w:rtl/>
        </w:rPr>
      </w:pPr>
    </w:p>
    <w:p w14:paraId="63630D15" w14:textId="77777777" w:rsidR="004B31C7" w:rsidRPr="00FF29EA" w:rsidRDefault="004B31C7" w:rsidP="006D5397">
      <w:pPr>
        <w:spacing w:line="360" w:lineRule="auto"/>
        <w:ind w:left="720" w:hanging="720"/>
        <w:jc w:val="both"/>
        <w:rPr>
          <w:rFonts w:ascii="Arial" w:hAnsi="Arial"/>
          <w:rtl/>
        </w:rPr>
      </w:pPr>
      <w:r w:rsidRPr="00FF29EA">
        <w:rPr>
          <w:rFonts w:ascii="Arial" w:hAnsi="Arial"/>
          <w:rtl/>
        </w:rPr>
        <w:t>13.</w:t>
      </w:r>
      <w:r w:rsidRPr="00FF29EA">
        <w:rPr>
          <w:rFonts w:ascii="Arial" w:hAnsi="Arial"/>
          <w:rtl/>
        </w:rPr>
        <w:tab/>
        <w:t xml:space="preserve">טרם מעצרו, הנאשם למד בבית </w:t>
      </w:r>
      <w:r>
        <w:rPr>
          <w:rFonts w:ascii="Arial" w:hAnsi="Arial"/>
          <w:rtl/>
        </w:rPr>
        <w:t>הספר התיכון הטכנולוגי בכפר בכיתה יא'</w:t>
      </w:r>
      <w:r w:rsidRPr="00FF29EA">
        <w:rPr>
          <w:rFonts w:ascii="Arial" w:hAnsi="Arial"/>
          <w:rtl/>
        </w:rPr>
        <w:t xml:space="preserve">. תואר כתלמיד טוב מבחינה לימודית ובעל מוטיבציה. בדרך כלל, הנאשם ביקר באופן סדיר, שמר על כללי בית הספר תואר כתלמיד ממושמע, מכבד, בעל לב טוב שאין ביכולתו לפגוע באדם. מבחינה חברתית, תואר כתלמיד מקובל בין קבוצת השווים. הנאשם לא היה מעורב בבעיות משמעת ואירועים חריגים.  </w:t>
      </w:r>
    </w:p>
    <w:p w14:paraId="69F9D95C" w14:textId="77777777" w:rsidR="004B31C7" w:rsidRPr="00FF29EA" w:rsidRDefault="004B31C7" w:rsidP="006D5397">
      <w:pPr>
        <w:spacing w:line="360" w:lineRule="auto"/>
        <w:jc w:val="both"/>
        <w:rPr>
          <w:rFonts w:ascii="Arial" w:hAnsi="Arial"/>
          <w:rtl/>
        </w:rPr>
      </w:pPr>
    </w:p>
    <w:p w14:paraId="31148C7E" w14:textId="77777777" w:rsidR="004B31C7" w:rsidRPr="00FF29EA" w:rsidRDefault="004B31C7" w:rsidP="006D5397">
      <w:pPr>
        <w:spacing w:line="360" w:lineRule="auto"/>
        <w:ind w:left="720" w:hanging="720"/>
        <w:jc w:val="both"/>
        <w:rPr>
          <w:rFonts w:ascii="Arial" w:hAnsi="Arial"/>
          <w:rtl/>
        </w:rPr>
      </w:pPr>
      <w:r w:rsidRPr="00FF29EA">
        <w:rPr>
          <w:rFonts w:ascii="Arial" w:hAnsi="Arial"/>
          <w:rtl/>
        </w:rPr>
        <w:t>14.</w:t>
      </w:r>
      <w:r w:rsidRPr="00FF29EA">
        <w:rPr>
          <w:rFonts w:ascii="Arial" w:hAnsi="Arial"/>
          <w:rtl/>
        </w:rPr>
        <w:tab/>
        <w:t xml:space="preserve">שירות המבחן התרשם מקטין שטרם מעצרו נעדר השגחה ופיקוח הורי, פעל ללא גבולות וללא סמכות הורית.  צוין כי רב הנסתר על הגלוי וכי קיים פער בין הדיווח לבין תפקודו ומעורבותו בעבירות חמורות. </w:t>
      </w:r>
    </w:p>
    <w:p w14:paraId="7C5E9117" w14:textId="77777777" w:rsidR="004B31C7" w:rsidRPr="00FF29EA" w:rsidRDefault="004B31C7" w:rsidP="006D5397">
      <w:pPr>
        <w:spacing w:line="360" w:lineRule="auto"/>
        <w:jc w:val="both"/>
        <w:rPr>
          <w:rFonts w:ascii="Arial" w:hAnsi="Arial"/>
          <w:rtl/>
        </w:rPr>
      </w:pPr>
    </w:p>
    <w:p w14:paraId="52F11EF5" w14:textId="77777777" w:rsidR="004B31C7" w:rsidRPr="00FF29EA" w:rsidRDefault="004B31C7" w:rsidP="006D5397">
      <w:pPr>
        <w:spacing w:line="360" w:lineRule="auto"/>
        <w:ind w:left="720" w:hanging="720"/>
        <w:jc w:val="both"/>
        <w:rPr>
          <w:rFonts w:ascii="Arial" w:hAnsi="Arial"/>
          <w:rtl/>
        </w:rPr>
      </w:pPr>
      <w:r w:rsidRPr="00FF29EA">
        <w:rPr>
          <w:rFonts w:ascii="Arial" w:hAnsi="Arial"/>
          <w:rtl/>
        </w:rPr>
        <w:t>15.</w:t>
      </w:r>
      <w:r w:rsidRPr="00FF29EA">
        <w:rPr>
          <w:rFonts w:ascii="Arial" w:hAnsi="Arial"/>
          <w:rtl/>
        </w:rPr>
        <w:tab/>
        <w:t xml:space="preserve">הנאשם שיתף את קצינת המבחן כי ביצע את העבירות ממניע של סקרנות לשמיעת רעש הפיצוץ.  לדבריו, לא היה מודע לחוק ולסכנות מעשיו, לא הייתה לו כוונה פלילית לגרום לפגיעה או לסכן את הסביבה. הנאשם התחרט על מעשיו, יחד עם זאת צמצם מאד מחומרת מעשיו ומהסכנות שעלולות להיגרם ממעשיו. הנאשם התקשה לשמור על קשר עין והשתהה בעת מתן תשובות. </w:t>
      </w:r>
    </w:p>
    <w:p w14:paraId="073D83BC" w14:textId="77777777" w:rsidR="004B31C7" w:rsidRPr="00FF29EA" w:rsidRDefault="004B31C7" w:rsidP="006D5397">
      <w:pPr>
        <w:spacing w:line="360" w:lineRule="auto"/>
        <w:jc w:val="both"/>
        <w:rPr>
          <w:rFonts w:ascii="Arial" w:hAnsi="Arial"/>
          <w:rtl/>
        </w:rPr>
      </w:pPr>
    </w:p>
    <w:p w14:paraId="5DF377E5" w14:textId="77777777" w:rsidR="004B31C7" w:rsidRPr="00BC56C4" w:rsidRDefault="004B31C7" w:rsidP="006D5397">
      <w:pPr>
        <w:spacing w:line="360" w:lineRule="auto"/>
        <w:ind w:left="720" w:hanging="720"/>
        <w:jc w:val="both"/>
        <w:rPr>
          <w:rFonts w:ascii="Arial" w:hAnsi="Arial"/>
          <w:rtl/>
        </w:rPr>
      </w:pPr>
      <w:r w:rsidRPr="00BC56C4">
        <w:rPr>
          <w:rFonts w:ascii="Arial" w:hAnsi="Arial"/>
          <w:sz w:val="26"/>
          <w:szCs w:val="26"/>
          <w:rtl/>
        </w:rPr>
        <w:t>16</w:t>
      </w:r>
      <w:r w:rsidRPr="00BC56C4">
        <w:rPr>
          <w:rFonts w:ascii="Arial" w:hAnsi="Arial"/>
          <w:rtl/>
        </w:rPr>
        <w:t>.</w:t>
      </w:r>
      <w:r w:rsidRPr="00BC56C4">
        <w:rPr>
          <w:rFonts w:ascii="Arial" w:hAnsi="Arial"/>
          <w:rtl/>
        </w:rPr>
        <w:tab/>
        <w:t xml:space="preserve">הוריו גינו בתוקף את מעשיו, הבינו כי מדובר בעבירות חמורות מאד והביעו דאגה אודות מצבו ורצון לסייע בשיקומו של הקטין. שירות המבחן התרשם מנער דל עם דמוי עצמי נמוך זהיר וחשדן המשתמש במנגנוני הפחתה וצמצום. </w:t>
      </w:r>
    </w:p>
    <w:p w14:paraId="604B79A9" w14:textId="77777777" w:rsidR="004B31C7" w:rsidRPr="00BC56C4" w:rsidRDefault="004B31C7" w:rsidP="006D5397">
      <w:pPr>
        <w:spacing w:line="360" w:lineRule="auto"/>
        <w:jc w:val="both"/>
        <w:rPr>
          <w:rFonts w:ascii="Arial" w:hAnsi="Arial"/>
          <w:rtl/>
        </w:rPr>
      </w:pPr>
    </w:p>
    <w:p w14:paraId="4A8730B2"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17.</w:t>
      </w:r>
      <w:r w:rsidRPr="00BC56C4">
        <w:rPr>
          <w:rFonts w:ascii="Arial" w:hAnsi="Arial"/>
          <w:rtl/>
        </w:rPr>
        <w:tab/>
        <w:t>הנאשם נעצר תחילה בבית המעצר "קישון", משם הועבר לכלא "מגי</w:t>
      </w:r>
      <w:r>
        <w:rPr>
          <w:rFonts w:ascii="Arial" w:hAnsi="Arial"/>
          <w:rtl/>
        </w:rPr>
        <w:t>דו" וכיום שוהה בכלא "אופק"</w:t>
      </w:r>
      <w:r w:rsidRPr="00BC56C4">
        <w:rPr>
          <w:rFonts w:ascii="Arial" w:hAnsi="Arial"/>
          <w:rtl/>
        </w:rPr>
        <w:t xml:space="preserve">. שירות המבחן סבור כי הקטין זקוק להשמה במרחב מוגן במעון ממשלתי וצוין כי הוא נמצא ברשימת המתנה למעון "נוף הרים" כאשר קיימת רשימת המתנה של שנה לפחות. </w:t>
      </w:r>
    </w:p>
    <w:p w14:paraId="3F63F082" w14:textId="77777777" w:rsidR="004B31C7" w:rsidRPr="00BC56C4" w:rsidRDefault="004B31C7" w:rsidP="006D5397">
      <w:pPr>
        <w:spacing w:line="360" w:lineRule="auto"/>
        <w:jc w:val="both"/>
        <w:rPr>
          <w:rFonts w:ascii="Arial" w:hAnsi="Arial"/>
          <w:rtl/>
        </w:rPr>
      </w:pPr>
    </w:p>
    <w:p w14:paraId="780E8EE1"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18.</w:t>
      </w:r>
      <w:r w:rsidRPr="00BC56C4">
        <w:rPr>
          <w:rFonts w:ascii="Arial" w:hAnsi="Arial"/>
          <w:rtl/>
        </w:rPr>
        <w:tab/>
        <w:t xml:space="preserve">ביום 1/10/24 עבר הנאשם לכלא אופק, חש הקלה בשל שיפור בתנאי הכליאה אך, עדיין התקשה להסתגל עד כדי מחשבות לפגוע בעצמו ועל כן, הושם בהשגחה. כיום, שוהה באגף ללא השגחה.  </w:t>
      </w:r>
    </w:p>
    <w:p w14:paraId="618C3DE7" w14:textId="77777777" w:rsidR="004B31C7" w:rsidRPr="00BC56C4" w:rsidRDefault="004B31C7" w:rsidP="006D5397">
      <w:pPr>
        <w:spacing w:line="360" w:lineRule="auto"/>
        <w:jc w:val="both"/>
        <w:rPr>
          <w:rFonts w:ascii="Arial" w:hAnsi="Arial"/>
          <w:rtl/>
        </w:rPr>
      </w:pPr>
    </w:p>
    <w:p w14:paraId="5C2FC3F9"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19.</w:t>
      </w:r>
      <w:r w:rsidRPr="00BC56C4">
        <w:rPr>
          <w:rFonts w:ascii="Arial" w:hAnsi="Arial"/>
          <w:rtl/>
        </w:rPr>
        <w:tab/>
        <w:t xml:space="preserve">במהלך מעצרו, אופיין כנער מגויס וקשוב לרוב מקבל סמכות. עם זאת, היה מעורב בעבירת משמעת בגין אלימות כלפי שותפו לתא.  הנאשם משולב בכיתת 12 שנות לימוד לדוברי ערבית, מקבל סמכות, עומד בכללי הכיתה ומגיע באופן סדיר. לדברי מורה הנאשם, יוצר קשר טוב עם הנערים השתלב חברתית בעל יכולת לימודית בינונית ובעל מוטיבציה. כמו כן, נוטל חלק במשחק כדורגל, בתנועת הצופים ובפינת החי של הכלא. </w:t>
      </w:r>
    </w:p>
    <w:p w14:paraId="2F7E075E" w14:textId="77777777" w:rsidR="004B31C7" w:rsidRPr="00BC56C4" w:rsidRDefault="004B31C7" w:rsidP="006D5397">
      <w:pPr>
        <w:spacing w:line="360" w:lineRule="auto"/>
        <w:jc w:val="both"/>
        <w:rPr>
          <w:rFonts w:ascii="Arial" w:hAnsi="Arial"/>
          <w:rtl/>
        </w:rPr>
      </w:pPr>
    </w:p>
    <w:p w14:paraId="10ED67CF"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20.</w:t>
      </w:r>
      <w:r w:rsidRPr="00BC56C4">
        <w:rPr>
          <w:rFonts w:ascii="Arial" w:hAnsi="Arial"/>
          <w:rtl/>
        </w:rPr>
        <w:tab/>
        <w:t xml:space="preserve">בתחילת ההליך, הנאשם ביטא רצון להשתלב במסגרת חוץ ביתית, כיום בשל ההמתנה הארוכה אינו מעוניין ומעדיף להמשיך לשהות בכלא. שירות המבחן סבור כי הנאשם זקוק לאבחון מעמיק במסגרת מעון נעול. </w:t>
      </w:r>
    </w:p>
    <w:p w14:paraId="7EB42EB0" w14:textId="77777777" w:rsidR="004B31C7" w:rsidRPr="00BC56C4" w:rsidRDefault="004B31C7" w:rsidP="006D5397">
      <w:pPr>
        <w:spacing w:line="360" w:lineRule="auto"/>
        <w:jc w:val="both"/>
        <w:rPr>
          <w:rFonts w:ascii="Arial" w:hAnsi="Arial"/>
          <w:rtl/>
        </w:rPr>
      </w:pPr>
    </w:p>
    <w:p w14:paraId="61700282"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21.</w:t>
      </w:r>
      <w:r w:rsidRPr="00BC56C4">
        <w:rPr>
          <w:rFonts w:ascii="Arial" w:hAnsi="Arial"/>
          <w:rtl/>
        </w:rPr>
        <w:tab/>
        <w:t xml:space="preserve">שירות המבחן מנה גורמי סיכוי וביניהם: הודאה במיוחס לו, מעמד משפטי ראשון, תמיכת משפחתו בשיקומו הבעת רצון להשתקם במסגרת חוץ ביתית. </w:t>
      </w:r>
    </w:p>
    <w:p w14:paraId="211D16B6" w14:textId="77777777" w:rsidR="004B31C7" w:rsidRPr="00BC56C4" w:rsidRDefault="004B31C7" w:rsidP="006D5397">
      <w:pPr>
        <w:spacing w:line="360" w:lineRule="auto"/>
        <w:jc w:val="both"/>
        <w:rPr>
          <w:rFonts w:ascii="Arial" w:hAnsi="Arial"/>
          <w:rtl/>
        </w:rPr>
      </w:pPr>
    </w:p>
    <w:p w14:paraId="73FD03A7"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22.</w:t>
      </w:r>
      <w:r w:rsidRPr="00BC56C4">
        <w:rPr>
          <w:rFonts w:ascii="Arial" w:hAnsi="Arial"/>
          <w:rtl/>
        </w:rPr>
        <w:tab/>
        <w:t xml:space="preserve">מנגד גורמי הסיכון מפנים לתפקוד הורי לקוי, מעורבות בעבירות חמורות, העדר מחוברות לחומרת מצבו וצרכיו, לא עבר טיפול סביב העבירה ובשל כך, נמצא בסיכון לבצע עבירות נוספות.  </w:t>
      </w:r>
    </w:p>
    <w:p w14:paraId="4C821F12" w14:textId="77777777" w:rsidR="004B31C7" w:rsidRPr="00BC56C4" w:rsidRDefault="004B31C7" w:rsidP="006D5397">
      <w:pPr>
        <w:spacing w:line="360" w:lineRule="auto"/>
        <w:jc w:val="both"/>
        <w:rPr>
          <w:rFonts w:ascii="Arial" w:hAnsi="Arial"/>
          <w:rtl/>
        </w:rPr>
      </w:pPr>
    </w:p>
    <w:p w14:paraId="36EEC3B1" w14:textId="77777777" w:rsidR="004B31C7" w:rsidRPr="00BC56C4" w:rsidRDefault="004B31C7" w:rsidP="006D5397">
      <w:pPr>
        <w:spacing w:line="360" w:lineRule="auto"/>
        <w:ind w:left="720" w:hanging="720"/>
        <w:jc w:val="both"/>
        <w:rPr>
          <w:rFonts w:ascii="Arial" w:hAnsi="Arial"/>
          <w:rtl/>
        </w:rPr>
      </w:pPr>
      <w:r w:rsidRPr="00BC56C4">
        <w:rPr>
          <w:rFonts w:ascii="Arial" w:hAnsi="Arial"/>
          <w:rtl/>
        </w:rPr>
        <w:t>23.</w:t>
      </w:r>
      <w:r w:rsidRPr="00BC56C4">
        <w:rPr>
          <w:rFonts w:ascii="Arial" w:hAnsi="Arial"/>
          <w:rtl/>
        </w:rPr>
        <w:tab/>
        <w:t xml:space="preserve">לסיכום, שירות המבחן נמנע ממתן המלצה טיפולית בעניינו של הנאשם בשל העדר מקום השמה במעון הנעול ואין כל צפי לקליטה בשנה הקרובה. </w:t>
      </w:r>
    </w:p>
    <w:p w14:paraId="00D62217" w14:textId="77777777" w:rsidR="004B31C7" w:rsidRPr="00BC56C4" w:rsidRDefault="004B31C7" w:rsidP="006D5397">
      <w:pPr>
        <w:spacing w:line="360" w:lineRule="auto"/>
        <w:jc w:val="both"/>
        <w:rPr>
          <w:rFonts w:ascii="Arial" w:hAnsi="Arial"/>
          <w:rtl/>
        </w:rPr>
      </w:pPr>
    </w:p>
    <w:p w14:paraId="31E67617" w14:textId="77777777" w:rsidR="004B31C7" w:rsidRPr="00BC56C4" w:rsidRDefault="004B31C7" w:rsidP="006D5397">
      <w:pPr>
        <w:spacing w:line="360" w:lineRule="auto"/>
        <w:jc w:val="both"/>
        <w:rPr>
          <w:rFonts w:ascii="Arial" w:hAnsi="Arial"/>
          <w:rtl/>
        </w:rPr>
      </w:pPr>
    </w:p>
    <w:p w14:paraId="714D30DD" w14:textId="77777777" w:rsidR="004B31C7" w:rsidRPr="00FA428F" w:rsidRDefault="004B31C7" w:rsidP="006D5397">
      <w:pPr>
        <w:spacing w:line="360" w:lineRule="auto"/>
        <w:jc w:val="both"/>
        <w:rPr>
          <w:rFonts w:ascii="Arial" w:hAnsi="Arial"/>
          <w:b/>
          <w:bCs/>
          <w:u w:val="single"/>
          <w:rtl/>
        </w:rPr>
      </w:pPr>
      <w:r w:rsidRPr="00FA428F">
        <w:rPr>
          <w:rFonts w:ascii="Arial" w:hAnsi="Arial"/>
          <w:b/>
          <w:bCs/>
          <w:u w:val="single"/>
          <w:rtl/>
        </w:rPr>
        <w:t>הטיעונים לעונש</w:t>
      </w:r>
    </w:p>
    <w:p w14:paraId="395871D4" w14:textId="77777777" w:rsidR="004B31C7" w:rsidRPr="00BC56C4" w:rsidRDefault="004B31C7" w:rsidP="006D5397">
      <w:pPr>
        <w:spacing w:line="360" w:lineRule="auto"/>
        <w:jc w:val="both"/>
        <w:rPr>
          <w:rFonts w:ascii="Arial" w:hAnsi="Arial"/>
          <w:rtl/>
        </w:rPr>
      </w:pPr>
    </w:p>
    <w:p w14:paraId="1113A4AA" w14:textId="77777777" w:rsidR="004B31C7" w:rsidRPr="00FA428F" w:rsidRDefault="004B31C7" w:rsidP="006D5397">
      <w:pPr>
        <w:spacing w:line="360" w:lineRule="auto"/>
        <w:ind w:left="720" w:hanging="720"/>
        <w:jc w:val="both"/>
        <w:rPr>
          <w:rFonts w:ascii="Arial" w:hAnsi="Arial"/>
          <w:rtl/>
        </w:rPr>
      </w:pPr>
      <w:r w:rsidRPr="005F471F">
        <w:rPr>
          <w:rFonts w:ascii="Arial" w:hAnsi="Arial"/>
          <w:sz w:val="26"/>
          <w:szCs w:val="26"/>
          <w:rtl/>
        </w:rPr>
        <w:t>24</w:t>
      </w:r>
      <w:r w:rsidRPr="00FA428F">
        <w:rPr>
          <w:rFonts w:ascii="Arial" w:hAnsi="Arial"/>
          <w:rtl/>
        </w:rPr>
        <w:t>.</w:t>
      </w:r>
      <w:r w:rsidRPr="00FA428F">
        <w:rPr>
          <w:rFonts w:ascii="Arial" w:hAnsi="Arial"/>
          <w:rtl/>
        </w:rPr>
        <w:tab/>
        <w:t xml:space="preserve">המאשימה בטיעוניה עתרה להרשעת הנאשם בדין לאור חומרת העבירות. לצד הרשעתו עתרה להשתת ענישה מוחשית בדמות מאסר בפועל וענישה נלווית צופה פני עתיד. בטיעוניו ב"כ המאשימה הפנה לתסקיר שירות המבחן ולעובדה כי שירות המבחן התרשם מקטין חשדן זהיר שאינו מחובר לחומרת מעשיו.  </w:t>
      </w:r>
    </w:p>
    <w:p w14:paraId="39A0CEA5" w14:textId="77777777" w:rsidR="004B31C7" w:rsidRPr="00FA428F" w:rsidRDefault="004B31C7" w:rsidP="006D5397">
      <w:pPr>
        <w:spacing w:line="360" w:lineRule="auto"/>
        <w:jc w:val="both"/>
        <w:rPr>
          <w:rFonts w:ascii="Arial" w:hAnsi="Arial"/>
          <w:rtl/>
        </w:rPr>
      </w:pPr>
    </w:p>
    <w:p w14:paraId="69247551" w14:textId="77777777" w:rsidR="004B31C7" w:rsidRPr="00FA428F" w:rsidRDefault="004B31C7" w:rsidP="006D5397">
      <w:pPr>
        <w:spacing w:line="360" w:lineRule="auto"/>
        <w:ind w:left="720" w:hanging="720"/>
        <w:jc w:val="both"/>
        <w:rPr>
          <w:rFonts w:ascii="Arial" w:hAnsi="Arial"/>
          <w:rtl/>
        </w:rPr>
      </w:pPr>
      <w:r w:rsidRPr="00FA428F">
        <w:rPr>
          <w:rFonts w:ascii="Arial" w:hAnsi="Arial"/>
          <w:rtl/>
        </w:rPr>
        <w:t>25.</w:t>
      </w:r>
      <w:r w:rsidRPr="00FA428F">
        <w:rPr>
          <w:rFonts w:ascii="Arial" w:hAnsi="Arial"/>
          <w:rtl/>
        </w:rPr>
        <w:tab/>
        <w:t xml:space="preserve">בא כוח המאשימה הציג פסיקה לתמיכה בטיעוניו וכן ביקש להתייחס לאווירה הנמצאת בחברה בכלל ובחברה הערבית בפרט וכי יש מקום לענישה מחמירה לצורך אמירה כלפי החברה ממנו הגיע. </w:t>
      </w:r>
    </w:p>
    <w:p w14:paraId="36B59B6A" w14:textId="77777777" w:rsidR="004B31C7" w:rsidRPr="00FA428F" w:rsidRDefault="004B31C7" w:rsidP="006D5397">
      <w:pPr>
        <w:spacing w:line="360" w:lineRule="auto"/>
        <w:jc w:val="both"/>
        <w:rPr>
          <w:rFonts w:ascii="Arial" w:hAnsi="Arial"/>
          <w:rtl/>
        </w:rPr>
      </w:pPr>
    </w:p>
    <w:p w14:paraId="7017F611" w14:textId="77777777" w:rsidR="004B31C7" w:rsidRPr="00FA428F" w:rsidRDefault="004B31C7" w:rsidP="006D5397">
      <w:pPr>
        <w:spacing w:line="360" w:lineRule="auto"/>
        <w:ind w:left="720" w:hanging="720"/>
        <w:jc w:val="both"/>
        <w:rPr>
          <w:rFonts w:ascii="Arial" w:hAnsi="Arial"/>
          <w:rtl/>
        </w:rPr>
      </w:pPr>
      <w:r w:rsidRPr="00FA428F">
        <w:rPr>
          <w:rFonts w:ascii="Arial" w:hAnsi="Arial"/>
          <w:rtl/>
        </w:rPr>
        <w:t>26.</w:t>
      </w:r>
      <w:r w:rsidRPr="00FA428F">
        <w:rPr>
          <w:rFonts w:ascii="Arial" w:hAnsi="Arial"/>
          <w:rtl/>
        </w:rPr>
        <w:tab/>
        <w:t xml:space="preserve">סנגורו של הנאשם הפנה לגילו הצעיר בעת ביצוע העבירות, כבן 16.5 שנים אשר עומד לדין לראשונה בחייו. הפנה לכך כי עסקינן בקטין ממשפחה נורמטיבית אם כי קשת יום. באשר לנסיבות ביצוע העבירות הפנה לעובדה כי עסקינן באבקת זיקוקים ולא בחומר נפץ באשר לפוטנציאל הנזק.  לדבריו, רעש הפיצוץ הוא שעניין את הקטין. </w:t>
      </w:r>
    </w:p>
    <w:p w14:paraId="6247CBBB" w14:textId="77777777" w:rsidR="004B31C7" w:rsidRPr="00FA428F" w:rsidRDefault="004B31C7" w:rsidP="006D5397">
      <w:pPr>
        <w:spacing w:line="360" w:lineRule="auto"/>
        <w:jc w:val="both"/>
        <w:rPr>
          <w:rFonts w:ascii="Arial" w:hAnsi="Arial"/>
          <w:rtl/>
        </w:rPr>
      </w:pPr>
    </w:p>
    <w:p w14:paraId="775FB1F4" w14:textId="77777777" w:rsidR="004B31C7" w:rsidRPr="00FA428F" w:rsidRDefault="004B31C7" w:rsidP="006D5397">
      <w:pPr>
        <w:spacing w:line="360" w:lineRule="auto"/>
        <w:ind w:left="720" w:hanging="720"/>
        <w:jc w:val="both"/>
        <w:rPr>
          <w:rFonts w:ascii="Arial" w:hAnsi="Arial"/>
          <w:rtl/>
        </w:rPr>
      </w:pPr>
      <w:r w:rsidRPr="00FA428F">
        <w:rPr>
          <w:rFonts w:ascii="Arial" w:hAnsi="Arial"/>
          <w:rtl/>
        </w:rPr>
        <w:t>27.</w:t>
      </w:r>
      <w:r w:rsidRPr="00FA428F">
        <w:rPr>
          <w:rFonts w:ascii="Arial" w:hAnsi="Arial"/>
          <w:rtl/>
        </w:rPr>
        <w:tab/>
        <w:t xml:space="preserve">הסנגור לא חלק על חומרת האישום השני, אך הפנה לכך כי תוכן המטען מורכב מדשן ולא מחומר נפץ. לעמדתו, מעשיו של הנאשם נעשו מתוך ריקנות והעדר סמכות הורית. הסנגור הפנה להמלצת קצינת המבחן לשלבו במעון נעול אך, בשל העדר מקומות ורשימת המתנה ארוכה נמנע מהקטין לעבור הליך שיקום. </w:t>
      </w:r>
    </w:p>
    <w:p w14:paraId="2D3AC27F" w14:textId="77777777" w:rsidR="004B31C7" w:rsidRPr="00FA428F" w:rsidRDefault="004B31C7" w:rsidP="006D5397">
      <w:pPr>
        <w:spacing w:line="360" w:lineRule="auto"/>
        <w:jc w:val="both"/>
        <w:rPr>
          <w:rFonts w:ascii="Arial" w:hAnsi="Arial"/>
          <w:rtl/>
        </w:rPr>
      </w:pPr>
    </w:p>
    <w:p w14:paraId="4244487F" w14:textId="77777777" w:rsidR="004B31C7" w:rsidRPr="00FA428F" w:rsidRDefault="004B31C7" w:rsidP="006D5397">
      <w:pPr>
        <w:spacing w:line="360" w:lineRule="auto"/>
        <w:ind w:left="720" w:hanging="720"/>
        <w:jc w:val="both"/>
        <w:rPr>
          <w:rFonts w:ascii="Arial" w:hAnsi="Arial"/>
          <w:rtl/>
        </w:rPr>
      </w:pPr>
      <w:r w:rsidRPr="00FA428F">
        <w:rPr>
          <w:rFonts w:ascii="Arial" w:hAnsi="Arial"/>
          <w:rtl/>
        </w:rPr>
        <w:t>28.</w:t>
      </w:r>
      <w:r w:rsidRPr="00FA428F">
        <w:rPr>
          <w:rFonts w:ascii="Arial" w:hAnsi="Arial"/>
          <w:rtl/>
        </w:rPr>
        <w:tab/>
        <w:t xml:space="preserve">הסנגור המלומד הפנה לגילו של הקטין בעת ביצוע העבירות, סיכויי שיקומו והפנה לכלל הפרמטרים המצריכים עיון. לעמדתו על הענישה לנוע בין עבודות שירות לבין מאסר בן 10 חודשים ומכאן שכלל לא עלתה כל מחלוקת בשאלת ההרשעה.  בשל גילו הצעיר והיותו במעצר כ5.5 חודשים עתר להסתפק בתקופת מעצרו.  </w:t>
      </w:r>
    </w:p>
    <w:p w14:paraId="509DF91E" w14:textId="77777777" w:rsidR="004B31C7" w:rsidRPr="003C6F09" w:rsidRDefault="004B31C7" w:rsidP="006D5397">
      <w:pPr>
        <w:jc w:val="both"/>
        <w:rPr>
          <w:rFonts w:ascii="Arial" w:hAnsi="Arial"/>
          <w:b/>
          <w:bCs/>
          <w:sz w:val="26"/>
          <w:szCs w:val="26"/>
          <w:rtl/>
        </w:rPr>
      </w:pPr>
    </w:p>
    <w:p w14:paraId="576ACA97" w14:textId="77777777" w:rsidR="004B31C7" w:rsidRPr="00FA428F" w:rsidRDefault="004B31C7" w:rsidP="006D5397">
      <w:pPr>
        <w:spacing w:line="360" w:lineRule="auto"/>
        <w:ind w:left="720" w:hanging="720"/>
        <w:jc w:val="both"/>
        <w:rPr>
          <w:rFonts w:ascii="Arial" w:hAnsi="Arial"/>
          <w:rtl/>
        </w:rPr>
      </w:pPr>
      <w:r w:rsidRPr="007320E7">
        <w:rPr>
          <w:rFonts w:ascii="Arial" w:hAnsi="Arial"/>
          <w:sz w:val="26"/>
          <w:szCs w:val="26"/>
          <w:rtl/>
        </w:rPr>
        <w:t>29</w:t>
      </w:r>
      <w:r w:rsidRPr="00FA428F">
        <w:rPr>
          <w:rFonts w:ascii="Arial" w:hAnsi="Arial"/>
          <w:rtl/>
        </w:rPr>
        <w:t>.</w:t>
      </w:r>
      <w:r w:rsidRPr="00FA428F">
        <w:rPr>
          <w:rFonts w:ascii="Arial" w:hAnsi="Arial"/>
          <w:rtl/>
        </w:rPr>
        <w:tab/>
        <w:t xml:space="preserve">הנאשם בדבריו אשר תורגמו מהשפה הערבית התחרט על מעשיו ושיתף כי לא הבין את חומרת מעשיו. עוד שיתף הנאשם כי לומד בכלא אופק בתוכנית  12 שנות לימוד ומשתתף בחוג כדורגל ובתנועת הצופים בכלא אחת לשבוע. </w:t>
      </w:r>
    </w:p>
    <w:p w14:paraId="36EAE2C4" w14:textId="77777777" w:rsidR="004B31C7" w:rsidRPr="00FA428F" w:rsidRDefault="004B31C7" w:rsidP="006D5397">
      <w:pPr>
        <w:spacing w:line="360" w:lineRule="auto"/>
        <w:jc w:val="both"/>
        <w:rPr>
          <w:rFonts w:ascii="Arial" w:hAnsi="Arial"/>
          <w:rtl/>
        </w:rPr>
      </w:pPr>
    </w:p>
    <w:p w14:paraId="6C0A3FDC" w14:textId="77777777" w:rsidR="004B31C7" w:rsidRPr="003C6F09" w:rsidRDefault="004B31C7" w:rsidP="006D5397">
      <w:pPr>
        <w:jc w:val="both"/>
        <w:rPr>
          <w:rFonts w:ascii="Arial" w:hAnsi="Arial"/>
          <w:b/>
          <w:bCs/>
          <w:sz w:val="26"/>
          <w:szCs w:val="26"/>
          <w:rtl/>
        </w:rPr>
      </w:pPr>
    </w:p>
    <w:p w14:paraId="6040BFC6" w14:textId="77777777" w:rsidR="004B31C7" w:rsidRPr="003C6F09" w:rsidRDefault="004B31C7" w:rsidP="006D5397">
      <w:pPr>
        <w:jc w:val="both"/>
        <w:rPr>
          <w:rFonts w:ascii="Arial" w:hAnsi="Arial"/>
          <w:b/>
          <w:bCs/>
          <w:sz w:val="26"/>
          <w:szCs w:val="26"/>
          <w:rtl/>
        </w:rPr>
      </w:pPr>
    </w:p>
    <w:p w14:paraId="2F09FBA7" w14:textId="77777777" w:rsidR="004B31C7" w:rsidRDefault="004B31C7" w:rsidP="006D5397">
      <w:pPr>
        <w:jc w:val="both"/>
        <w:rPr>
          <w:rFonts w:ascii="Arial" w:hAnsi="Arial"/>
          <w:b/>
          <w:bCs/>
          <w:u w:val="single"/>
          <w:rtl/>
        </w:rPr>
      </w:pPr>
      <w:r w:rsidRPr="00FA428F">
        <w:rPr>
          <w:rFonts w:ascii="Arial" w:hAnsi="Arial"/>
          <w:b/>
          <w:bCs/>
          <w:u w:val="single"/>
          <w:rtl/>
        </w:rPr>
        <w:t>דיון והכרעה</w:t>
      </w:r>
    </w:p>
    <w:p w14:paraId="2D07FEA6" w14:textId="77777777" w:rsidR="004B31C7" w:rsidRPr="00FA428F" w:rsidRDefault="004B31C7" w:rsidP="006D5397">
      <w:pPr>
        <w:jc w:val="both"/>
        <w:rPr>
          <w:rFonts w:ascii="Arial" w:hAnsi="Arial"/>
          <w:b/>
          <w:bCs/>
          <w:u w:val="single"/>
          <w:rtl/>
        </w:rPr>
      </w:pPr>
    </w:p>
    <w:p w14:paraId="26C0FD00" w14:textId="77777777" w:rsidR="004B31C7" w:rsidRPr="003C6F09" w:rsidRDefault="004B31C7" w:rsidP="006D5397">
      <w:pPr>
        <w:jc w:val="both"/>
        <w:rPr>
          <w:rFonts w:ascii="Arial" w:hAnsi="Arial"/>
          <w:b/>
          <w:bCs/>
          <w:sz w:val="26"/>
          <w:szCs w:val="26"/>
          <w:rtl/>
        </w:rPr>
      </w:pPr>
    </w:p>
    <w:p w14:paraId="54B6A28B" w14:textId="77777777" w:rsidR="004B31C7" w:rsidRPr="007320E7" w:rsidRDefault="004B31C7" w:rsidP="006D5397">
      <w:pPr>
        <w:spacing w:line="360" w:lineRule="auto"/>
        <w:ind w:left="720" w:hanging="720"/>
        <w:jc w:val="both"/>
        <w:rPr>
          <w:rFonts w:ascii="Arial" w:hAnsi="Arial"/>
          <w:rtl/>
        </w:rPr>
      </w:pPr>
      <w:r w:rsidRPr="00D51E38">
        <w:rPr>
          <w:rFonts w:ascii="Arial" w:hAnsi="Arial"/>
          <w:sz w:val="26"/>
          <w:szCs w:val="26"/>
          <w:rtl/>
        </w:rPr>
        <w:t>30</w:t>
      </w:r>
      <w:r w:rsidRPr="00D51E38">
        <w:rPr>
          <w:rFonts w:ascii="Arial" w:hAnsi="Arial"/>
          <w:rtl/>
        </w:rPr>
        <w:t>.</w:t>
      </w:r>
      <w:r w:rsidRPr="007320E7">
        <w:rPr>
          <w:rFonts w:ascii="Arial" w:hAnsi="Arial"/>
          <w:rtl/>
        </w:rPr>
        <w:tab/>
      </w:r>
      <w:hyperlink r:id="rId30" w:history="1">
        <w:r w:rsidR="009561DC" w:rsidRPr="009561DC">
          <w:rPr>
            <w:rStyle w:val="Hyperlink"/>
            <w:rFonts w:ascii="Arial" w:hAnsi="Arial"/>
            <w:rtl/>
          </w:rPr>
          <w:t>סעיף 1א</w:t>
        </w:r>
      </w:hyperlink>
      <w:r w:rsidRPr="007320E7">
        <w:rPr>
          <w:rFonts w:ascii="Arial" w:hAnsi="Arial"/>
          <w:rtl/>
        </w:rPr>
        <w:t xml:space="preserve"> ל</w:t>
      </w:r>
      <w:hyperlink r:id="rId31" w:history="1">
        <w:r w:rsidR="004F402C" w:rsidRPr="004F402C">
          <w:rPr>
            <w:rFonts w:ascii="Arial" w:hAnsi="Arial"/>
            <w:color w:val="0000FF"/>
            <w:u w:val="single"/>
            <w:rtl/>
          </w:rPr>
          <w:t>חוק הנוער (שפיטה ענישה ודרכי טיפול</w:t>
        </w:r>
      </w:hyperlink>
      <w:r w:rsidRPr="007320E7">
        <w:rPr>
          <w:rFonts w:ascii="Arial" w:hAnsi="Arial"/>
          <w:rtl/>
        </w:rPr>
        <w:t xml:space="preserve"> (התשל"א) 1971 (להלן: </w:t>
      </w:r>
      <w:r w:rsidRPr="00D51E38">
        <w:rPr>
          <w:rFonts w:ascii="Arial" w:hAnsi="Arial"/>
          <w:b/>
          <w:bCs/>
          <w:rtl/>
        </w:rPr>
        <w:t>"חוק הנוער"</w:t>
      </w:r>
      <w:r w:rsidRPr="00D51E38">
        <w:rPr>
          <w:rFonts w:ascii="Arial" w:hAnsi="Arial"/>
          <w:rtl/>
        </w:rPr>
        <w:t xml:space="preserve">) </w:t>
      </w:r>
      <w:r w:rsidRPr="007320E7">
        <w:rPr>
          <w:rFonts w:ascii="Arial" w:hAnsi="Arial"/>
          <w:rtl/>
        </w:rPr>
        <w:t xml:space="preserve">מורנו כי </w:t>
      </w:r>
      <w:r w:rsidRPr="00D51E38">
        <w:rPr>
          <w:rFonts w:ascii="Arial" w:hAnsi="Arial"/>
          <w:b/>
          <w:bCs/>
          <w:rtl/>
        </w:rPr>
        <w:t>:"מימוש זכויות של קטין, הפעלת סמכויות ונקיטת הליכים כלפיו ייעשו תוך שמירה על כבודו של הקטין ומתן משקל ראוי לשיקולים של שיקומו, הטיפול בו, שילובו בחברה ותקנת השבים וכן בהתחשב בגילו ובמידת בגרותו".</w:t>
      </w:r>
      <w:r w:rsidRPr="007320E7">
        <w:rPr>
          <w:rFonts w:ascii="Arial" w:hAnsi="Arial"/>
          <w:rtl/>
        </w:rPr>
        <w:t xml:space="preserve"> באמצעות תסקירי שירות המבחן לנוער נפרשת בפני בית המשפט תמונה רחבה ככל שניתן, לצורך הגשמת הוראותיו של סעיף זה. </w:t>
      </w:r>
    </w:p>
    <w:p w14:paraId="7D869B83" w14:textId="77777777" w:rsidR="004B31C7" w:rsidRPr="007320E7" w:rsidRDefault="004B31C7" w:rsidP="006D5397">
      <w:pPr>
        <w:spacing w:line="360" w:lineRule="auto"/>
        <w:jc w:val="both"/>
        <w:rPr>
          <w:rFonts w:ascii="Arial" w:hAnsi="Arial"/>
          <w:rtl/>
        </w:rPr>
      </w:pPr>
    </w:p>
    <w:p w14:paraId="3008FBCF" w14:textId="77777777" w:rsidR="004B31C7" w:rsidRPr="007320E7" w:rsidRDefault="004B31C7" w:rsidP="006D5397">
      <w:pPr>
        <w:spacing w:line="360" w:lineRule="auto"/>
        <w:ind w:left="720" w:hanging="720"/>
        <w:jc w:val="both"/>
        <w:rPr>
          <w:rFonts w:ascii="Arial" w:hAnsi="Arial"/>
          <w:rtl/>
        </w:rPr>
      </w:pPr>
      <w:r w:rsidRPr="007320E7">
        <w:rPr>
          <w:rFonts w:ascii="Arial" w:hAnsi="Arial"/>
          <w:rtl/>
        </w:rPr>
        <w:t>31.</w:t>
      </w:r>
      <w:r w:rsidRPr="007320E7">
        <w:rPr>
          <w:rFonts w:ascii="Arial" w:hAnsi="Arial"/>
          <w:rtl/>
        </w:rPr>
        <w:tab/>
        <w:t xml:space="preserve">בעניינו, שירות המבחן בחן ואיזן בין נתוניו האישיים של הנאשם לבין חומרת העבירות המיוחסות לו ובהתאם להוראות החוק והפסיקה הנוהגת התרשם כי הנאשם זקוק להשמה במעון נעול לצורך אבחון מעמיק וטיפול.  </w:t>
      </w:r>
    </w:p>
    <w:p w14:paraId="63B0FA8E" w14:textId="77777777" w:rsidR="004B31C7" w:rsidRPr="007320E7" w:rsidRDefault="004B31C7" w:rsidP="006D5397">
      <w:pPr>
        <w:spacing w:line="360" w:lineRule="auto"/>
        <w:jc w:val="both"/>
        <w:rPr>
          <w:rFonts w:ascii="Arial" w:hAnsi="Arial"/>
          <w:rtl/>
        </w:rPr>
      </w:pPr>
    </w:p>
    <w:p w14:paraId="178908EF" w14:textId="77777777" w:rsidR="004B31C7" w:rsidRPr="007320E7" w:rsidRDefault="004B31C7" w:rsidP="006D5397">
      <w:pPr>
        <w:spacing w:line="360" w:lineRule="auto"/>
        <w:ind w:left="720" w:hanging="720"/>
        <w:jc w:val="both"/>
        <w:rPr>
          <w:rFonts w:ascii="Arial" w:hAnsi="Arial"/>
          <w:rtl/>
        </w:rPr>
      </w:pPr>
      <w:r w:rsidRPr="007320E7">
        <w:rPr>
          <w:rFonts w:ascii="Arial" w:hAnsi="Arial"/>
          <w:rtl/>
        </w:rPr>
        <w:t>32.</w:t>
      </w:r>
      <w:r w:rsidRPr="007320E7">
        <w:rPr>
          <w:rFonts w:ascii="Arial" w:hAnsi="Arial"/>
          <w:rtl/>
        </w:rPr>
        <w:tab/>
        <w:t xml:space="preserve">עמדה זו נזנחה בשל העדר מקומות השמה במוסדות חסות הנוער לרבות מעונות נעולים ו/או אבחוניים. קצינת המבחן ציינה בתסקירה כי רשימת ההמתנה למעון נעול היא כשנה.  אעיר כי, לא ניתן להשלים עם מציאות בה הוראות חוק הנוער אינן ניתנות ליישום משך תקופה ממושכת ובלתי מידתית. תופעת רשימות ההמתנה אינה חדשה במחוזותינו, ופעם אחר פעם בתי המשפט נאלצים לזנוח את הוראותיו של חוק הנוער לטובת ענישה נטולת אפיק טיפולי נחוץ מתוך מטרה ותקווה למנוע הישנות מעורבות נאשמים קטינים בעבירות חמורות. דברים אלו נכונים ביתר שאת בעניינם של נאשמים קטינים, המבצעים עבירות נשק בחברה הערבית. </w:t>
      </w:r>
    </w:p>
    <w:p w14:paraId="7F286926" w14:textId="77777777" w:rsidR="004B31C7" w:rsidRPr="007320E7" w:rsidRDefault="004B31C7" w:rsidP="006D5397">
      <w:pPr>
        <w:spacing w:line="360" w:lineRule="auto"/>
        <w:jc w:val="both"/>
        <w:rPr>
          <w:rFonts w:ascii="Arial" w:hAnsi="Arial"/>
          <w:rtl/>
        </w:rPr>
      </w:pPr>
    </w:p>
    <w:p w14:paraId="4C56DD13" w14:textId="77777777" w:rsidR="004B31C7" w:rsidRPr="007320E7" w:rsidRDefault="004B31C7" w:rsidP="006D5397">
      <w:pPr>
        <w:spacing w:line="360" w:lineRule="auto"/>
        <w:ind w:left="720" w:hanging="720"/>
        <w:jc w:val="both"/>
        <w:rPr>
          <w:rFonts w:ascii="Arial" w:hAnsi="Arial"/>
          <w:rtl/>
        </w:rPr>
      </w:pPr>
      <w:r w:rsidRPr="007320E7">
        <w:rPr>
          <w:rFonts w:ascii="Arial" w:hAnsi="Arial"/>
          <w:rtl/>
        </w:rPr>
        <w:t>33.</w:t>
      </w:r>
      <w:r w:rsidRPr="007320E7">
        <w:rPr>
          <w:rFonts w:ascii="Arial" w:hAnsi="Arial"/>
          <w:rtl/>
        </w:rPr>
        <w:tab/>
        <w:t xml:space="preserve">מעון נעול כהגדרתו בחוק הנוער קולט קטינים מכוחם של לפחות ארבעה סעיפי חוק. מכוחו של </w:t>
      </w:r>
      <w:hyperlink r:id="rId32" w:history="1">
        <w:r w:rsidR="009561DC" w:rsidRPr="009561DC">
          <w:rPr>
            <w:rStyle w:val="Hyperlink"/>
            <w:rFonts w:ascii="Arial" w:hAnsi="Arial"/>
            <w:rtl/>
          </w:rPr>
          <w:t>סעיף 26(5)</w:t>
        </w:r>
      </w:hyperlink>
      <w:r w:rsidRPr="007320E7">
        <w:rPr>
          <w:rFonts w:ascii="Arial" w:hAnsi="Arial"/>
          <w:rtl/>
        </w:rPr>
        <w:t xml:space="preserve"> לחוק הנוער כאשר קטין משולב בו במסגרת דרכי טיפול, מכוחו של </w:t>
      </w:r>
      <w:hyperlink r:id="rId33" w:history="1">
        <w:r w:rsidR="009561DC" w:rsidRPr="009561DC">
          <w:rPr>
            <w:rStyle w:val="Hyperlink"/>
            <w:rFonts w:ascii="Arial" w:hAnsi="Arial"/>
            <w:rtl/>
          </w:rPr>
          <w:t>סעיף 25</w:t>
        </w:r>
      </w:hyperlink>
      <w:r w:rsidRPr="007320E7">
        <w:rPr>
          <w:rFonts w:ascii="Arial" w:hAnsi="Arial"/>
          <w:rtl/>
        </w:rPr>
        <w:t xml:space="preserve">  לחוק הנוער – כאשר קטין מורשע ונשלח לרצוי מאסר במעון נעול, מכוחו של </w:t>
      </w:r>
      <w:hyperlink r:id="rId34" w:history="1">
        <w:r w:rsidR="009561DC" w:rsidRPr="009561DC">
          <w:rPr>
            <w:rStyle w:val="Hyperlink"/>
            <w:rFonts w:ascii="Arial" w:hAnsi="Arial"/>
            <w:rtl/>
          </w:rPr>
          <w:t>סעיף 20א(א)</w:t>
        </w:r>
      </w:hyperlink>
      <w:r w:rsidRPr="007320E7">
        <w:rPr>
          <w:rFonts w:ascii="Arial" w:hAnsi="Arial"/>
          <w:rtl/>
        </w:rPr>
        <w:t xml:space="preserve"> לחוק הנוער לצורכי הסתכלות לתקופה שלא תעלה על 70 ימים או מכוחו של </w:t>
      </w:r>
      <w:hyperlink r:id="rId35" w:history="1">
        <w:r w:rsidR="009561DC" w:rsidRPr="009561DC">
          <w:rPr>
            <w:rStyle w:val="Hyperlink"/>
            <w:rFonts w:ascii="Arial" w:hAnsi="Arial"/>
            <w:rtl/>
          </w:rPr>
          <w:t>סעיף 3(4)</w:t>
        </w:r>
      </w:hyperlink>
      <w:r w:rsidRPr="007320E7">
        <w:rPr>
          <w:rFonts w:ascii="Arial" w:hAnsi="Arial"/>
          <w:rtl/>
        </w:rPr>
        <w:t xml:space="preserve"> ל</w:t>
      </w:r>
      <w:hyperlink r:id="rId36" w:history="1">
        <w:r w:rsidR="004F402C" w:rsidRPr="004F402C">
          <w:rPr>
            <w:rFonts w:ascii="Arial" w:hAnsi="Arial"/>
            <w:color w:val="0000FF"/>
            <w:u w:val="single"/>
            <w:rtl/>
          </w:rPr>
          <w:t>חוק הנוער (טיפול והשגחה)</w:t>
        </w:r>
      </w:hyperlink>
      <w:r w:rsidRPr="007320E7">
        <w:rPr>
          <w:rFonts w:ascii="Arial" w:hAnsi="Arial"/>
          <w:rtl/>
        </w:rPr>
        <w:t xml:space="preserve"> התש"ן 1960 בהליכי נזקקות.  בהתייחס לכל סעיף וסעיף הנעי"ל קיימות רשימות המתנה לתקופות ממושכות. </w:t>
      </w:r>
    </w:p>
    <w:p w14:paraId="3B6C0EEC" w14:textId="77777777" w:rsidR="004B31C7" w:rsidRPr="007320E7" w:rsidRDefault="004B31C7" w:rsidP="006D5397">
      <w:pPr>
        <w:spacing w:line="360" w:lineRule="auto"/>
        <w:jc w:val="both"/>
        <w:rPr>
          <w:rFonts w:ascii="Arial" w:hAnsi="Arial"/>
          <w:rtl/>
        </w:rPr>
      </w:pPr>
    </w:p>
    <w:p w14:paraId="3B855897" w14:textId="77777777" w:rsidR="004B31C7" w:rsidRPr="007320E7" w:rsidRDefault="004B31C7" w:rsidP="006D5397">
      <w:pPr>
        <w:spacing w:line="360" w:lineRule="auto"/>
        <w:ind w:left="720" w:hanging="720"/>
        <w:jc w:val="both"/>
        <w:rPr>
          <w:rFonts w:ascii="Arial" w:hAnsi="Arial"/>
          <w:rtl/>
        </w:rPr>
      </w:pPr>
      <w:r w:rsidRPr="007320E7">
        <w:rPr>
          <w:rFonts w:ascii="Arial" w:hAnsi="Arial"/>
          <w:rtl/>
        </w:rPr>
        <w:t>34.</w:t>
      </w:r>
      <w:r w:rsidRPr="007320E7">
        <w:rPr>
          <w:rFonts w:ascii="Arial" w:hAnsi="Arial"/>
          <w:rtl/>
        </w:rPr>
        <w:tab/>
        <w:t xml:space="preserve"> המלצות שירות המבחן הלכה למעשה מרוקנות מתוכן ואינן מיושמות על ידי חסות הנוער בשל העדר מקומות השמה במעונות. לא ניתן לקבל את העובדה כי במדינת ישראל קיים מעון נעול אחד בלבד לדוברי השפה הערבית כאשר רשימת ההמתנה הינה למעלה משנה ומהלך שנים רבות לא התווסף אף לא מעון נעול נוסף לדוברי השפה הערבית.  תופעת העדר מקומות השמה במעונות הנעולים, בכלל המגזרים הפכה לרווחת בקרב קטינים ומשכך אינם זוכים לאבחון וטיפול מקצועי מתבקש. </w:t>
      </w:r>
    </w:p>
    <w:p w14:paraId="05A45F11" w14:textId="77777777" w:rsidR="004B31C7" w:rsidRPr="007320E7" w:rsidRDefault="004B31C7" w:rsidP="006D5397">
      <w:pPr>
        <w:spacing w:line="360" w:lineRule="auto"/>
        <w:jc w:val="both"/>
        <w:rPr>
          <w:rFonts w:ascii="Arial" w:hAnsi="Arial"/>
          <w:rtl/>
        </w:rPr>
      </w:pPr>
    </w:p>
    <w:p w14:paraId="0DDFCA39" w14:textId="77777777" w:rsidR="004B31C7" w:rsidRPr="007320E7" w:rsidRDefault="004B31C7" w:rsidP="006D5397">
      <w:pPr>
        <w:spacing w:line="360" w:lineRule="auto"/>
        <w:ind w:left="720" w:hanging="720"/>
        <w:jc w:val="both"/>
        <w:rPr>
          <w:rFonts w:ascii="Arial" w:hAnsi="Arial"/>
          <w:rtl/>
        </w:rPr>
      </w:pPr>
      <w:r w:rsidRPr="007320E7">
        <w:rPr>
          <w:rFonts w:ascii="Arial" w:hAnsi="Arial"/>
          <w:rtl/>
        </w:rPr>
        <w:t>35.</w:t>
      </w:r>
      <w:r w:rsidRPr="007320E7">
        <w:rPr>
          <w:rFonts w:ascii="Arial" w:hAnsi="Arial"/>
          <w:rtl/>
        </w:rPr>
        <w:tab/>
        <w:t xml:space="preserve">זאת ועוד, רשימת המתנה של שנה אינה מתיישבת עם האינטרס הציבורי הדוגל בשיקומם של קטינים ואין להשלים עם מצב זה בחברה מתוקנת. הגיעה העת כי תעשה חשיבה מחודשת בנוגע להגדרת תכלית וייעוד המעונות הממשלתיים, תוך בחינה מדוקדקת של צרכי הקטינים הזקוקים לנעילה מכוחם של חוקי הנוער על סעיפיהם ולא רק בחברה הערבית שכן מצוקת ההשמה ורשימות ההמתנה ארוכות בכלל המעונות הנעולים. </w:t>
      </w:r>
    </w:p>
    <w:p w14:paraId="5D5DA547" w14:textId="77777777" w:rsidR="004B31C7" w:rsidRPr="003C6F09" w:rsidRDefault="004B31C7" w:rsidP="006D5397">
      <w:pPr>
        <w:jc w:val="both"/>
        <w:rPr>
          <w:rFonts w:ascii="Arial" w:hAnsi="Arial"/>
          <w:b/>
          <w:bCs/>
          <w:sz w:val="26"/>
          <w:szCs w:val="26"/>
          <w:rtl/>
        </w:rPr>
      </w:pPr>
    </w:p>
    <w:p w14:paraId="6C9A73F3" w14:textId="77777777" w:rsidR="004B31C7" w:rsidRPr="00277263" w:rsidRDefault="004B31C7" w:rsidP="006D5397">
      <w:pPr>
        <w:spacing w:line="360" w:lineRule="auto"/>
        <w:ind w:left="720" w:hanging="720"/>
        <w:jc w:val="both"/>
        <w:rPr>
          <w:rFonts w:ascii="Arial" w:hAnsi="Arial"/>
          <w:rtl/>
        </w:rPr>
      </w:pPr>
      <w:r w:rsidRPr="00084F5D">
        <w:rPr>
          <w:rFonts w:ascii="Arial" w:hAnsi="Arial"/>
          <w:sz w:val="26"/>
          <w:szCs w:val="26"/>
          <w:rtl/>
        </w:rPr>
        <w:t>36</w:t>
      </w:r>
      <w:r w:rsidRPr="00277263">
        <w:rPr>
          <w:rFonts w:ascii="Arial" w:hAnsi="Arial"/>
          <w:rtl/>
        </w:rPr>
        <w:t>.</w:t>
      </w:r>
      <w:r w:rsidRPr="00277263">
        <w:rPr>
          <w:rFonts w:ascii="Arial" w:hAnsi="Arial"/>
          <w:rtl/>
        </w:rPr>
        <w:tab/>
        <w:t xml:space="preserve">ולצורך הדיון בנאשם העומד בפניי לדין, ועל אף שיש ליתן משקל מוגבר כאמור לשיקומו, אין להתעלם מחומרת העבירות המיוחסות לו ויש לאזן כל מקרה ומקרה ונסיבותיו מבלי להתעלם מהאינטרס הציבורי הרחב, יעדי ומטרות הענישה.  וראו לעניין זה </w:t>
      </w:r>
      <w:hyperlink r:id="rId37" w:history="1">
        <w:r w:rsidR="004F402C" w:rsidRPr="004F402C">
          <w:rPr>
            <w:rFonts w:ascii="Arial" w:hAnsi="Arial"/>
            <w:color w:val="0000FF"/>
            <w:u w:val="single"/>
            <w:rtl/>
          </w:rPr>
          <w:t>ע"פ 6294/11</w:t>
        </w:r>
      </w:hyperlink>
      <w:r w:rsidRPr="00277263">
        <w:rPr>
          <w:rFonts w:ascii="Arial" w:hAnsi="Arial"/>
          <w:rtl/>
        </w:rPr>
        <w:t xml:space="preserve"> פלוני נגד מדינת ישראל </w:t>
      </w:r>
      <w:r w:rsidR="006D5397">
        <w:rPr>
          <w:rFonts w:ascii="Arial" w:hAnsi="Arial"/>
          <w:rtl/>
        </w:rPr>
        <w:t>[נבו]</w:t>
      </w:r>
      <w:r w:rsidR="006D5397">
        <w:rPr>
          <w:rFonts w:ascii="Arial" w:hAnsi="Arial" w:hint="cs"/>
          <w:rtl/>
        </w:rPr>
        <w:t xml:space="preserve"> </w:t>
      </w:r>
      <w:r w:rsidRPr="00277263">
        <w:rPr>
          <w:rFonts w:ascii="Arial" w:hAnsi="Arial"/>
          <w:rtl/>
        </w:rPr>
        <w:t xml:space="preserve">(20/2/14). </w:t>
      </w:r>
    </w:p>
    <w:p w14:paraId="7C5F2557" w14:textId="77777777" w:rsidR="004B31C7" w:rsidRPr="00277263" w:rsidRDefault="004B31C7" w:rsidP="006D5397">
      <w:pPr>
        <w:spacing w:line="360" w:lineRule="auto"/>
        <w:jc w:val="both"/>
        <w:rPr>
          <w:rFonts w:ascii="Arial" w:hAnsi="Arial"/>
          <w:rtl/>
        </w:rPr>
      </w:pPr>
    </w:p>
    <w:p w14:paraId="69286261" w14:textId="77777777" w:rsidR="004B31C7" w:rsidRPr="00277263" w:rsidRDefault="004B31C7" w:rsidP="006D5397">
      <w:pPr>
        <w:spacing w:line="360" w:lineRule="auto"/>
        <w:jc w:val="both"/>
        <w:rPr>
          <w:rFonts w:ascii="Arial" w:hAnsi="Arial"/>
          <w:rtl/>
        </w:rPr>
      </w:pPr>
    </w:p>
    <w:p w14:paraId="4D53131B" w14:textId="77777777" w:rsidR="004B31C7" w:rsidRPr="001E2D34" w:rsidRDefault="004B31C7" w:rsidP="006D5397">
      <w:pPr>
        <w:spacing w:line="360" w:lineRule="auto"/>
        <w:ind w:left="720" w:hanging="720"/>
        <w:jc w:val="both"/>
        <w:rPr>
          <w:rFonts w:ascii="Arial" w:hAnsi="Arial"/>
          <w:b/>
          <w:bCs/>
          <w:rtl/>
        </w:rPr>
      </w:pPr>
      <w:r w:rsidRPr="00277263">
        <w:rPr>
          <w:rFonts w:ascii="Arial" w:hAnsi="Arial"/>
          <w:rtl/>
        </w:rPr>
        <w:t>37.</w:t>
      </w:r>
      <w:r w:rsidRPr="00277263">
        <w:rPr>
          <w:rFonts w:ascii="Arial" w:hAnsi="Arial"/>
          <w:rtl/>
        </w:rPr>
        <w:tab/>
        <w:t>עבירות הנשק הפכו לרעה חולה בחברה ומספרם האמיר בקרב נאשמים קטינים</w:t>
      </w:r>
      <w:r>
        <w:rPr>
          <w:rFonts w:ascii="Arial" w:hAnsi="Arial"/>
          <w:rtl/>
        </w:rPr>
        <w:t xml:space="preserve"> </w:t>
      </w:r>
      <w:hyperlink r:id="rId38" w:history="1">
        <w:r w:rsidR="006D5397" w:rsidRPr="006D5397">
          <w:rPr>
            <w:rStyle w:val="Hyperlink"/>
            <w:rFonts w:ascii="Arial" w:hAnsi="Arial"/>
            <w:rtl/>
          </w:rPr>
          <w:t>ע.פ 1323/1</w:t>
        </w:r>
      </w:hyperlink>
      <w:r w:rsidR="006D5397">
        <w:rPr>
          <w:rFonts w:ascii="Arial" w:hAnsi="Arial" w:hint="cs"/>
          <w:rtl/>
        </w:rPr>
        <w:t xml:space="preserve"> </w:t>
      </w:r>
      <w:r w:rsidRPr="00277263">
        <w:rPr>
          <w:rFonts w:ascii="Arial" w:hAnsi="Arial"/>
          <w:rtl/>
        </w:rPr>
        <w:t xml:space="preserve">חסן נגד מדינת ישראל </w:t>
      </w:r>
      <w:r w:rsidR="006D5397">
        <w:rPr>
          <w:rFonts w:ascii="Arial" w:hAnsi="Arial"/>
          <w:rtl/>
        </w:rPr>
        <w:t>[נבו]</w:t>
      </w:r>
      <w:r w:rsidR="006D5397">
        <w:rPr>
          <w:rFonts w:ascii="Arial" w:hAnsi="Arial" w:hint="cs"/>
          <w:rtl/>
        </w:rPr>
        <w:t xml:space="preserve"> </w:t>
      </w:r>
      <w:r w:rsidRPr="00277263">
        <w:rPr>
          <w:rFonts w:ascii="Arial" w:hAnsi="Arial"/>
          <w:rtl/>
        </w:rPr>
        <w:t xml:space="preserve">נקבע בין היתר: </w:t>
      </w:r>
      <w:r w:rsidRPr="001E2D34">
        <w:rPr>
          <w:rFonts w:ascii="Arial" w:hAnsi="Arial"/>
          <w:b/>
          <w:bCs/>
          <w:rtl/>
        </w:rPr>
        <w:t xml:space="preserve">"הסכנה הנשקפת לציבור כתוצאה מעבירות הנשק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p>
    <w:p w14:paraId="0710D3EB" w14:textId="77777777" w:rsidR="004B31C7" w:rsidRPr="00277263" w:rsidRDefault="004B31C7" w:rsidP="006D5397">
      <w:pPr>
        <w:spacing w:line="360" w:lineRule="auto"/>
        <w:jc w:val="both"/>
        <w:rPr>
          <w:rFonts w:ascii="Arial" w:hAnsi="Arial"/>
          <w:rtl/>
        </w:rPr>
      </w:pPr>
    </w:p>
    <w:p w14:paraId="2B9EA16F" w14:textId="77777777" w:rsidR="004B31C7" w:rsidRPr="00277263" w:rsidRDefault="004B31C7" w:rsidP="006D5397">
      <w:pPr>
        <w:spacing w:line="360" w:lineRule="auto"/>
        <w:ind w:left="720" w:hanging="720"/>
        <w:jc w:val="both"/>
        <w:rPr>
          <w:rFonts w:ascii="Arial" w:hAnsi="Arial"/>
          <w:rtl/>
        </w:rPr>
      </w:pPr>
      <w:r w:rsidRPr="00277263">
        <w:rPr>
          <w:rFonts w:ascii="Arial" w:hAnsi="Arial"/>
          <w:rtl/>
        </w:rPr>
        <w:t>38.</w:t>
      </w:r>
      <w:r w:rsidRPr="00277263">
        <w:rPr>
          <w:rFonts w:ascii="Arial" w:hAnsi="Arial"/>
          <w:rtl/>
        </w:rPr>
        <w:tab/>
        <w:t xml:space="preserve">הנאשם, בשני אירועים שונים הודה בעבירות שיוחסו לו ולצד העבירות הנ"ל קבע המחוקק  עונשי מאסר ממושכים על מנת לשקף את חומרת העבירות. </w:t>
      </w:r>
    </w:p>
    <w:p w14:paraId="7FA3E89A" w14:textId="77777777" w:rsidR="004B31C7" w:rsidRPr="00277263" w:rsidRDefault="004B31C7" w:rsidP="006D5397">
      <w:pPr>
        <w:spacing w:line="360" w:lineRule="auto"/>
        <w:jc w:val="both"/>
        <w:rPr>
          <w:rFonts w:ascii="Arial" w:hAnsi="Arial"/>
          <w:rtl/>
        </w:rPr>
      </w:pPr>
    </w:p>
    <w:p w14:paraId="4E1F4E83" w14:textId="77777777" w:rsidR="004B31C7" w:rsidRPr="00277263" w:rsidRDefault="004B31C7" w:rsidP="006D5397">
      <w:pPr>
        <w:spacing w:line="360" w:lineRule="auto"/>
        <w:ind w:left="720" w:hanging="720"/>
        <w:jc w:val="both"/>
        <w:rPr>
          <w:rFonts w:ascii="Arial" w:hAnsi="Arial"/>
          <w:rtl/>
        </w:rPr>
      </w:pPr>
      <w:r w:rsidRPr="00277263">
        <w:rPr>
          <w:rFonts w:ascii="Arial" w:hAnsi="Arial"/>
          <w:rtl/>
        </w:rPr>
        <w:t>39.</w:t>
      </w:r>
      <w:r w:rsidRPr="00277263">
        <w:rPr>
          <w:rFonts w:ascii="Arial" w:hAnsi="Arial"/>
          <w:rtl/>
        </w:rPr>
        <w:tab/>
        <w:t>מעיון בפסקי הדין שהונחו בפני על ידי הצדדים ביניהם ת"פ (חיפה) 33164-07-23 אליה הפנתה המאשימה בטיעוניה, שם נגזרו על הקטין 10 חודשי מאסר בפועל עת יוחסה לו במסגרת הסדר טיעון עבירת נשק יחידה. לא מצאתי לגזור גזירה שווה בעניינו של הנאשם שבפני בשים לב לעובדה כי יוחסו לו בשני אישומים  ארבע עבירות נשק.  גם מ</w:t>
      </w:r>
      <w:hyperlink r:id="rId39" w:history="1">
        <w:r w:rsidR="004F402C" w:rsidRPr="004F402C">
          <w:rPr>
            <w:rFonts w:ascii="Arial" w:hAnsi="Arial"/>
            <w:color w:val="0000FF"/>
            <w:u w:val="single"/>
            <w:rtl/>
          </w:rPr>
          <w:t>ע"פ 953/15</w:t>
        </w:r>
      </w:hyperlink>
      <w:r w:rsidRPr="00277263">
        <w:rPr>
          <w:rFonts w:ascii="Arial" w:hAnsi="Arial"/>
          <w:rtl/>
        </w:rPr>
        <w:t xml:space="preserve"> מדינת ישראל נ' פלוני </w:t>
      </w:r>
      <w:r w:rsidR="006D5397">
        <w:rPr>
          <w:rFonts w:ascii="Arial" w:hAnsi="Arial"/>
          <w:rtl/>
        </w:rPr>
        <w:t>[נבו]</w:t>
      </w:r>
      <w:r w:rsidR="006D5397">
        <w:rPr>
          <w:rFonts w:ascii="Arial" w:hAnsi="Arial" w:hint="cs"/>
          <w:rtl/>
        </w:rPr>
        <w:t xml:space="preserve"> </w:t>
      </w:r>
      <w:r w:rsidRPr="00277263">
        <w:rPr>
          <w:rFonts w:ascii="Arial" w:hAnsi="Arial"/>
          <w:rtl/>
        </w:rPr>
        <w:t>(24/3/15) לא ניתן לגזור גזירה שווה בשל העדר חפיפה ביחס לחומרת העבירות. ב</w:t>
      </w:r>
      <w:hyperlink r:id="rId40" w:history="1">
        <w:r w:rsidR="004F402C" w:rsidRPr="004F402C">
          <w:rPr>
            <w:rFonts w:ascii="Arial" w:hAnsi="Arial"/>
            <w:color w:val="0000FF"/>
            <w:u w:val="single"/>
            <w:rtl/>
          </w:rPr>
          <w:t>ת"פ 33107/05/20</w:t>
        </w:r>
      </w:hyperlink>
      <w:r w:rsidRPr="00277263">
        <w:rPr>
          <w:rFonts w:ascii="Arial" w:hAnsi="Arial"/>
          <w:rtl/>
        </w:rPr>
        <w:t xml:space="preserve"> (חיפה) </w:t>
      </w:r>
      <w:r w:rsidR="006D5397">
        <w:rPr>
          <w:rFonts w:ascii="Arial" w:hAnsi="Arial"/>
          <w:rtl/>
        </w:rPr>
        <w:t>[נבו]</w:t>
      </w:r>
      <w:r w:rsidR="006D5397">
        <w:rPr>
          <w:rFonts w:ascii="Arial" w:hAnsi="Arial" w:hint="cs"/>
          <w:rtl/>
        </w:rPr>
        <w:t xml:space="preserve"> </w:t>
      </w:r>
      <w:r w:rsidRPr="00277263">
        <w:rPr>
          <w:rFonts w:ascii="Arial" w:hAnsi="Arial"/>
          <w:rtl/>
        </w:rPr>
        <w:t xml:space="preserve">נגזרו על הנאשם 21 חודשי מאסר בנוסף לעבירות הנשק הודה בהצתה ובירי באזור מגורים. </w:t>
      </w:r>
    </w:p>
    <w:p w14:paraId="2213C717" w14:textId="77777777" w:rsidR="004B31C7" w:rsidRPr="00277263" w:rsidRDefault="004B31C7" w:rsidP="006D5397">
      <w:pPr>
        <w:spacing w:line="360" w:lineRule="auto"/>
        <w:jc w:val="both"/>
        <w:rPr>
          <w:rFonts w:ascii="Arial" w:hAnsi="Arial"/>
          <w:rtl/>
        </w:rPr>
      </w:pPr>
    </w:p>
    <w:p w14:paraId="6BC98C7A" w14:textId="77777777" w:rsidR="004B31C7" w:rsidRPr="00447BB3" w:rsidRDefault="004B31C7" w:rsidP="006D5397">
      <w:pPr>
        <w:spacing w:line="360" w:lineRule="auto"/>
        <w:ind w:left="720" w:hanging="720"/>
        <w:jc w:val="both"/>
        <w:rPr>
          <w:rFonts w:ascii="Arial" w:hAnsi="Arial"/>
          <w:rtl/>
        </w:rPr>
      </w:pPr>
      <w:r w:rsidRPr="00277263">
        <w:rPr>
          <w:rFonts w:ascii="Arial" w:hAnsi="Arial"/>
          <w:rtl/>
        </w:rPr>
        <w:t>40.</w:t>
      </w:r>
      <w:r w:rsidRPr="00277263">
        <w:rPr>
          <w:rFonts w:ascii="Arial" w:hAnsi="Arial"/>
          <w:rtl/>
        </w:rPr>
        <w:tab/>
        <w:t xml:space="preserve">בהתאם להוראות </w:t>
      </w:r>
      <w:hyperlink r:id="rId41" w:history="1">
        <w:r w:rsidR="009561DC" w:rsidRPr="009561DC">
          <w:rPr>
            <w:rStyle w:val="Hyperlink"/>
            <w:rFonts w:ascii="Arial" w:hAnsi="Arial"/>
            <w:rtl/>
          </w:rPr>
          <w:t>סעיף 25 (ב)</w:t>
        </w:r>
      </w:hyperlink>
      <w:r w:rsidRPr="00277263">
        <w:rPr>
          <w:rFonts w:ascii="Arial" w:hAnsi="Arial"/>
          <w:rtl/>
        </w:rPr>
        <w:t xml:space="preserve"> לחוק הנוער: </w:t>
      </w:r>
      <w:r w:rsidRPr="00447BB3">
        <w:rPr>
          <w:rFonts w:ascii="Arial" w:hAnsi="Arial"/>
          <w:b/>
          <w:bCs/>
          <w:rtl/>
        </w:rPr>
        <w:t>"אדם שהיה קטין ביום ביצוע העבירה לא יוטל עליו עונש מוות, ועל אף האמור בכל דין אין חובה להטיל עליו מאסר עולם, מאסר חובה או עונש מינימום"</w:t>
      </w:r>
      <w:r w:rsidRPr="00277263">
        <w:rPr>
          <w:rFonts w:ascii="Arial" w:hAnsi="Arial"/>
          <w:rtl/>
        </w:rPr>
        <w:t xml:space="preserve">.  </w:t>
      </w:r>
      <w:r w:rsidRPr="00447BB3">
        <w:rPr>
          <w:rFonts w:ascii="Arial" w:hAnsi="Arial"/>
          <w:rtl/>
        </w:rPr>
        <w:t xml:space="preserve">בהתאם לזאת הוראת </w:t>
      </w:r>
      <w:hyperlink r:id="rId42" w:history="1">
        <w:r w:rsidR="009561DC" w:rsidRPr="009561DC">
          <w:rPr>
            <w:rStyle w:val="Hyperlink"/>
            <w:rFonts w:ascii="Arial" w:hAnsi="Arial"/>
            <w:rtl/>
          </w:rPr>
          <w:t>סעיף 144 (ז)</w:t>
        </w:r>
      </w:hyperlink>
      <w:r w:rsidRPr="00447BB3">
        <w:rPr>
          <w:rFonts w:ascii="Arial" w:hAnsi="Arial"/>
          <w:rtl/>
        </w:rPr>
        <w:t xml:space="preserve"> לחוק, הוראת שעה בדבר ענישת מינימום, לא תחול במקרה דנן. </w:t>
      </w:r>
    </w:p>
    <w:p w14:paraId="2E1F1D55" w14:textId="77777777" w:rsidR="004B31C7" w:rsidRPr="003C6F09" w:rsidRDefault="004B31C7" w:rsidP="006D5397">
      <w:pPr>
        <w:jc w:val="both"/>
        <w:rPr>
          <w:rFonts w:ascii="Arial" w:hAnsi="Arial"/>
          <w:b/>
          <w:bCs/>
          <w:sz w:val="26"/>
          <w:szCs w:val="26"/>
          <w:rtl/>
        </w:rPr>
      </w:pPr>
    </w:p>
    <w:p w14:paraId="7AB506D7" w14:textId="77777777" w:rsidR="004B31C7" w:rsidRPr="001A2FCA" w:rsidRDefault="004B31C7" w:rsidP="006D5397">
      <w:pPr>
        <w:spacing w:line="360" w:lineRule="auto"/>
        <w:ind w:left="720" w:hanging="720"/>
        <w:jc w:val="both"/>
        <w:rPr>
          <w:rFonts w:ascii="Arial" w:hAnsi="Arial"/>
          <w:rtl/>
        </w:rPr>
      </w:pPr>
      <w:r w:rsidRPr="001A2FCA">
        <w:rPr>
          <w:rFonts w:ascii="Arial" w:hAnsi="Arial"/>
          <w:sz w:val="26"/>
          <w:szCs w:val="26"/>
          <w:rtl/>
        </w:rPr>
        <w:t>41</w:t>
      </w:r>
      <w:r w:rsidRPr="003C6F09">
        <w:rPr>
          <w:rFonts w:ascii="Arial" w:hAnsi="Arial"/>
          <w:b/>
          <w:bCs/>
          <w:sz w:val="26"/>
          <w:szCs w:val="26"/>
          <w:rtl/>
        </w:rPr>
        <w:t>.</w:t>
      </w:r>
      <w:r w:rsidRPr="003C6F09">
        <w:rPr>
          <w:rFonts w:ascii="Arial" w:hAnsi="Arial"/>
          <w:b/>
          <w:bCs/>
          <w:sz w:val="26"/>
          <w:szCs w:val="26"/>
          <w:rtl/>
        </w:rPr>
        <w:tab/>
      </w:r>
      <w:r w:rsidRPr="001A2FCA">
        <w:rPr>
          <w:rFonts w:ascii="Arial" w:hAnsi="Arial"/>
          <w:rtl/>
        </w:rPr>
        <w:t xml:space="preserve">לאחר שנתתי דעתי לעמדת הצדדים ולטיעוניהם ונוכח חומרת העבירות אני </w:t>
      </w:r>
      <w:r w:rsidRPr="002B0C75">
        <w:rPr>
          <w:rFonts w:ascii="Arial" w:hAnsi="Arial"/>
          <w:b/>
          <w:bCs/>
          <w:u w:val="single"/>
          <w:rtl/>
        </w:rPr>
        <w:t>מרשיעה</w:t>
      </w:r>
      <w:r w:rsidRPr="002B0C75">
        <w:rPr>
          <w:rFonts w:ascii="Arial" w:hAnsi="Arial"/>
          <w:b/>
          <w:bCs/>
          <w:rtl/>
        </w:rPr>
        <w:t xml:space="preserve"> </w:t>
      </w:r>
      <w:r w:rsidRPr="001A2FCA">
        <w:rPr>
          <w:rFonts w:ascii="Arial" w:hAnsi="Arial"/>
          <w:rtl/>
        </w:rPr>
        <w:t xml:space="preserve">את הנאשם בדין בהתאם </w:t>
      </w:r>
      <w:hyperlink r:id="rId43" w:history="1">
        <w:r w:rsidR="009561DC" w:rsidRPr="009561DC">
          <w:rPr>
            <w:rStyle w:val="Hyperlink"/>
            <w:rFonts w:ascii="Arial" w:hAnsi="Arial"/>
            <w:rtl/>
          </w:rPr>
          <w:t>לסעיף 24 (1)</w:t>
        </w:r>
      </w:hyperlink>
      <w:r w:rsidRPr="001A2FCA">
        <w:rPr>
          <w:rFonts w:ascii="Arial" w:hAnsi="Arial"/>
          <w:rtl/>
        </w:rPr>
        <w:t xml:space="preserve"> לחוק הנוער. </w:t>
      </w:r>
    </w:p>
    <w:p w14:paraId="0DD45275" w14:textId="77777777" w:rsidR="004B31C7" w:rsidRPr="001A2FCA" w:rsidRDefault="004B31C7" w:rsidP="006D5397">
      <w:pPr>
        <w:spacing w:line="360" w:lineRule="auto"/>
        <w:jc w:val="both"/>
        <w:rPr>
          <w:rFonts w:ascii="Arial" w:hAnsi="Arial"/>
          <w:rtl/>
        </w:rPr>
      </w:pPr>
    </w:p>
    <w:p w14:paraId="256BF8CB" w14:textId="77777777" w:rsidR="004B31C7" w:rsidRPr="001A2FCA" w:rsidRDefault="004B31C7" w:rsidP="006D5397">
      <w:pPr>
        <w:spacing w:line="360" w:lineRule="auto"/>
        <w:ind w:left="720" w:hanging="720"/>
        <w:jc w:val="both"/>
        <w:rPr>
          <w:rFonts w:ascii="Arial" w:hAnsi="Arial"/>
          <w:rtl/>
        </w:rPr>
      </w:pPr>
      <w:r w:rsidRPr="001A2FCA">
        <w:rPr>
          <w:rFonts w:ascii="Arial" w:hAnsi="Arial"/>
          <w:rtl/>
        </w:rPr>
        <w:t>42.</w:t>
      </w:r>
      <w:r w:rsidRPr="001A2FCA">
        <w:rPr>
          <w:rFonts w:ascii="Arial" w:hAnsi="Arial"/>
          <w:rtl/>
        </w:rPr>
        <w:tab/>
        <w:t xml:space="preserve">בבואי לגזור את דינו של הנאשם התייחסתי בין היתר לטיעוני הצדדים, לפסיקה שהוגשה מטעמם, לתסקיר שירות המבחן לדברי הנאשם, לעברו הנקי ולגילו בעת ביצוע העבירות. כן, שקלתי את העדר הצבת הגבול מצד משפחתו קשת היום.  </w:t>
      </w:r>
    </w:p>
    <w:p w14:paraId="3A34569E" w14:textId="77777777" w:rsidR="004B31C7" w:rsidRPr="001A2FCA" w:rsidRDefault="004B31C7" w:rsidP="006D5397">
      <w:pPr>
        <w:spacing w:line="360" w:lineRule="auto"/>
        <w:jc w:val="both"/>
        <w:rPr>
          <w:rFonts w:ascii="Arial" w:hAnsi="Arial"/>
          <w:rtl/>
        </w:rPr>
      </w:pPr>
    </w:p>
    <w:p w14:paraId="04EBC132" w14:textId="77777777" w:rsidR="004B31C7" w:rsidRPr="001A2FCA" w:rsidRDefault="004B31C7" w:rsidP="006D5397">
      <w:pPr>
        <w:spacing w:line="360" w:lineRule="auto"/>
        <w:ind w:left="720" w:hanging="720"/>
        <w:jc w:val="both"/>
        <w:rPr>
          <w:rFonts w:ascii="Arial" w:hAnsi="Arial"/>
          <w:rtl/>
        </w:rPr>
      </w:pPr>
      <w:r w:rsidRPr="001A2FCA">
        <w:rPr>
          <w:rFonts w:ascii="Arial" w:hAnsi="Arial"/>
          <w:rtl/>
        </w:rPr>
        <w:t>43.</w:t>
      </w:r>
      <w:r w:rsidRPr="001A2FCA">
        <w:rPr>
          <w:rFonts w:ascii="Arial" w:hAnsi="Arial"/>
          <w:rtl/>
        </w:rPr>
        <w:tab/>
        <w:t>נתתי דעתי להודאת הנאשם ולחיסכון בזמן השיפוטי, ומצאתי כי יש לתת לאלו משקל ממשי בנסיבות דנן. כבר נקבע ב</w:t>
      </w:r>
      <w:hyperlink r:id="rId44" w:history="1">
        <w:r w:rsidR="004F402C" w:rsidRPr="004F402C">
          <w:rPr>
            <w:rFonts w:ascii="Arial" w:hAnsi="Arial"/>
            <w:color w:val="0000FF"/>
            <w:u w:val="single"/>
            <w:rtl/>
          </w:rPr>
          <w:t>ע"פ 4597/13</w:t>
        </w:r>
      </w:hyperlink>
      <w:r w:rsidRPr="001A2FCA">
        <w:rPr>
          <w:rFonts w:ascii="Arial" w:hAnsi="Arial"/>
          <w:rtl/>
        </w:rPr>
        <w:t xml:space="preserve"> פיצו נ' מדינת ישראל </w:t>
      </w:r>
      <w:r w:rsidR="006D5397">
        <w:rPr>
          <w:rFonts w:ascii="Arial" w:hAnsi="Arial"/>
          <w:rtl/>
        </w:rPr>
        <w:t>[נבו]</w:t>
      </w:r>
      <w:r w:rsidR="006D5397">
        <w:rPr>
          <w:rFonts w:ascii="Arial" w:hAnsi="Arial" w:hint="cs"/>
          <w:rtl/>
        </w:rPr>
        <w:t xml:space="preserve"> </w:t>
      </w:r>
      <w:r w:rsidRPr="001A2FCA">
        <w:rPr>
          <w:rFonts w:ascii="Arial" w:hAnsi="Arial"/>
          <w:rtl/>
        </w:rPr>
        <w:t xml:space="preserve">(22.9.14), כי שאלת המועד בו ניתנה ההודאה היא רלוונטית לעוצמת המשקל שיש ליתן לשיקול זה בראי התכלית של חיסכון בזמן השיפוטי, ובהמשך – </w:t>
      </w:r>
    </w:p>
    <w:p w14:paraId="635F4DD0" w14:textId="77777777" w:rsidR="004B31C7" w:rsidRPr="001A2FCA" w:rsidRDefault="004B31C7" w:rsidP="006D5397">
      <w:pPr>
        <w:spacing w:line="360" w:lineRule="auto"/>
        <w:jc w:val="both"/>
        <w:rPr>
          <w:rFonts w:ascii="Arial" w:hAnsi="Arial"/>
          <w:rtl/>
        </w:rPr>
      </w:pPr>
    </w:p>
    <w:p w14:paraId="5A391CAC" w14:textId="77777777" w:rsidR="004B31C7" w:rsidRPr="002B0C75" w:rsidRDefault="004B31C7" w:rsidP="006D5397">
      <w:pPr>
        <w:spacing w:line="360" w:lineRule="auto"/>
        <w:ind w:left="720"/>
        <w:jc w:val="both"/>
        <w:rPr>
          <w:rFonts w:ascii="Arial" w:hAnsi="Arial"/>
          <w:b/>
          <w:bCs/>
          <w:rtl/>
        </w:rPr>
      </w:pPr>
      <w:r w:rsidRPr="002B0C75">
        <w:rPr>
          <w:rFonts w:ascii="Arial" w:hAnsi="Arial"/>
          <w:b/>
          <w:bCs/>
          <w:rtl/>
        </w:rPr>
        <w:t>"ככל שהודאת הנאשם ניתנה בשלב מוקדם יותר של ההליך בעניינו, הרי שבכך חסך הנאשם זמן שיפוטי רב יותר, ומשקלה לקולא של הודאתו גובר... דברים אלו מתיישבים גם עם התכלית המרכזית הנוספת העומדת בבסיס שקילתה לקולא של הודאת הנאשם – נטילת האחריות על מעשיו, אשר מזוהה גם עם חרטתו. כך, עשוי עיתוי ההודאה המוקדם להצביע על מידת כנות החרטה, ולפיכך מתיישב משקלו לקולא של מועד הודאת הנאשם עם משקלה של כנות חרטתו".</w:t>
      </w:r>
    </w:p>
    <w:p w14:paraId="5C0DD2D7" w14:textId="77777777" w:rsidR="004B31C7" w:rsidRPr="001A2FCA" w:rsidRDefault="004B31C7" w:rsidP="006D5397">
      <w:pPr>
        <w:spacing w:line="360" w:lineRule="auto"/>
        <w:jc w:val="both"/>
        <w:rPr>
          <w:rFonts w:ascii="Arial" w:hAnsi="Arial"/>
          <w:rtl/>
        </w:rPr>
      </w:pPr>
    </w:p>
    <w:p w14:paraId="195E7293" w14:textId="77777777" w:rsidR="004B31C7" w:rsidRPr="001A2FCA" w:rsidRDefault="004B31C7" w:rsidP="006D5397">
      <w:pPr>
        <w:spacing w:line="360" w:lineRule="auto"/>
        <w:jc w:val="both"/>
        <w:rPr>
          <w:rFonts w:ascii="Arial" w:hAnsi="Arial"/>
          <w:rtl/>
        </w:rPr>
      </w:pPr>
    </w:p>
    <w:p w14:paraId="575E3D87" w14:textId="77777777" w:rsidR="004B31C7" w:rsidRPr="001A2FCA" w:rsidRDefault="004B31C7" w:rsidP="006D5397">
      <w:pPr>
        <w:spacing w:line="360" w:lineRule="auto"/>
        <w:ind w:left="720" w:hanging="720"/>
        <w:jc w:val="both"/>
        <w:rPr>
          <w:rFonts w:ascii="Arial" w:hAnsi="Arial"/>
          <w:rtl/>
        </w:rPr>
      </w:pPr>
      <w:r w:rsidRPr="001A2FCA">
        <w:rPr>
          <w:rFonts w:ascii="Arial" w:hAnsi="Arial"/>
          <w:rtl/>
        </w:rPr>
        <w:t>44.</w:t>
      </w:r>
      <w:r w:rsidRPr="001A2FCA">
        <w:rPr>
          <w:rFonts w:ascii="Arial" w:hAnsi="Arial"/>
          <w:rtl/>
        </w:rPr>
        <w:tab/>
        <w:t xml:space="preserve">סוף דבר, באיזונם שערכתי כמפורט לעיל, בין נסיבותיו האישיות של הנאשם לבין חומרת העבירות שיוחסו לו הגעתי לכלל מסקנה כי יש להשית על הנאשם ענישה ממשית מאחורי סורג ובריח ולתחום את תקופת מאסרו שלא מעבר לתקופת קטינותו, על מנת להותיר בפניו אופק שיקומי שנמנע ממנו בשל עומס יתר במעונות הנעולים. בהקשר זה, אציין כי הייתי שוקלת בחיוב את שליחתו למעון נעול בהתאם </w:t>
      </w:r>
      <w:hyperlink r:id="rId45" w:history="1">
        <w:r w:rsidR="009561DC" w:rsidRPr="009561DC">
          <w:rPr>
            <w:rStyle w:val="Hyperlink"/>
            <w:rFonts w:ascii="Arial" w:hAnsi="Arial"/>
            <w:rtl/>
          </w:rPr>
          <w:t>לסעיף 25</w:t>
        </w:r>
      </w:hyperlink>
      <w:r w:rsidRPr="001A2FCA">
        <w:rPr>
          <w:rFonts w:ascii="Arial" w:hAnsi="Arial"/>
          <w:rtl/>
        </w:rPr>
        <w:t xml:space="preserve">  לחוק הנוער ככל וניתן היה לשלבו בו ואלמלא רשימת ההמתנה של שנה, ועל כן עובדה זו נשקלה באשר לאורך תקופת המאסר.</w:t>
      </w:r>
    </w:p>
    <w:p w14:paraId="556B52DC" w14:textId="77777777" w:rsidR="004B31C7" w:rsidRPr="001A2FCA" w:rsidRDefault="004B31C7" w:rsidP="006D5397">
      <w:pPr>
        <w:spacing w:line="360" w:lineRule="auto"/>
        <w:jc w:val="both"/>
        <w:rPr>
          <w:rFonts w:ascii="Arial" w:hAnsi="Arial"/>
          <w:rtl/>
        </w:rPr>
      </w:pPr>
    </w:p>
    <w:p w14:paraId="1156B491" w14:textId="77777777" w:rsidR="004B31C7" w:rsidRPr="001A2FCA" w:rsidRDefault="004B31C7" w:rsidP="006D5397">
      <w:pPr>
        <w:spacing w:line="360" w:lineRule="auto"/>
        <w:jc w:val="both"/>
        <w:rPr>
          <w:rFonts w:ascii="Arial" w:hAnsi="Arial"/>
          <w:rtl/>
        </w:rPr>
      </w:pPr>
    </w:p>
    <w:p w14:paraId="4659CEB4" w14:textId="77777777" w:rsidR="004B31C7" w:rsidRPr="001A2FCA" w:rsidRDefault="004B31C7" w:rsidP="006D5397">
      <w:pPr>
        <w:spacing w:line="360" w:lineRule="auto"/>
        <w:jc w:val="both"/>
        <w:rPr>
          <w:rFonts w:ascii="Arial" w:hAnsi="Arial"/>
          <w:rtl/>
        </w:rPr>
      </w:pPr>
      <w:r w:rsidRPr="001A2FCA">
        <w:rPr>
          <w:rFonts w:ascii="Arial" w:hAnsi="Arial"/>
          <w:rtl/>
        </w:rPr>
        <w:t>45.</w:t>
      </w:r>
      <w:r w:rsidRPr="001A2FCA">
        <w:rPr>
          <w:rFonts w:ascii="Arial" w:hAnsi="Arial"/>
          <w:rtl/>
        </w:rPr>
        <w:tab/>
      </w:r>
      <w:r w:rsidRPr="002B0C75">
        <w:rPr>
          <w:rFonts w:ascii="Arial" w:hAnsi="Arial"/>
          <w:b/>
          <w:bCs/>
          <w:u w:val="single"/>
          <w:rtl/>
        </w:rPr>
        <w:t>על כן אני גוזרת את דינו כדלקמן:</w:t>
      </w:r>
      <w:r w:rsidRPr="001A2FCA">
        <w:rPr>
          <w:rFonts w:ascii="Arial" w:hAnsi="Arial"/>
          <w:rtl/>
        </w:rPr>
        <w:t xml:space="preserve"> </w:t>
      </w:r>
    </w:p>
    <w:p w14:paraId="7E5BB9C9" w14:textId="77777777" w:rsidR="004B31C7" w:rsidRPr="001A2FCA" w:rsidRDefault="004B31C7" w:rsidP="006D5397">
      <w:pPr>
        <w:spacing w:line="360" w:lineRule="auto"/>
        <w:jc w:val="both"/>
        <w:rPr>
          <w:rFonts w:ascii="Arial" w:hAnsi="Arial"/>
          <w:rtl/>
        </w:rPr>
      </w:pPr>
    </w:p>
    <w:p w14:paraId="1FF35187" w14:textId="77777777" w:rsidR="004B31C7" w:rsidRPr="002B0C75" w:rsidRDefault="004B31C7" w:rsidP="006D5397">
      <w:pPr>
        <w:spacing w:line="360" w:lineRule="auto"/>
        <w:jc w:val="both"/>
        <w:rPr>
          <w:rFonts w:ascii="Arial" w:hAnsi="Arial"/>
          <w:rtl/>
        </w:rPr>
      </w:pPr>
      <w:r w:rsidRPr="001A2FCA">
        <w:rPr>
          <w:rFonts w:ascii="Arial" w:hAnsi="Arial"/>
          <w:rtl/>
        </w:rPr>
        <w:t>א.</w:t>
      </w:r>
      <w:r w:rsidRPr="001A2FCA">
        <w:rPr>
          <w:rFonts w:ascii="Arial" w:hAnsi="Arial"/>
          <w:rtl/>
        </w:rPr>
        <w:tab/>
      </w:r>
      <w:r w:rsidRPr="002B0C75">
        <w:rPr>
          <w:rFonts w:ascii="Arial" w:hAnsi="Arial"/>
          <w:rtl/>
        </w:rPr>
        <w:t xml:space="preserve">14 חודשי מאסר בפועל בניכוי ימי מעצרו. </w:t>
      </w:r>
    </w:p>
    <w:p w14:paraId="548B651C" w14:textId="77777777" w:rsidR="004B31C7" w:rsidRPr="002B0C75" w:rsidRDefault="004B31C7" w:rsidP="006D5397">
      <w:pPr>
        <w:spacing w:line="360" w:lineRule="auto"/>
        <w:jc w:val="both"/>
        <w:rPr>
          <w:rFonts w:ascii="Arial" w:hAnsi="Arial"/>
          <w:rtl/>
        </w:rPr>
      </w:pPr>
    </w:p>
    <w:p w14:paraId="02B2BE70" w14:textId="77777777" w:rsidR="004B31C7" w:rsidRPr="002B0C75" w:rsidRDefault="004B31C7" w:rsidP="006D5397">
      <w:pPr>
        <w:spacing w:line="360" w:lineRule="auto"/>
        <w:ind w:left="720" w:hanging="720"/>
        <w:jc w:val="both"/>
        <w:rPr>
          <w:rFonts w:ascii="Arial" w:hAnsi="Arial"/>
          <w:rtl/>
        </w:rPr>
      </w:pPr>
      <w:r w:rsidRPr="002B0C75">
        <w:rPr>
          <w:rFonts w:ascii="Arial" w:hAnsi="Arial"/>
          <w:rtl/>
        </w:rPr>
        <w:t>ב.</w:t>
      </w:r>
      <w:r w:rsidRPr="002B0C75">
        <w:rPr>
          <w:rFonts w:ascii="Arial" w:hAnsi="Arial"/>
          <w:rtl/>
        </w:rPr>
        <w:tab/>
        <w:t xml:space="preserve">10 חודשי מאסר על תנאי למשך שלוש שנים מיום שחרורו ממאסר בגין העבירות בהן הורשע. </w:t>
      </w:r>
    </w:p>
    <w:p w14:paraId="1E408B4F" w14:textId="77777777" w:rsidR="004B31C7" w:rsidRPr="002B0C75" w:rsidRDefault="004B31C7" w:rsidP="006D5397">
      <w:pPr>
        <w:spacing w:line="360" w:lineRule="auto"/>
        <w:jc w:val="both"/>
        <w:rPr>
          <w:rFonts w:ascii="Arial" w:hAnsi="Arial"/>
          <w:b/>
          <w:bCs/>
          <w:rtl/>
        </w:rPr>
      </w:pPr>
    </w:p>
    <w:p w14:paraId="2D2D0728" w14:textId="77777777" w:rsidR="004B31C7" w:rsidRPr="00084F5D" w:rsidRDefault="004B31C7" w:rsidP="006D5397">
      <w:pPr>
        <w:spacing w:line="360" w:lineRule="auto"/>
        <w:ind w:left="720" w:hanging="720"/>
        <w:jc w:val="both"/>
        <w:rPr>
          <w:rFonts w:ascii="Arial" w:hAnsi="Arial"/>
          <w:sz w:val="26"/>
          <w:szCs w:val="26"/>
          <w:rtl/>
        </w:rPr>
      </w:pPr>
      <w:r w:rsidRPr="002B0C75">
        <w:rPr>
          <w:rFonts w:ascii="Arial" w:hAnsi="Arial"/>
          <w:rtl/>
        </w:rPr>
        <w:t>ג.</w:t>
      </w:r>
      <w:r w:rsidRPr="002B0C75">
        <w:rPr>
          <w:rFonts w:ascii="Arial" w:hAnsi="Arial"/>
          <w:rtl/>
        </w:rPr>
        <w:tab/>
        <w:t xml:space="preserve">בשל היות המשפחה קשת יום אשית קנס מתון בסך של 3,000 ₪ לתשלום ב – 10 תשלומים שווים החל מיום 1/5/25. </w:t>
      </w:r>
      <w:r w:rsidRPr="002B0C75">
        <w:rPr>
          <w:rFonts w:ascii="Arial" w:hAnsi="Arial"/>
          <w:rtl/>
        </w:rPr>
        <w:tab/>
      </w:r>
      <w:r w:rsidRPr="002B0C75">
        <w:rPr>
          <w:rFonts w:ascii="Arial" w:hAnsi="Arial"/>
          <w:rtl/>
        </w:rPr>
        <w:tab/>
      </w:r>
      <w:r w:rsidRPr="00084F5D">
        <w:rPr>
          <w:rFonts w:ascii="Arial" w:hAnsi="Arial"/>
          <w:sz w:val="26"/>
          <w:szCs w:val="26"/>
          <w:rtl/>
        </w:rPr>
        <w:tab/>
      </w:r>
      <w:r w:rsidRPr="00084F5D">
        <w:rPr>
          <w:rFonts w:ascii="Arial" w:hAnsi="Arial"/>
          <w:sz w:val="26"/>
          <w:szCs w:val="26"/>
          <w:rtl/>
        </w:rPr>
        <w:tab/>
      </w:r>
      <w:r w:rsidRPr="00084F5D">
        <w:rPr>
          <w:rFonts w:ascii="Arial" w:hAnsi="Arial"/>
          <w:sz w:val="26"/>
          <w:szCs w:val="26"/>
          <w:rtl/>
        </w:rPr>
        <w:tab/>
      </w:r>
      <w:r w:rsidRPr="00084F5D">
        <w:rPr>
          <w:rFonts w:ascii="Arial" w:hAnsi="Arial"/>
          <w:sz w:val="26"/>
          <w:szCs w:val="26"/>
          <w:rtl/>
        </w:rPr>
        <w:tab/>
      </w:r>
      <w:r w:rsidRPr="00084F5D">
        <w:rPr>
          <w:rFonts w:ascii="Arial" w:hAnsi="Arial"/>
          <w:sz w:val="26"/>
          <w:szCs w:val="26"/>
          <w:rtl/>
        </w:rPr>
        <w:tab/>
        <w:t xml:space="preserve">    </w:t>
      </w:r>
    </w:p>
    <w:p w14:paraId="33784F84" w14:textId="77777777" w:rsidR="004B31C7" w:rsidRPr="00084F5D" w:rsidRDefault="004B31C7" w:rsidP="006D5397">
      <w:pPr>
        <w:spacing w:line="360" w:lineRule="auto"/>
        <w:jc w:val="both"/>
        <w:rPr>
          <w:rFonts w:ascii="Arial" w:hAnsi="Arial"/>
          <w:sz w:val="26"/>
          <w:szCs w:val="26"/>
          <w:rtl/>
        </w:rPr>
      </w:pPr>
    </w:p>
    <w:p w14:paraId="298F4775" w14:textId="77777777" w:rsidR="004B31C7" w:rsidRPr="003C6F09" w:rsidRDefault="004B31C7" w:rsidP="006D5397">
      <w:pPr>
        <w:jc w:val="both"/>
        <w:rPr>
          <w:rFonts w:ascii="Arial" w:hAnsi="Arial"/>
          <w:b/>
          <w:bCs/>
          <w:sz w:val="26"/>
          <w:szCs w:val="26"/>
          <w:rtl/>
        </w:rPr>
      </w:pPr>
    </w:p>
    <w:p w14:paraId="78B5186F" w14:textId="77777777" w:rsidR="004B31C7" w:rsidRPr="00084F5D" w:rsidRDefault="004B31C7" w:rsidP="006D5397">
      <w:pPr>
        <w:jc w:val="both"/>
        <w:rPr>
          <w:rFonts w:ascii="Arial" w:hAnsi="Arial"/>
          <w:b/>
          <w:bCs/>
          <w:sz w:val="26"/>
          <w:szCs w:val="26"/>
          <w:u w:val="single"/>
          <w:rtl/>
        </w:rPr>
      </w:pPr>
      <w:r w:rsidRPr="00084F5D">
        <w:rPr>
          <w:rFonts w:ascii="Arial" w:hAnsi="Arial"/>
          <w:b/>
          <w:bCs/>
          <w:sz w:val="26"/>
          <w:szCs w:val="26"/>
          <w:u w:val="single"/>
          <w:rtl/>
        </w:rPr>
        <w:t>זכות ערעור כדין.</w:t>
      </w:r>
    </w:p>
    <w:p w14:paraId="56775EB9" w14:textId="77777777" w:rsidR="004B31C7" w:rsidRPr="003C6F09" w:rsidRDefault="004B31C7" w:rsidP="006D5397">
      <w:pPr>
        <w:jc w:val="both"/>
        <w:rPr>
          <w:rFonts w:ascii="Arial" w:hAnsi="Arial"/>
          <w:b/>
          <w:bCs/>
          <w:sz w:val="26"/>
          <w:szCs w:val="26"/>
          <w:rtl/>
        </w:rPr>
      </w:pPr>
    </w:p>
    <w:p w14:paraId="3C79B78C" w14:textId="77777777" w:rsidR="004B31C7" w:rsidRPr="003C6F09" w:rsidRDefault="004B31C7" w:rsidP="006D5397">
      <w:pPr>
        <w:jc w:val="both"/>
        <w:rPr>
          <w:rFonts w:ascii="Arial" w:hAnsi="Arial"/>
          <w:b/>
          <w:bCs/>
          <w:sz w:val="26"/>
          <w:szCs w:val="26"/>
          <w:rtl/>
        </w:rPr>
      </w:pPr>
    </w:p>
    <w:p w14:paraId="2483559F" w14:textId="77777777" w:rsidR="004B31C7" w:rsidRPr="003C6F09" w:rsidRDefault="004F402C" w:rsidP="006D5397">
      <w:pPr>
        <w:jc w:val="both"/>
        <w:rPr>
          <w:rFonts w:ascii="Arial" w:hAnsi="Arial"/>
          <w:b/>
          <w:bCs/>
          <w:sz w:val="26"/>
          <w:szCs w:val="26"/>
          <w:rtl/>
        </w:rPr>
      </w:pPr>
      <w:bookmarkStart w:id="7" w:name="Nitan"/>
      <w:r>
        <w:rPr>
          <w:rFonts w:ascii="Arial" w:hAnsi="Arial"/>
          <w:b/>
          <w:bCs/>
          <w:sz w:val="26"/>
          <w:szCs w:val="26"/>
          <w:rtl/>
        </w:rPr>
        <w:t xml:space="preserve">ניתנה והודעה היום כ"ו שבט תשפ"ה, 24/02/2025 בהעדר הצדדים לאחר עריכה והשמטת </w:t>
      </w:r>
      <w:bookmarkEnd w:id="7"/>
      <w:r w:rsidR="004B31C7">
        <w:rPr>
          <w:rFonts w:ascii="Arial" w:hAnsi="Arial"/>
          <w:b/>
          <w:bCs/>
          <w:sz w:val="26"/>
          <w:szCs w:val="26"/>
          <w:rtl/>
        </w:rPr>
        <w:t xml:space="preserve">פרטים מזהים לצורך התרת פירסום. </w:t>
      </w:r>
    </w:p>
    <w:p w14:paraId="5D786D7B" w14:textId="77777777" w:rsidR="004B31C7" w:rsidRPr="003C6F09" w:rsidRDefault="004B31C7" w:rsidP="006D5397">
      <w:pPr>
        <w:jc w:val="both"/>
        <w:rPr>
          <w:rFonts w:ascii="Arial" w:hAnsi="Arial"/>
          <w:b/>
          <w:bCs/>
          <w:sz w:val="26"/>
          <w:szCs w:val="26"/>
          <w:rtl/>
        </w:rPr>
      </w:pPr>
    </w:p>
    <w:p w14:paraId="700CF4C7" w14:textId="77777777" w:rsidR="004B31C7" w:rsidRDefault="004F402C" w:rsidP="006D5397">
      <w:pPr>
        <w:jc w:val="both"/>
        <w:rPr>
          <w:rFonts w:ascii="Arial" w:hAnsi="Arial"/>
          <w:b/>
          <w:bCs/>
          <w:sz w:val="26"/>
          <w:szCs w:val="26"/>
          <w:rtl/>
        </w:rPr>
      </w:pPr>
      <w:r w:rsidRPr="004F402C">
        <w:rPr>
          <w:rFonts w:ascii="Arial" w:hAnsi="Arial"/>
          <w:b/>
          <w:bCs/>
          <w:color w:val="FFFFFF"/>
          <w:sz w:val="2"/>
          <w:szCs w:val="2"/>
          <w:rtl/>
        </w:rPr>
        <w:t>5129371</w:t>
      </w:r>
      <w:r w:rsidR="004B31C7" w:rsidRPr="003C6F09">
        <w:rPr>
          <w:rFonts w:ascii="Arial" w:hAnsi="Arial"/>
          <w:b/>
          <w:bCs/>
          <w:sz w:val="26"/>
          <w:szCs w:val="26"/>
          <w:rtl/>
        </w:rPr>
        <w:t>הוקלד על ידי נועה דסנר</w:t>
      </w:r>
    </w:p>
    <w:p w14:paraId="3C17621E" w14:textId="77777777" w:rsidR="004B31C7" w:rsidRPr="004F402C" w:rsidRDefault="004F402C" w:rsidP="006D5397">
      <w:pPr>
        <w:jc w:val="both"/>
        <w:rPr>
          <w:rFonts w:ascii="Arial" w:hAnsi="Arial"/>
          <w:b/>
          <w:bCs/>
          <w:color w:val="FFFFFF"/>
          <w:sz w:val="2"/>
          <w:szCs w:val="2"/>
          <w:rtl/>
        </w:rPr>
      </w:pPr>
      <w:r w:rsidRPr="004F402C">
        <w:rPr>
          <w:rFonts w:ascii="Arial" w:hAnsi="Arial"/>
          <w:b/>
          <w:bCs/>
          <w:color w:val="FFFFFF"/>
          <w:sz w:val="2"/>
          <w:szCs w:val="2"/>
          <w:rtl/>
        </w:rPr>
        <w:t>54678313</w:t>
      </w:r>
    </w:p>
    <w:p w14:paraId="681BDB0F" w14:textId="77777777" w:rsidR="004B31C7" w:rsidRDefault="004B31C7" w:rsidP="006D5397">
      <w:pPr>
        <w:jc w:val="both"/>
        <w:rPr>
          <w:rFonts w:ascii="Arial" w:hAnsi="Arial"/>
          <w:b/>
          <w:bCs/>
          <w:sz w:val="26"/>
          <w:szCs w:val="26"/>
          <w:rtl/>
        </w:rPr>
      </w:pPr>
    </w:p>
    <w:p w14:paraId="0FAFB734" w14:textId="77777777" w:rsidR="004B31C7" w:rsidRDefault="004B31C7" w:rsidP="006D5397">
      <w:pPr>
        <w:ind w:left="3600" w:firstLine="720"/>
        <w:jc w:val="both"/>
        <w:rPr>
          <w:rFonts w:ascii="Arial" w:hAnsi="Arial"/>
          <w:b/>
          <w:bCs/>
          <w:sz w:val="26"/>
          <w:szCs w:val="26"/>
          <w:rtl/>
        </w:rPr>
      </w:pPr>
      <w:r>
        <w:rPr>
          <w:rFonts w:ascii="Arial" w:hAnsi="Arial"/>
          <w:b/>
          <w:bCs/>
          <w:sz w:val="26"/>
          <w:szCs w:val="26"/>
          <w:rtl/>
        </w:rPr>
        <w:t xml:space="preserve">אילנית אימבר, שופטת </w:t>
      </w:r>
    </w:p>
    <w:p w14:paraId="6313F6D1" w14:textId="77777777" w:rsidR="004B31C7" w:rsidRPr="000F2247" w:rsidRDefault="004B31C7" w:rsidP="006D5397">
      <w:pPr>
        <w:jc w:val="both"/>
        <w:rPr>
          <w:rFonts w:ascii="Arial" w:hAnsi="Arial"/>
          <w:b/>
          <w:bCs/>
          <w:sz w:val="26"/>
          <w:szCs w:val="26"/>
          <w:rtl/>
        </w:rPr>
      </w:pPr>
    </w:p>
    <w:p w14:paraId="0FF0A138" w14:textId="77777777" w:rsidR="004B31C7" w:rsidRPr="000F2247" w:rsidRDefault="004B31C7" w:rsidP="006D5397">
      <w:pPr>
        <w:jc w:val="both"/>
        <w:rPr>
          <w:rFonts w:ascii="Arial" w:hAnsi="Arial"/>
          <w:b/>
          <w:bCs/>
          <w:sz w:val="26"/>
          <w:szCs w:val="26"/>
          <w:rtl/>
        </w:rPr>
      </w:pPr>
    </w:p>
    <w:p w14:paraId="1D65AD66" w14:textId="77777777" w:rsidR="004B31C7" w:rsidRPr="004F402C" w:rsidRDefault="004B31C7" w:rsidP="006D5397">
      <w:pPr>
        <w:keepNext/>
        <w:jc w:val="both"/>
        <w:rPr>
          <w:rFonts w:ascii="David" w:hAnsi="David" w:hint="cs"/>
          <w:color w:val="000000"/>
          <w:sz w:val="22"/>
          <w:szCs w:val="22"/>
          <w:rtl/>
        </w:rPr>
      </w:pPr>
    </w:p>
    <w:p w14:paraId="60B9E38A" w14:textId="77777777" w:rsidR="004F402C" w:rsidRPr="004F402C" w:rsidRDefault="004F402C" w:rsidP="006D5397">
      <w:pPr>
        <w:keepNext/>
        <w:jc w:val="both"/>
        <w:rPr>
          <w:rFonts w:ascii="David" w:hAnsi="David"/>
          <w:color w:val="000000"/>
          <w:sz w:val="22"/>
          <w:szCs w:val="22"/>
          <w:rtl/>
        </w:rPr>
      </w:pPr>
      <w:r w:rsidRPr="004F402C">
        <w:rPr>
          <w:rFonts w:ascii="David" w:hAnsi="David"/>
          <w:color w:val="000000"/>
          <w:sz w:val="22"/>
          <w:szCs w:val="22"/>
          <w:rtl/>
        </w:rPr>
        <w:t>אילנית אימבר 54678313</w:t>
      </w:r>
    </w:p>
    <w:p w14:paraId="565B1BE5" w14:textId="77777777" w:rsidR="004F402C" w:rsidRDefault="004F402C" w:rsidP="006D5397">
      <w:pPr>
        <w:jc w:val="both"/>
        <w:rPr>
          <w:rFonts w:ascii="Arial" w:hAnsi="Arial"/>
          <w:b/>
          <w:bCs/>
          <w:sz w:val="26"/>
          <w:szCs w:val="26"/>
          <w:rtl/>
        </w:rPr>
      </w:pPr>
      <w:r w:rsidRPr="004F402C">
        <w:rPr>
          <w:rFonts w:ascii="Arial" w:hAnsi="Arial"/>
          <w:b/>
          <w:bCs/>
          <w:color w:val="000000"/>
          <w:sz w:val="26"/>
          <w:szCs w:val="26"/>
          <w:rtl/>
        </w:rPr>
        <w:t>נוסח מסמך זה כפוף לשינויי ניסוח ועריכה</w:t>
      </w:r>
    </w:p>
    <w:p w14:paraId="0049F637" w14:textId="77777777" w:rsidR="004F402C" w:rsidRDefault="004F402C" w:rsidP="006D5397">
      <w:pPr>
        <w:jc w:val="both"/>
        <w:rPr>
          <w:rFonts w:ascii="Arial" w:hAnsi="Arial"/>
          <w:b/>
          <w:bCs/>
          <w:sz w:val="26"/>
          <w:szCs w:val="26"/>
          <w:rtl/>
        </w:rPr>
      </w:pPr>
    </w:p>
    <w:p w14:paraId="30773D2D" w14:textId="77777777" w:rsidR="004F402C" w:rsidRDefault="004F402C" w:rsidP="006D5397">
      <w:pPr>
        <w:jc w:val="both"/>
        <w:rPr>
          <w:rFonts w:ascii="Arial" w:hAnsi="Arial"/>
          <w:b/>
          <w:bCs/>
          <w:color w:val="0000FF"/>
          <w:sz w:val="26"/>
          <w:u w:val="single"/>
          <w:rtl/>
        </w:rPr>
      </w:pPr>
      <w:hyperlink r:id="rId46" w:history="1">
        <w:r>
          <w:rPr>
            <w:rFonts w:ascii="Arial" w:hAnsi="Arial"/>
            <w:b/>
            <w:bCs/>
            <w:color w:val="0000FF"/>
            <w:sz w:val="26"/>
            <w:u w:val="single"/>
            <w:rtl/>
          </w:rPr>
          <w:t>בעניין עריכה ושינויים במסמכי פסיקה, חקיקה ועוד באתר נבו – הקש כאן</w:t>
        </w:r>
      </w:hyperlink>
    </w:p>
    <w:p w14:paraId="6972ACBB" w14:textId="77777777" w:rsidR="004F402C" w:rsidRPr="004F402C" w:rsidRDefault="004F402C" w:rsidP="006D5397">
      <w:pPr>
        <w:jc w:val="both"/>
        <w:rPr>
          <w:rFonts w:ascii="Arial" w:hAnsi="Arial" w:hint="cs"/>
          <w:b/>
          <w:bCs/>
          <w:color w:val="0000FF"/>
          <w:sz w:val="26"/>
          <w:u w:val="single"/>
          <w:rtl/>
        </w:rPr>
      </w:pPr>
    </w:p>
    <w:sectPr w:rsidR="004F402C" w:rsidRPr="004F402C" w:rsidSect="004F402C">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029CD" w14:textId="77777777" w:rsidR="00D4087C" w:rsidRDefault="00D4087C">
      <w:r>
        <w:separator/>
      </w:r>
    </w:p>
  </w:endnote>
  <w:endnote w:type="continuationSeparator" w:id="0">
    <w:p w14:paraId="5C97660A" w14:textId="77777777" w:rsidR="00D4087C" w:rsidRDefault="00D4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E9B8F" w14:textId="77777777" w:rsidR="004F402C" w:rsidRDefault="004F402C" w:rsidP="004F402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F28E3F" w14:textId="77777777" w:rsidR="004B31C7" w:rsidRPr="004F402C" w:rsidRDefault="004F402C" w:rsidP="004F402C">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AEBF1" w14:textId="77777777" w:rsidR="004F402C" w:rsidRDefault="004F402C" w:rsidP="004F402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50A7">
      <w:rPr>
        <w:rFonts w:ascii="FrankRuehl" w:hAnsi="FrankRuehl" w:cs="FrankRuehl"/>
        <w:noProof/>
        <w:rtl/>
      </w:rPr>
      <w:t>3</w:t>
    </w:r>
    <w:r>
      <w:rPr>
        <w:rFonts w:ascii="FrankRuehl" w:hAnsi="FrankRuehl" w:cs="FrankRuehl"/>
        <w:rtl/>
      </w:rPr>
      <w:fldChar w:fldCharType="end"/>
    </w:r>
  </w:p>
  <w:p w14:paraId="343A466E" w14:textId="77777777" w:rsidR="004B31C7" w:rsidRPr="004F402C" w:rsidRDefault="004F402C" w:rsidP="004F402C">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BC5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FA694" w14:textId="77777777" w:rsidR="00D4087C" w:rsidRDefault="00D4087C">
      <w:r>
        <w:separator/>
      </w:r>
    </w:p>
  </w:footnote>
  <w:footnote w:type="continuationSeparator" w:id="0">
    <w:p w14:paraId="0874D216" w14:textId="77777777" w:rsidR="00D4087C" w:rsidRDefault="00D40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247DF" w14:textId="77777777" w:rsidR="004F402C" w:rsidRPr="004F402C" w:rsidRDefault="004F402C" w:rsidP="004F40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25870-09-24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1ECA7" w14:textId="77777777" w:rsidR="004B31C7" w:rsidRPr="004F402C" w:rsidRDefault="004F402C" w:rsidP="004F40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25870-09-24</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57982208">
    <w:abstractNumId w:val="1"/>
  </w:num>
  <w:num w:numId="2" w16cid:durableId="20522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34BA"/>
    <w:rsid w:val="0000752B"/>
    <w:rsid w:val="00031F8A"/>
    <w:rsid w:val="000454A8"/>
    <w:rsid w:val="00054FC4"/>
    <w:rsid w:val="000636A3"/>
    <w:rsid w:val="0006726A"/>
    <w:rsid w:val="00084F5D"/>
    <w:rsid w:val="000850A7"/>
    <w:rsid w:val="000D3475"/>
    <w:rsid w:val="000E1D6D"/>
    <w:rsid w:val="000F2247"/>
    <w:rsid w:val="00100577"/>
    <w:rsid w:val="001352F8"/>
    <w:rsid w:val="00150171"/>
    <w:rsid w:val="00154D6F"/>
    <w:rsid w:val="001A2FCA"/>
    <w:rsid w:val="001E2D34"/>
    <w:rsid w:val="001F358C"/>
    <w:rsid w:val="00212125"/>
    <w:rsid w:val="00224AC0"/>
    <w:rsid w:val="00255992"/>
    <w:rsid w:val="00277263"/>
    <w:rsid w:val="00277557"/>
    <w:rsid w:val="00277B04"/>
    <w:rsid w:val="002B0C75"/>
    <w:rsid w:val="002B7D23"/>
    <w:rsid w:val="002C46B8"/>
    <w:rsid w:val="002D6C61"/>
    <w:rsid w:val="0032457F"/>
    <w:rsid w:val="00367565"/>
    <w:rsid w:val="003C4EBB"/>
    <w:rsid w:val="003C6F09"/>
    <w:rsid w:val="003D7D8A"/>
    <w:rsid w:val="003E0C9F"/>
    <w:rsid w:val="003F31D5"/>
    <w:rsid w:val="004027AC"/>
    <w:rsid w:val="004215DC"/>
    <w:rsid w:val="00447BB3"/>
    <w:rsid w:val="004902D6"/>
    <w:rsid w:val="004B31C7"/>
    <w:rsid w:val="004F402C"/>
    <w:rsid w:val="00507694"/>
    <w:rsid w:val="00514947"/>
    <w:rsid w:val="005C7B0B"/>
    <w:rsid w:val="005F471F"/>
    <w:rsid w:val="0062236F"/>
    <w:rsid w:val="006427CA"/>
    <w:rsid w:val="00673C47"/>
    <w:rsid w:val="00683ABD"/>
    <w:rsid w:val="00684E84"/>
    <w:rsid w:val="006C2095"/>
    <w:rsid w:val="006D5397"/>
    <w:rsid w:val="00706644"/>
    <w:rsid w:val="007247A4"/>
    <w:rsid w:val="00724C6F"/>
    <w:rsid w:val="007320E7"/>
    <w:rsid w:val="00757983"/>
    <w:rsid w:val="00776710"/>
    <w:rsid w:val="007D46DD"/>
    <w:rsid w:val="008116CC"/>
    <w:rsid w:val="00821F29"/>
    <w:rsid w:val="00822550"/>
    <w:rsid w:val="00832D73"/>
    <w:rsid w:val="00850C30"/>
    <w:rsid w:val="00850EFA"/>
    <w:rsid w:val="008617C2"/>
    <w:rsid w:val="008754C9"/>
    <w:rsid w:val="008819B4"/>
    <w:rsid w:val="00886F82"/>
    <w:rsid w:val="008E6503"/>
    <w:rsid w:val="00947B38"/>
    <w:rsid w:val="009561DC"/>
    <w:rsid w:val="009705CC"/>
    <w:rsid w:val="00973C24"/>
    <w:rsid w:val="009A730D"/>
    <w:rsid w:val="009E3494"/>
    <w:rsid w:val="009E35A7"/>
    <w:rsid w:val="009E49A1"/>
    <w:rsid w:val="009F2491"/>
    <w:rsid w:val="009F504D"/>
    <w:rsid w:val="009F62FA"/>
    <w:rsid w:val="00A22516"/>
    <w:rsid w:val="00A469B0"/>
    <w:rsid w:val="00A504C4"/>
    <w:rsid w:val="00A51538"/>
    <w:rsid w:val="00A7777C"/>
    <w:rsid w:val="00B05847"/>
    <w:rsid w:val="00B22E0A"/>
    <w:rsid w:val="00BC56C4"/>
    <w:rsid w:val="00BD67E7"/>
    <w:rsid w:val="00BE0015"/>
    <w:rsid w:val="00C019C5"/>
    <w:rsid w:val="00C02463"/>
    <w:rsid w:val="00C35327"/>
    <w:rsid w:val="00C45023"/>
    <w:rsid w:val="00C55E62"/>
    <w:rsid w:val="00C572E8"/>
    <w:rsid w:val="00CA49AB"/>
    <w:rsid w:val="00D202F4"/>
    <w:rsid w:val="00D3203D"/>
    <w:rsid w:val="00D33BE7"/>
    <w:rsid w:val="00D4087C"/>
    <w:rsid w:val="00D51E38"/>
    <w:rsid w:val="00D729FF"/>
    <w:rsid w:val="00D9598C"/>
    <w:rsid w:val="00D97B78"/>
    <w:rsid w:val="00E70F9C"/>
    <w:rsid w:val="00E7602A"/>
    <w:rsid w:val="00E8516A"/>
    <w:rsid w:val="00ED4465"/>
    <w:rsid w:val="00ED7E87"/>
    <w:rsid w:val="00EE5EFF"/>
    <w:rsid w:val="00F33032"/>
    <w:rsid w:val="00F72EC3"/>
    <w:rsid w:val="00F75AFC"/>
    <w:rsid w:val="00F95CBA"/>
    <w:rsid w:val="00FA428F"/>
    <w:rsid w:val="00FB7EEA"/>
    <w:rsid w:val="00FD7CF9"/>
    <w:rsid w:val="00FF29EA"/>
    <w:rsid w:val="00FF2E70"/>
    <w:rsid w:val="00FF7DE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B1B482"/>
  <w15:chartTrackingRefBased/>
  <w15:docId w15:val="{27F3DB2D-FC1E-4220-9EF2-86D17ABF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PlaceholderText">
    <w:name w:val="Placeholder Text"/>
    <w:semiHidden/>
    <w:rsid w:val="003D7D8A"/>
    <w:rPr>
      <w:color w:val="808080"/>
    </w:rPr>
  </w:style>
  <w:style w:type="character" w:styleId="Hyperlink">
    <w:name w:val="Hyperlink"/>
    <w:locked/>
    <w:rsid w:val="004F4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1a" TargetMode="External"/><Relationship Id="rId18" Type="http://schemas.openxmlformats.org/officeDocument/2006/relationships/hyperlink" Target="http://www.nevo.co.il/law/70348/25.b"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20140218" TargetMode="External"/><Relationship Id="rId21" Type="http://schemas.openxmlformats.org/officeDocument/2006/relationships/hyperlink" Target="http://www.nevo.co.il/law/70347/3.4" TargetMode="External"/><Relationship Id="rId34" Type="http://schemas.openxmlformats.org/officeDocument/2006/relationships/hyperlink" Target="http://www.nevo.co.il/law/70348/20a.a" TargetMode="External"/><Relationship Id="rId42" Type="http://schemas.openxmlformats.org/officeDocument/2006/relationships/hyperlink" Target="http://www.nevo.co.il/law/70301/144.g"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48/24.1" TargetMode="External"/><Relationship Id="rId29" Type="http://schemas.openxmlformats.org/officeDocument/2006/relationships/hyperlink" Target="http://www.nevo.co.il/law/70348"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48/26.5" TargetMode="External"/><Relationship Id="rId37" Type="http://schemas.openxmlformats.org/officeDocument/2006/relationships/hyperlink" Target="http://www.nevo.co.il/case/5594098" TargetMode="External"/><Relationship Id="rId40" Type="http://schemas.openxmlformats.org/officeDocument/2006/relationships/hyperlink" Target="http://www.nevo.co.il/case/26671100" TargetMode="External"/><Relationship Id="rId45" Type="http://schemas.openxmlformats.org/officeDocument/2006/relationships/hyperlink" Target="http://www.nevo.co.il/law/70348/25" TargetMode="External"/><Relationship Id="rId5" Type="http://schemas.openxmlformats.org/officeDocument/2006/relationships/footnotes" Target="footnotes.xml"/><Relationship Id="rId15" Type="http://schemas.openxmlformats.org/officeDocument/2006/relationships/hyperlink" Target="http://www.nevo.co.il/law/70348/23"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0348/23" TargetMode="External"/><Relationship Id="rId36" Type="http://schemas.openxmlformats.org/officeDocument/2006/relationships/hyperlink" Target="http://www.nevo.co.il/law/70347" TargetMode="External"/><Relationship Id="rId49"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law/70348/26.5" TargetMode="External"/><Relationship Id="rId31" Type="http://schemas.openxmlformats.org/officeDocument/2006/relationships/hyperlink" Target="http://www.nevo.co.il/law/70348" TargetMode="External"/><Relationship Id="rId44" Type="http://schemas.openxmlformats.org/officeDocument/2006/relationships/hyperlink" Target="http://www.nevo.co.il/case/769731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48/20a.a" TargetMode="External"/><Relationship Id="rId22" Type="http://schemas.openxmlformats.org/officeDocument/2006/relationships/hyperlink" Target="http://www.nevo.co.il/law/70348/24.1"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48/1a" TargetMode="External"/><Relationship Id="rId35" Type="http://schemas.openxmlformats.org/officeDocument/2006/relationships/hyperlink" Target="http://www.nevo.co.il/law/70347/3.4" TargetMode="External"/><Relationship Id="rId43" Type="http://schemas.openxmlformats.org/officeDocument/2006/relationships/hyperlink" Target="http://www.nevo.co.il/law/70348/24.1" TargetMode="External"/><Relationship Id="rId48"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48" TargetMode="External"/><Relationship Id="rId17" Type="http://schemas.openxmlformats.org/officeDocument/2006/relationships/hyperlink" Target="http://www.nevo.co.il/law/70348/25"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48/25" TargetMode="External"/><Relationship Id="rId38" Type="http://schemas.openxmlformats.org/officeDocument/2006/relationships/hyperlink" Target="http://www.nevo.co.il/case/6473037"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47" TargetMode="External"/><Relationship Id="rId41" Type="http://schemas.openxmlformats.org/officeDocument/2006/relationships/hyperlink" Target="http://www.nevo.co.il/law/70348/25.b"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2905</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17400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6553710</vt:i4>
      </vt:variant>
      <vt:variant>
        <vt:i4>114</vt:i4>
      </vt:variant>
      <vt:variant>
        <vt:i4>0</vt:i4>
      </vt:variant>
      <vt:variant>
        <vt:i4>5</vt:i4>
      </vt:variant>
      <vt:variant>
        <vt:lpwstr>http://www.nevo.co.il/law/70348/25</vt:lpwstr>
      </vt:variant>
      <vt:variant>
        <vt:lpwstr/>
      </vt:variant>
      <vt:variant>
        <vt:i4>3670132</vt:i4>
      </vt:variant>
      <vt:variant>
        <vt:i4>111</vt:i4>
      </vt:variant>
      <vt:variant>
        <vt:i4>0</vt:i4>
      </vt:variant>
      <vt:variant>
        <vt:i4>5</vt:i4>
      </vt:variant>
      <vt:variant>
        <vt:lpwstr>http://www.nevo.co.il/case/7697315</vt:lpwstr>
      </vt:variant>
      <vt:variant>
        <vt:lpwstr/>
      </vt:variant>
      <vt:variant>
        <vt:i4>5505088</vt:i4>
      </vt:variant>
      <vt:variant>
        <vt:i4>108</vt:i4>
      </vt:variant>
      <vt:variant>
        <vt:i4>0</vt:i4>
      </vt:variant>
      <vt:variant>
        <vt:i4>5</vt:i4>
      </vt:variant>
      <vt:variant>
        <vt:lpwstr>http://www.nevo.co.il/law/70348/24.1</vt:lpwstr>
      </vt:variant>
      <vt:variant>
        <vt:lpwstr/>
      </vt:variant>
      <vt:variant>
        <vt:i4>5177424</vt:i4>
      </vt:variant>
      <vt:variant>
        <vt:i4>105</vt:i4>
      </vt:variant>
      <vt:variant>
        <vt:i4>0</vt:i4>
      </vt:variant>
      <vt:variant>
        <vt:i4>5</vt:i4>
      </vt:variant>
      <vt:variant>
        <vt:lpwstr>http://www.nevo.co.il/law/70301/144.g</vt:lpwstr>
      </vt:variant>
      <vt:variant>
        <vt:lpwstr/>
      </vt:variant>
      <vt:variant>
        <vt:i4>393280</vt:i4>
      </vt:variant>
      <vt:variant>
        <vt:i4>102</vt:i4>
      </vt:variant>
      <vt:variant>
        <vt:i4>0</vt:i4>
      </vt:variant>
      <vt:variant>
        <vt:i4>5</vt:i4>
      </vt:variant>
      <vt:variant>
        <vt:lpwstr>http://www.nevo.co.il/law/70348/25.b</vt:lpwstr>
      </vt:variant>
      <vt:variant>
        <vt:lpwstr/>
      </vt:variant>
      <vt:variant>
        <vt:i4>3473524</vt:i4>
      </vt:variant>
      <vt:variant>
        <vt:i4>99</vt:i4>
      </vt:variant>
      <vt:variant>
        <vt:i4>0</vt:i4>
      </vt:variant>
      <vt:variant>
        <vt:i4>5</vt:i4>
      </vt:variant>
      <vt:variant>
        <vt:lpwstr>http://www.nevo.co.il/case/26671100</vt:lpwstr>
      </vt:variant>
      <vt:variant>
        <vt:lpwstr/>
      </vt:variant>
      <vt:variant>
        <vt:i4>3276914</vt:i4>
      </vt:variant>
      <vt:variant>
        <vt:i4>96</vt:i4>
      </vt:variant>
      <vt:variant>
        <vt:i4>0</vt:i4>
      </vt:variant>
      <vt:variant>
        <vt:i4>5</vt:i4>
      </vt:variant>
      <vt:variant>
        <vt:lpwstr>http://www.nevo.co.il/case/20140218</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3407996</vt:i4>
      </vt:variant>
      <vt:variant>
        <vt:i4>90</vt:i4>
      </vt:variant>
      <vt:variant>
        <vt:i4>0</vt:i4>
      </vt:variant>
      <vt:variant>
        <vt:i4>5</vt:i4>
      </vt:variant>
      <vt:variant>
        <vt:lpwstr>http://www.nevo.co.il/case/5594098</vt:lpwstr>
      </vt:variant>
      <vt:variant>
        <vt:lpwstr/>
      </vt:variant>
      <vt:variant>
        <vt:i4>8257636</vt:i4>
      </vt:variant>
      <vt:variant>
        <vt:i4>87</vt:i4>
      </vt:variant>
      <vt:variant>
        <vt:i4>0</vt:i4>
      </vt:variant>
      <vt:variant>
        <vt:i4>5</vt:i4>
      </vt:variant>
      <vt:variant>
        <vt:lpwstr>http://www.nevo.co.il/law/70347</vt:lpwstr>
      </vt:variant>
      <vt:variant>
        <vt:lpwstr/>
      </vt:variant>
      <vt:variant>
        <vt:i4>8323168</vt:i4>
      </vt:variant>
      <vt:variant>
        <vt:i4>84</vt:i4>
      </vt:variant>
      <vt:variant>
        <vt:i4>0</vt:i4>
      </vt:variant>
      <vt:variant>
        <vt:i4>5</vt:i4>
      </vt:variant>
      <vt:variant>
        <vt:lpwstr>http://www.nevo.co.il/law/70347/3.4</vt:lpwstr>
      </vt:variant>
      <vt:variant>
        <vt:lpwstr/>
      </vt:variant>
      <vt:variant>
        <vt:i4>5177359</vt:i4>
      </vt:variant>
      <vt:variant>
        <vt:i4>81</vt:i4>
      </vt:variant>
      <vt:variant>
        <vt:i4>0</vt:i4>
      </vt:variant>
      <vt:variant>
        <vt:i4>5</vt:i4>
      </vt:variant>
      <vt:variant>
        <vt:lpwstr>http://www.nevo.co.il/law/70348/20a.a</vt:lpwstr>
      </vt:variant>
      <vt:variant>
        <vt:lpwstr/>
      </vt:variant>
      <vt:variant>
        <vt:i4>6553710</vt:i4>
      </vt:variant>
      <vt:variant>
        <vt:i4>78</vt:i4>
      </vt:variant>
      <vt:variant>
        <vt:i4>0</vt:i4>
      </vt:variant>
      <vt:variant>
        <vt:i4>5</vt:i4>
      </vt:variant>
      <vt:variant>
        <vt:lpwstr>http://www.nevo.co.il/law/70348/25</vt:lpwstr>
      </vt:variant>
      <vt:variant>
        <vt:lpwstr/>
      </vt:variant>
      <vt:variant>
        <vt:i4>5374016</vt:i4>
      </vt:variant>
      <vt:variant>
        <vt:i4>75</vt:i4>
      </vt:variant>
      <vt:variant>
        <vt:i4>0</vt:i4>
      </vt:variant>
      <vt:variant>
        <vt:i4>5</vt:i4>
      </vt:variant>
      <vt:variant>
        <vt:lpwstr>http://www.nevo.co.il/law/70348/26.5</vt:lpwstr>
      </vt:variant>
      <vt:variant>
        <vt:lpwstr/>
      </vt:variant>
      <vt:variant>
        <vt:i4>8257636</vt:i4>
      </vt:variant>
      <vt:variant>
        <vt:i4>72</vt:i4>
      </vt:variant>
      <vt:variant>
        <vt:i4>0</vt:i4>
      </vt:variant>
      <vt:variant>
        <vt:i4>5</vt:i4>
      </vt:variant>
      <vt:variant>
        <vt:lpwstr>http://www.nevo.co.il/law/70348</vt:lpwstr>
      </vt:variant>
      <vt:variant>
        <vt:lpwstr/>
      </vt:variant>
      <vt:variant>
        <vt:i4>3145837</vt:i4>
      </vt:variant>
      <vt:variant>
        <vt:i4>69</vt:i4>
      </vt:variant>
      <vt:variant>
        <vt:i4>0</vt:i4>
      </vt:variant>
      <vt:variant>
        <vt:i4>5</vt:i4>
      </vt:variant>
      <vt:variant>
        <vt:lpwstr>http://www.nevo.co.il/law/70348/1a</vt:lpwstr>
      </vt:variant>
      <vt:variant>
        <vt:lpwstr/>
      </vt:variant>
      <vt:variant>
        <vt:i4>8257636</vt:i4>
      </vt:variant>
      <vt:variant>
        <vt:i4>66</vt:i4>
      </vt:variant>
      <vt:variant>
        <vt:i4>0</vt:i4>
      </vt:variant>
      <vt:variant>
        <vt:i4>5</vt:i4>
      </vt:variant>
      <vt:variant>
        <vt:lpwstr>http://www.nevo.co.il/law/70348</vt:lpwstr>
      </vt:variant>
      <vt:variant>
        <vt:lpwstr/>
      </vt:variant>
      <vt:variant>
        <vt:i4>6422638</vt:i4>
      </vt:variant>
      <vt:variant>
        <vt:i4>63</vt:i4>
      </vt:variant>
      <vt:variant>
        <vt:i4>0</vt:i4>
      </vt:variant>
      <vt:variant>
        <vt:i4>5</vt:i4>
      </vt:variant>
      <vt:variant>
        <vt:lpwstr>http://www.nevo.co.il/law/70348/23</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5505088</vt:i4>
      </vt:variant>
      <vt:variant>
        <vt:i4>45</vt:i4>
      </vt:variant>
      <vt:variant>
        <vt:i4>0</vt:i4>
      </vt:variant>
      <vt:variant>
        <vt:i4>5</vt:i4>
      </vt:variant>
      <vt:variant>
        <vt:lpwstr>http://www.nevo.co.il/law/70348/24.1</vt:lpwstr>
      </vt:variant>
      <vt:variant>
        <vt:lpwstr/>
      </vt:variant>
      <vt:variant>
        <vt:i4>8323168</vt:i4>
      </vt:variant>
      <vt:variant>
        <vt:i4>42</vt:i4>
      </vt:variant>
      <vt:variant>
        <vt:i4>0</vt:i4>
      </vt:variant>
      <vt:variant>
        <vt:i4>5</vt:i4>
      </vt:variant>
      <vt:variant>
        <vt:lpwstr>http://www.nevo.co.il/law/70347/3.4</vt:lpwstr>
      </vt:variant>
      <vt:variant>
        <vt:lpwstr/>
      </vt:variant>
      <vt:variant>
        <vt:i4>8257636</vt:i4>
      </vt:variant>
      <vt:variant>
        <vt:i4>39</vt:i4>
      </vt:variant>
      <vt:variant>
        <vt:i4>0</vt:i4>
      </vt:variant>
      <vt:variant>
        <vt:i4>5</vt:i4>
      </vt:variant>
      <vt:variant>
        <vt:lpwstr>http://www.nevo.co.il/law/70347</vt:lpwstr>
      </vt:variant>
      <vt:variant>
        <vt:lpwstr/>
      </vt:variant>
      <vt:variant>
        <vt:i4>5374016</vt:i4>
      </vt:variant>
      <vt:variant>
        <vt:i4>36</vt:i4>
      </vt:variant>
      <vt:variant>
        <vt:i4>0</vt:i4>
      </vt:variant>
      <vt:variant>
        <vt:i4>5</vt:i4>
      </vt:variant>
      <vt:variant>
        <vt:lpwstr>http://www.nevo.co.il/law/70348/26.5</vt:lpwstr>
      </vt:variant>
      <vt:variant>
        <vt:lpwstr/>
      </vt:variant>
      <vt:variant>
        <vt:i4>393280</vt:i4>
      </vt:variant>
      <vt:variant>
        <vt:i4>33</vt:i4>
      </vt:variant>
      <vt:variant>
        <vt:i4>0</vt:i4>
      </vt:variant>
      <vt:variant>
        <vt:i4>5</vt:i4>
      </vt:variant>
      <vt:variant>
        <vt:lpwstr>http://www.nevo.co.il/law/70348/25.b</vt:lpwstr>
      </vt:variant>
      <vt:variant>
        <vt:lpwstr/>
      </vt:variant>
      <vt:variant>
        <vt:i4>6553710</vt:i4>
      </vt:variant>
      <vt:variant>
        <vt:i4>30</vt:i4>
      </vt:variant>
      <vt:variant>
        <vt:i4>0</vt:i4>
      </vt:variant>
      <vt:variant>
        <vt:i4>5</vt:i4>
      </vt:variant>
      <vt:variant>
        <vt:lpwstr>http://www.nevo.co.il/law/70348/25</vt:lpwstr>
      </vt:variant>
      <vt:variant>
        <vt:lpwstr/>
      </vt:variant>
      <vt:variant>
        <vt:i4>5505088</vt:i4>
      </vt:variant>
      <vt:variant>
        <vt:i4>27</vt:i4>
      </vt:variant>
      <vt:variant>
        <vt:i4>0</vt:i4>
      </vt:variant>
      <vt:variant>
        <vt:i4>5</vt:i4>
      </vt:variant>
      <vt:variant>
        <vt:lpwstr>http://www.nevo.co.il/law/70348/24.1</vt:lpwstr>
      </vt:variant>
      <vt:variant>
        <vt:lpwstr/>
      </vt:variant>
      <vt:variant>
        <vt:i4>6422638</vt:i4>
      </vt:variant>
      <vt:variant>
        <vt:i4>24</vt:i4>
      </vt:variant>
      <vt:variant>
        <vt:i4>0</vt:i4>
      </vt:variant>
      <vt:variant>
        <vt:i4>5</vt:i4>
      </vt:variant>
      <vt:variant>
        <vt:lpwstr>http://www.nevo.co.il/law/70348/23</vt:lpwstr>
      </vt:variant>
      <vt:variant>
        <vt:lpwstr/>
      </vt:variant>
      <vt:variant>
        <vt:i4>5177359</vt:i4>
      </vt:variant>
      <vt:variant>
        <vt:i4>21</vt:i4>
      </vt:variant>
      <vt:variant>
        <vt:i4>0</vt:i4>
      </vt:variant>
      <vt:variant>
        <vt:i4>5</vt:i4>
      </vt:variant>
      <vt:variant>
        <vt:lpwstr>http://www.nevo.co.il/law/70348/20a.a</vt:lpwstr>
      </vt:variant>
      <vt:variant>
        <vt:lpwstr/>
      </vt:variant>
      <vt:variant>
        <vt:i4>3145837</vt:i4>
      </vt:variant>
      <vt:variant>
        <vt:i4>18</vt:i4>
      </vt:variant>
      <vt:variant>
        <vt:i4>0</vt:i4>
      </vt:variant>
      <vt:variant>
        <vt:i4>5</vt:i4>
      </vt:variant>
      <vt:variant>
        <vt:lpwstr>http://www.nevo.co.il/law/70348/1a</vt:lpwstr>
      </vt:variant>
      <vt:variant>
        <vt:lpwstr/>
      </vt:variant>
      <vt:variant>
        <vt:i4>8257636</vt:i4>
      </vt:variant>
      <vt:variant>
        <vt:i4>15</vt:i4>
      </vt:variant>
      <vt:variant>
        <vt:i4>0</vt:i4>
      </vt:variant>
      <vt:variant>
        <vt:i4>5</vt:i4>
      </vt:variant>
      <vt:variant>
        <vt:lpwstr>http://www.nevo.co.il/law/70348</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25870</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אילנית אימבר</vt:lpwstr>
  </property>
  <property fmtid="{D5CDD505-2E9C-101B-9397-08002B2CF9AE}" pid="11" name="CITY">
    <vt:lpwstr>חי'</vt:lpwstr>
  </property>
  <property fmtid="{D5CDD505-2E9C-101B-9397-08002B2CF9AE}" pid="12" name="DATE">
    <vt:lpwstr>20250224</vt:lpwstr>
  </property>
  <property fmtid="{D5CDD505-2E9C-101B-9397-08002B2CF9AE}" pid="13" name="TYPE_N_DATE">
    <vt:lpwstr>39020250224</vt:lpwstr>
  </property>
  <property fmtid="{D5CDD505-2E9C-101B-9397-08002B2CF9AE}" pid="14" name="WORDNUMPAGES">
    <vt:lpwstr>10</vt:lpwstr>
  </property>
  <property fmtid="{D5CDD505-2E9C-101B-9397-08002B2CF9AE}" pid="15" name="TYPE_ABS_DATE">
    <vt:lpwstr>390120250224</vt:lpwstr>
  </property>
  <property fmtid="{D5CDD505-2E9C-101B-9397-08002B2CF9AE}" pid="16" name="ISABSTRACT">
    <vt:lpwstr>Y</vt:lpwstr>
  </property>
  <property fmtid="{D5CDD505-2E9C-101B-9397-08002B2CF9AE}" pid="17" name="CASESLISTTMP1">
    <vt:lpwstr>5594098;6473037;20140218;26671100;7697315</vt:lpwstr>
  </property>
  <property fmtid="{D5CDD505-2E9C-101B-9397-08002B2CF9AE}" pid="18" name="LAWLISTTMP1">
    <vt:lpwstr>70301/144.b2;144.b:2;144.a;144.g</vt:lpwstr>
  </property>
  <property fmtid="{D5CDD505-2E9C-101B-9397-08002B2CF9AE}" pid="19" name="LAWLISTTMP2">
    <vt:lpwstr>70348/023;001a;026.5;025:2;020a.a;025.b;024.1</vt:lpwstr>
  </property>
  <property fmtid="{D5CDD505-2E9C-101B-9397-08002B2CF9AE}" pid="20" name="LAWLISTTMP3">
    <vt:lpwstr>70347/003.4</vt:lpwstr>
  </property>
  <property fmtid="{D5CDD505-2E9C-101B-9397-08002B2CF9AE}" pid="21" name="METAKZER">
    <vt:lpwstr>מיכל</vt:lpwstr>
  </property>
  <property fmtid="{D5CDD505-2E9C-101B-9397-08002B2CF9AE}" pid="22" name="NOSE1ID">
    <vt:lpwstr>77;77</vt:lpwstr>
  </property>
  <property fmtid="{D5CDD505-2E9C-101B-9397-08002B2CF9AE}" pid="23" name="NOSE2ID">
    <vt:lpwstr>1446;1446</vt:lpwstr>
  </property>
  <property fmtid="{D5CDD505-2E9C-101B-9397-08002B2CF9AE}" pid="24" name="NOSE3ID">
    <vt:lpwstr>13800;14248</vt:lpwstr>
  </property>
  <property fmtid="{D5CDD505-2E9C-101B-9397-08002B2CF9AE}" pid="25" name="NOSE11">
    <vt:lpwstr>עונשין</vt:lpwstr>
  </property>
  <property fmtid="{D5CDD505-2E9C-101B-9397-08002B2CF9AE}" pid="26" name="NOSE21">
    <vt:lpwstr>ענישה</vt:lpwstr>
  </property>
  <property fmtid="{D5CDD505-2E9C-101B-9397-08002B2CF9AE}" pid="27" name="NOSE31">
    <vt:lpwstr>מדיניות ענישה: עבירות נשק</vt:lpwstr>
  </property>
  <property fmtid="{D5CDD505-2E9C-101B-9397-08002B2CF9AE}" pid="28" name="NOSE12">
    <vt:lpwstr>עונשין</vt:lpwstr>
  </property>
  <property fmtid="{D5CDD505-2E9C-101B-9397-08002B2CF9AE}" pid="29" name="NOSE22">
    <vt:lpwstr>ענישה</vt:lpwstr>
  </property>
  <property fmtid="{D5CDD505-2E9C-101B-9397-08002B2CF9AE}" pid="30" name="NOSE32">
    <vt:lpwstr>קטינים</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20250306</vt:lpwstr>
  </property>
</Properties>
</file>