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889"/>
        <w:gridCol w:w="1045"/>
        <w:gridCol w:w="3588"/>
      </w:tblGrid>
      <w:tr w:rsidR="0097796A" w:rsidRPr="009132CB" w14:paraId="45BC9E5A" w14:textId="77777777">
        <w:trPr>
          <w:trHeight w:hRule="exact" w:val="418"/>
          <w:jc w:val="center"/>
        </w:trPr>
        <w:tc>
          <w:tcPr>
            <w:tcW w:w="8522" w:type="dxa"/>
            <w:gridSpan w:val="3"/>
          </w:tcPr>
          <w:p w14:paraId="7986DC41" w14:textId="77777777" w:rsidR="0097796A" w:rsidRPr="009132CB" w:rsidRDefault="009132CB">
            <w:pPr>
              <w:tabs>
                <w:tab w:val="center" w:pos="4153"/>
                <w:tab w:val="right" w:pos="8306"/>
              </w:tabs>
              <w:spacing w:line="360" w:lineRule="auto"/>
              <w:ind w:left="567" w:hanging="567"/>
              <w:jc w:val="center"/>
              <w:rPr>
                <w:rFonts w:ascii="Tahoma" w:hAnsi="Tahoma" w:cs="Tahoma"/>
                <w:color w:val="000080"/>
                <w:sz w:val="18"/>
                <w:szCs w:val="18"/>
                <w:rtl/>
              </w:rPr>
            </w:pPr>
            <w:bookmarkStart w:id="0" w:name="LastJudge"/>
            <w:r w:rsidRPr="009132CB">
              <w:rPr>
                <w:rFonts w:ascii="Tahoma" w:hAnsi="Tahoma" w:cs="Tahoma"/>
                <w:color w:val="000080"/>
                <w:sz w:val="18"/>
                <w:szCs w:val="18"/>
                <w:rtl/>
              </w:rPr>
              <w:t>בית המשפט המחוזי בחיפה</w:t>
            </w:r>
          </w:p>
        </w:tc>
      </w:tr>
      <w:tr w:rsidR="0097796A" w:rsidRPr="009132CB" w14:paraId="1B792D54" w14:textId="77777777">
        <w:trPr>
          <w:trHeight w:val="337"/>
          <w:jc w:val="center"/>
        </w:trPr>
        <w:tc>
          <w:tcPr>
            <w:tcW w:w="3889" w:type="dxa"/>
            <w:tcBorders>
              <w:bottom w:val="single" w:sz="4" w:space="0" w:color="auto"/>
            </w:tcBorders>
          </w:tcPr>
          <w:p w14:paraId="7013BC88" w14:textId="77777777" w:rsidR="0097796A" w:rsidRPr="009132CB" w:rsidRDefault="009132CB">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ind w:left="567" w:hanging="567"/>
              <w:jc w:val="both"/>
              <w:rPr>
                <w:rFonts w:ascii="David" w:hAnsi="David"/>
                <w:b/>
                <w:bCs/>
                <w:sz w:val="22"/>
                <w:szCs w:val="22"/>
                <w:rtl/>
              </w:rPr>
            </w:pPr>
            <w:r w:rsidRPr="009132CB">
              <w:rPr>
                <w:rFonts w:ascii="David" w:hAnsi="David" w:hint="eastAsia"/>
                <w:b/>
                <w:bCs/>
                <w:sz w:val="22"/>
                <w:szCs w:val="22"/>
                <w:rtl/>
              </w:rPr>
              <w:t>ת</w:t>
            </w:r>
            <w:r w:rsidRPr="009132CB">
              <w:rPr>
                <w:rFonts w:ascii="David" w:hAnsi="David"/>
                <w:b/>
                <w:bCs/>
                <w:sz w:val="22"/>
                <w:szCs w:val="22"/>
                <w:rtl/>
              </w:rPr>
              <w:t>"</w:t>
            </w:r>
            <w:r w:rsidRPr="009132CB">
              <w:rPr>
                <w:rFonts w:ascii="David" w:hAnsi="David" w:hint="eastAsia"/>
                <w:b/>
                <w:bCs/>
                <w:sz w:val="22"/>
                <w:szCs w:val="22"/>
                <w:rtl/>
              </w:rPr>
              <w:t>פ</w:t>
            </w:r>
            <w:r w:rsidRPr="009132CB">
              <w:rPr>
                <w:rFonts w:ascii="David" w:hAnsi="David"/>
                <w:b/>
                <w:bCs/>
                <w:sz w:val="22"/>
                <w:szCs w:val="22"/>
                <w:rtl/>
              </w:rPr>
              <w:t xml:space="preserve"> 13 - 05 - 32521</w:t>
            </w:r>
          </w:p>
          <w:p w14:paraId="4034A571" w14:textId="77777777" w:rsidR="0097796A" w:rsidRPr="009132CB" w:rsidRDefault="009132CB">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ind w:left="567" w:hanging="567"/>
              <w:jc w:val="both"/>
              <w:rPr>
                <w:rFonts w:ascii="David" w:hAnsi="David"/>
                <w:b/>
                <w:bCs/>
                <w:sz w:val="22"/>
                <w:szCs w:val="22"/>
                <w:rtl/>
              </w:rPr>
            </w:pPr>
            <w:r w:rsidRPr="009132CB">
              <w:rPr>
                <w:rFonts w:ascii="David" w:hAnsi="David" w:hint="eastAsia"/>
                <w:b/>
                <w:bCs/>
                <w:sz w:val="22"/>
                <w:szCs w:val="22"/>
                <w:rtl/>
              </w:rPr>
              <w:t>מדינת</w:t>
            </w:r>
            <w:r w:rsidRPr="009132CB">
              <w:rPr>
                <w:rFonts w:ascii="David" w:hAnsi="David"/>
                <w:b/>
                <w:bCs/>
                <w:sz w:val="22"/>
                <w:szCs w:val="22"/>
                <w:rtl/>
              </w:rPr>
              <w:t xml:space="preserve"> </w:t>
            </w:r>
            <w:r w:rsidRPr="009132CB">
              <w:rPr>
                <w:rFonts w:ascii="David" w:hAnsi="David" w:hint="eastAsia"/>
                <w:b/>
                <w:bCs/>
                <w:sz w:val="22"/>
                <w:szCs w:val="22"/>
                <w:rtl/>
              </w:rPr>
              <w:t>ישראל</w:t>
            </w:r>
            <w:r w:rsidRPr="009132CB">
              <w:rPr>
                <w:rFonts w:ascii="David" w:hAnsi="David"/>
                <w:b/>
                <w:bCs/>
                <w:sz w:val="22"/>
                <w:szCs w:val="22"/>
                <w:rtl/>
              </w:rPr>
              <w:t xml:space="preserve"> </w:t>
            </w:r>
            <w:r w:rsidRPr="009132CB">
              <w:rPr>
                <w:rFonts w:ascii="David" w:hAnsi="David" w:hint="eastAsia"/>
                <w:b/>
                <w:bCs/>
                <w:sz w:val="22"/>
                <w:szCs w:val="22"/>
                <w:rtl/>
              </w:rPr>
              <w:t>נ</w:t>
            </w:r>
            <w:r w:rsidRPr="009132CB">
              <w:rPr>
                <w:rFonts w:ascii="David" w:hAnsi="David"/>
                <w:b/>
                <w:bCs/>
                <w:sz w:val="22"/>
                <w:szCs w:val="22"/>
                <w:rtl/>
              </w:rPr>
              <w:t xml:space="preserve">' </w:t>
            </w:r>
            <w:r w:rsidRPr="009132CB">
              <w:rPr>
                <w:rFonts w:ascii="David" w:hAnsi="David" w:hint="eastAsia"/>
                <w:b/>
                <w:bCs/>
                <w:sz w:val="22"/>
                <w:szCs w:val="22"/>
                <w:rtl/>
              </w:rPr>
              <w:t>מחמד</w:t>
            </w:r>
            <w:r w:rsidRPr="009132CB">
              <w:rPr>
                <w:rFonts w:ascii="David" w:hAnsi="David"/>
                <w:b/>
                <w:bCs/>
                <w:sz w:val="22"/>
                <w:szCs w:val="22"/>
                <w:rtl/>
              </w:rPr>
              <w:t xml:space="preserve"> </w:t>
            </w:r>
            <w:r w:rsidRPr="009132CB">
              <w:rPr>
                <w:rFonts w:ascii="David" w:hAnsi="David" w:hint="eastAsia"/>
                <w:b/>
                <w:bCs/>
                <w:sz w:val="22"/>
                <w:szCs w:val="22"/>
                <w:rtl/>
              </w:rPr>
              <w:t>עמאש</w:t>
            </w:r>
          </w:p>
        </w:tc>
        <w:tc>
          <w:tcPr>
            <w:tcW w:w="1045" w:type="dxa"/>
          </w:tcPr>
          <w:p w14:paraId="3EBBB997" w14:textId="77777777" w:rsidR="0097796A" w:rsidRPr="009132CB" w:rsidRDefault="0097796A">
            <w:pPr>
              <w:tabs>
                <w:tab w:val="center" w:pos="4153"/>
                <w:tab w:val="right" w:pos="8306"/>
              </w:tabs>
              <w:ind w:left="567" w:hanging="567"/>
              <w:jc w:val="center"/>
              <w:rPr>
                <w:b/>
                <w:bCs/>
                <w:sz w:val="22"/>
                <w:szCs w:val="22"/>
                <w:rtl/>
              </w:rPr>
            </w:pPr>
          </w:p>
        </w:tc>
        <w:tc>
          <w:tcPr>
            <w:tcW w:w="3588" w:type="dxa"/>
            <w:tcBorders>
              <w:bottom w:val="single" w:sz="4" w:space="0" w:color="auto"/>
            </w:tcBorders>
          </w:tcPr>
          <w:p w14:paraId="42CBB204" w14:textId="77777777" w:rsidR="0097796A" w:rsidRPr="009132CB" w:rsidRDefault="009132CB">
            <w:pPr>
              <w:tabs>
                <w:tab w:val="center" w:pos="4153"/>
                <w:tab w:val="right" w:pos="8306"/>
              </w:tabs>
              <w:ind w:left="567" w:hanging="567"/>
              <w:jc w:val="center"/>
              <w:rPr>
                <w:b/>
                <w:bCs/>
                <w:sz w:val="22"/>
                <w:szCs w:val="22"/>
                <w:rtl/>
              </w:rPr>
            </w:pPr>
            <w:r w:rsidRPr="009132CB">
              <w:rPr>
                <w:b/>
                <w:bCs/>
                <w:sz w:val="22"/>
                <w:szCs w:val="22"/>
                <w:rtl/>
              </w:rPr>
              <w:t>30.9.2013</w:t>
            </w:r>
          </w:p>
        </w:tc>
      </w:tr>
    </w:tbl>
    <w:p w14:paraId="12CCBC3F" w14:textId="77777777" w:rsidR="0097796A" w:rsidRPr="009132CB" w:rsidRDefault="0097796A">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line="360" w:lineRule="auto"/>
        <w:ind w:left="567" w:hanging="567"/>
        <w:jc w:val="both"/>
        <w:rPr>
          <w:rFonts w:ascii="David" w:hAnsi="David" w:cs="Times New Roman"/>
          <w:szCs w:val="22"/>
          <w:rtl/>
        </w:rPr>
      </w:pPr>
    </w:p>
    <w:tbl>
      <w:tblPr>
        <w:bidiVisual/>
        <w:tblW w:w="8647" w:type="dxa"/>
        <w:jc w:val="center"/>
        <w:tblLayout w:type="fixed"/>
        <w:tblCellMar>
          <w:left w:w="107" w:type="dxa"/>
          <w:right w:w="107" w:type="dxa"/>
        </w:tblCellMar>
        <w:tblLook w:val="0000" w:firstRow="0" w:lastRow="0" w:firstColumn="0" w:lastColumn="0" w:noHBand="0" w:noVBand="0"/>
      </w:tblPr>
      <w:tblGrid>
        <w:gridCol w:w="1418"/>
        <w:gridCol w:w="3451"/>
        <w:gridCol w:w="1417"/>
        <w:gridCol w:w="2361"/>
      </w:tblGrid>
      <w:tr w:rsidR="0097796A" w:rsidRPr="009132CB" w14:paraId="2A526EE5" w14:textId="77777777">
        <w:trPr>
          <w:trHeight w:val="495"/>
          <w:jc w:val="center"/>
        </w:trPr>
        <w:tc>
          <w:tcPr>
            <w:tcW w:w="6286" w:type="dxa"/>
            <w:gridSpan w:val="3"/>
          </w:tcPr>
          <w:p w14:paraId="535E705D" w14:textId="77777777" w:rsidR="0097796A" w:rsidRPr="009132CB" w:rsidRDefault="009132CB">
            <w:pPr>
              <w:suppressLineNumbers/>
              <w:overflowPunct w:val="0"/>
              <w:autoSpaceDE w:val="0"/>
              <w:autoSpaceDN w:val="0"/>
              <w:adjustRightInd w:val="0"/>
              <w:spacing w:line="360" w:lineRule="auto"/>
              <w:textAlignment w:val="baseline"/>
              <w:rPr>
                <w:b/>
                <w:bCs/>
                <w:sz w:val="22"/>
                <w:rtl/>
                <w:lang w:eastAsia="he-IL"/>
              </w:rPr>
            </w:pPr>
            <w:r w:rsidRPr="009132CB">
              <w:rPr>
                <w:b/>
                <w:bCs/>
                <w:sz w:val="22"/>
                <w:rtl/>
                <w:lang w:eastAsia="he-IL"/>
              </w:rPr>
              <w:t>לפני השופט יצחק כהן</w:t>
            </w:r>
          </w:p>
        </w:tc>
        <w:tc>
          <w:tcPr>
            <w:tcW w:w="2361" w:type="dxa"/>
          </w:tcPr>
          <w:p w14:paraId="69097174" w14:textId="77777777" w:rsidR="0097796A" w:rsidRPr="009132CB" w:rsidRDefault="0097796A">
            <w:pPr>
              <w:suppressLineNumbers/>
              <w:overflowPunct w:val="0"/>
              <w:autoSpaceDE w:val="0"/>
              <w:autoSpaceDN w:val="0"/>
              <w:adjustRightInd w:val="0"/>
              <w:textAlignment w:val="baseline"/>
              <w:rPr>
                <w:b/>
                <w:bCs/>
                <w:sz w:val="22"/>
                <w:szCs w:val="26"/>
                <w:rtl/>
                <w:lang w:eastAsia="he-IL"/>
              </w:rPr>
            </w:pPr>
          </w:p>
        </w:tc>
      </w:tr>
      <w:tr w:rsidR="0097796A" w:rsidRPr="009132CB" w14:paraId="07A89155" w14:textId="77777777">
        <w:trPr>
          <w:trHeight w:val="495"/>
          <w:jc w:val="center"/>
        </w:trPr>
        <w:tc>
          <w:tcPr>
            <w:tcW w:w="1418" w:type="dxa"/>
          </w:tcPr>
          <w:p w14:paraId="3775156B" w14:textId="77777777" w:rsidR="0097796A" w:rsidRPr="009132CB" w:rsidRDefault="0097796A">
            <w:pPr>
              <w:suppressLineNumbers/>
              <w:overflowPunct w:val="0"/>
              <w:autoSpaceDE w:val="0"/>
              <w:autoSpaceDN w:val="0"/>
              <w:adjustRightInd w:val="0"/>
              <w:textAlignment w:val="baseline"/>
              <w:rPr>
                <w:b/>
                <w:bCs/>
                <w:sz w:val="22"/>
                <w:rtl/>
                <w:lang w:eastAsia="he-IL"/>
              </w:rPr>
            </w:pPr>
          </w:p>
        </w:tc>
        <w:tc>
          <w:tcPr>
            <w:tcW w:w="4868" w:type="dxa"/>
            <w:gridSpan w:val="2"/>
          </w:tcPr>
          <w:p w14:paraId="21C375A0" w14:textId="77777777" w:rsidR="0097796A" w:rsidRPr="009132CB" w:rsidRDefault="0097796A">
            <w:pPr>
              <w:suppressLineNumbers/>
              <w:overflowPunct w:val="0"/>
              <w:autoSpaceDE w:val="0"/>
              <w:autoSpaceDN w:val="0"/>
              <w:adjustRightInd w:val="0"/>
              <w:spacing w:line="360" w:lineRule="auto"/>
              <w:textAlignment w:val="baseline"/>
              <w:rPr>
                <w:b/>
                <w:bCs/>
                <w:sz w:val="22"/>
                <w:rtl/>
                <w:lang w:eastAsia="he-IL"/>
              </w:rPr>
            </w:pPr>
          </w:p>
        </w:tc>
        <w:tc>
          <w:tcPr>
            <w:tcW w:w="2361" w:type="dxa"/>
          </w:tcPr>
          <w:p w14:paraId="6284471A" w14:textId="77777777" w:rsidR="0097796A" w:rsidRPr="009132CB" w:rsidRDefault="0097796A">
            <w:pPr>
              <w:suppressLineNumbers/>
              <w:overflowPunct w:val="0"/>
              <w:autoSpaceDE w:val="0"/>
              <w:autoSpaceDN w:val="0"/>
              <w:adjustRightInd w:val="0"/>
              <w:textAlignment w:val="baseline"/>
              <w:rPr>
                <w:b/>
                <w:bCs/>
                <w:sz w:val="22"/>
                <w:szCs w:val="26"/>
                <w:rtl/>
                <w:lang w:eastAsia="he-IL"/>
              </w:rPr>
            </w:pPr>
          </w:p>
        </w:tc>
      </w:tr>
      <w:tr w:rsidR="0097796A" w:rsidRPr="009132CB" w14:paraId="653FA7FB" w14:textId="77777777">
        <w:trPr>
          <w:trHeight w:val="573"/>
          <w:jc w:val="center"/>
        </w:trPr>
        <w:tc>
          <w:tcPr>
            <w:tcW w:w="1418" w:type="dxa"/>
          </w:tcPr>
          <w:p w14:paraId="68DC1808" w14:textId="77777777" w:rsidR="0097796A" w:rsidRPr="009132CB" w:rsidRDefault="0097796A">
            <w:pPr>
              <w:suppressLineNumbers/>
              <w:overflowPunct w:val="0"/>
              <w:autoSpaceDE w:val="0"/>
              <w:autoSpaceDN w:val="0"/>
              <w:adjustRightInd w:val="0"/>
              <w:textAlignment w:val="baseline"/>
              <w:rPr>
                <w:b/>
                <w:bCs/>
                <w:sz w:val="22"/>
                <w:rtl/>
                <w:lang w:eastAsia="he-IL"/>
              </w:rPr>
            </w:pPr>
          </w:p>
        </w:tc>
        <w:tc>
          <w:tcPr>
            <w:tcW w:w="4868" w:type="dxa"/>
            <w:gridSpan w:val="2"/>
          </w:tcPr>
          <w:p w14:paraId="5E92E6E9" w14:textId="77777777" w:rsidR="0097796A" w:rsidRPr="009132CB" w:rsidRDefault="009132CB">
            <w:pPr>
              <w:suppressLineNumbers/>
              <w:overflowPunct w:val="0"/>
              <w:autoSpaceDE w:val="0"/>
              <w:autoSpaceDN w:val="0"/>
              <w:adjustRightInd w:val="0"/>
              <w:spacing w:line="360" w:lineRule="auto"/>
              <w:textAlignment w:val="baseline"/>
              <w:rPr>
                <w:b/>
                <w:bCs/>
                <w:sz w:val="22"/>
                <w:rtl/>
                <w:lang w:eastAsia="he-IL"/>
              </w:rPr>
            </w:pPr>
            <w:r w:rsidRPr="009132CB">
              <w:rPr>
                <w:b/>
                <w:bCs/>
                <w:sz w:val="22"/>
                <w:rtl/>
                <w:lang w:eastAsia="he-IL"/>
              </w:rPr>
              <w:t>מדינת ישראל</w:t>
            </w:r>
          </w:p>
        </w:tc>
        <w:tc>
          <w:tcPr>
            <w:tcW w:w="2361" w:type="dxa"/>
          </w:tcPr>
          <w:p w14:paraId="44B16A16" w14:textId="77777777" w:rsidR="0097796A" w:rsidRPr="009132CB" w:rsidRDefault="0097796A">
            <w:pPr>
              <w:suppressLineNumbers/>
              <w:overflowPunct w:val="0"/>
              <w:autoSpaceDE w:val="0"/>
              <w:autoSpaceDN w:val="0"/>
              <w:adjustRightInd w:val="0"/>
              <w:textAlignment w:val="baseline"/>
              <w:rPr>
                <w:b/>
                <w:bCs/>
                <w:sz w:val="22"/>
                <w:szCs w:val="26"/>
                <w:rtl/>
                <w:lang w:eastAsia="he-IL"/>
              </w:rPr>
            </w:pPr>
          </w:p>
        </w:tc>
      </w:tr>
      <w:tr w:rsidR="0097796A" w:rsidRPr="009132CB" w14:paraId="111D4703" w14:textId="77777777">
        <w:trPr>
          <w:jc w:val="center"/>
        </w:trPr>
        <w:tc>
          <w:tcPr>
            <w:tcW w:w="1418" w:type="dxa"/>
          </w:tcPr>
          <w:p w14:paraId="561C27CB" w14:textId="77777777" w:rsidR="0097796A" w:rsidRPr="009132CB" w:rsidRDefault="0097796A">
            <w:pPr>
              <w:suppressLineNumbers/>
              <w:overflowPunct w:val="0"/>
              <w:autoSpaceDE w:val="0"/>
              <w:autoSpaceDN w:val="0"/>
              <w:adjustRightInd w:val="0"/>
              <w:textAlignment w:val="baseline"/>
              <w:rPr>
                <w:sz w:val="22"/>
                <w:rtl/>
                <w:lang w:eastAsia="he-IL"/>
              </w:rPr>
            </w:pPr>
            <w:bookmarkStart w:id="1" w:name="FirstAppellant" w:colFirst="0" w:colLast="0"/>
            <w:bookmarkStart w:id="2" w:name="FirstLawyer"/>
          </w:p>
        </w:tc>
        <w:tc>
          <w:tcPr>
            <w:tcW w:w="3451" w:type="dxa"/>
          </w:tcPr>
          <w:p w14:paraId="112F67E6" w14:textId="77777777" w:rsidR="0097796A" w:rsidRPr="009132CB" w:rsidRDefault="009132CB">
            <w:pPr>
              <w:suppressLineNumbers/>
              <w:overflowPunct w:val="0"/>
              <w:autoSpaceDE w:val="0"/>
              <w:autoSpaceDN w:val="0"/>
              <w:adjustRightInd w:val="0"/>
              <w:textAlignment w:val="baseline"/>
              <w:rPr>
                <w:sz w:val="22"/>
                <w:szCs w:val="22"/>
                <w:rtl/>
                <w:lang w:eastAsia="he-IL"/>
              </w:rPr>
            </w:pPr>
            <w:r w:rsidRPr="009132CB">
              <w:rPr>
                <w:sz w:val="22"/>
                <w:szCs w:val="22"/>
                <w:rtl/>
                <w:lang w:eastAsia="he-IL"/>
              </w:rPr>
              <w:t>ע"י ב"כ עו"ד גב' שונית קדם</w:t>
            </w:r>
          </w:p>
        </w:tc>
        <w:tc>
          <w:tcPr>
            <w:tcW w:w="1417" w:type="dxa"/>
          </w:tcPr>
          <w:p w14:paraId="62B18B2A" w14:textId="77777777" w:rsidR="0097796A" w:rsidRPr="009132CB" w:rsidRDefault="0097796A">
            <w:pPr>
              <w:suppressLineNumbers/>
              <w:overflowPunct w:val="0"/>
              <w:autoSpaceDE w:val="0"/>
              <w:autoSpaceDN w:val="0"/>
              <w:adjustRightInd w:val="0"/>
              <w:textAlignment w:val="baseline"/>
              <w:rPr>
                <w:sz w:val="22"/>
                <w:szCs w:val="22"/>
                <w:rtl/>
                <w:lang w:eastAsia="he-IL"/>
              </w:rPr>
            </w:pPr>
          </w:p>
        </w:tc>
        <w:tc>
          <w:tcPr>
            <w:tcW w:w="2361" w:type="dxa"/>
          </w:tcPr>
          <w:p w14:paraId="5034B554" w14:textId="77777777" w:rsidR="0097796A" w:rsidRPr="009132CB" w:rsidRDefault="009132CB">
            <w:pPr>
              <w:suppressLineNumbers/>
              <w:overflowPunct w:val="0"/>
              <w:autoSpaceDE w:val="0"/>
              <w:autoSpaceDN w:val="0"/>
              <w:adjustRightInd w:val="0"/>
              <w:textAlignment w:val="baseline"/>
              <w:rPr>
                <w:b/>
                <w:bCs/>
                <w:rtl/>
                <w:lang w:eastAsia="he-IL"/>
              </w:rPr>
            </w:pPr>
            <w:r w:rsidRPr="009132CB">
              <w:rPr>
                <w:b/>
                <w:bCs/>
                <w:rtl/>
                <w:lang w:eastAsia="he-IL"/>
              </w:rPr>
              <w:t>המאשימה</w:t>
            </w:r>
          </w:p>
        </w:tc>
      </w:tr>
      <w:bookmarkEnd w:id="2"/>
      <w:tr w:rsidR="0097796A" w:rsidRPr="009132CB" w14:paraId="347858A2" w14:textId="77777777">
        <w:trPr>
          <w:trHeight w:val="842"/>
          <w:jc w:val="center"/>
        </w:trPr>
        <w:tc>
          <w:tcPr>
            <w:tcW w:w="1418" w:type="dxa"/>
          </w:tcPr>
          <w:p w14:paraId="2B39FC5B" w14:textId="77777777" w:rsidR="0097796A" w:rsidRPr="009132CB" w:rsidRDefault="0097796A">
            <w:pPr>
              <w:suppressLineNumbers/>
              <w:overflowPunct w:val="0"/>
              <w:autoSpaceDE w:val="0"/>
              <w:autoSpaceDN w:val="0"/>
              <w:adjustRightInd w:val="0"/>
              <w:spacing w:before="600"/>
              <w:jc w:val="center"/>
              <w:textAlignment w:val="baseline"/>
              <w:rPr>
                <w:b/>
                <w:bCs/>
                <w:sz w:val="22"/>
                <w:rtl/>
                <w:lang w:eastAsia="he-IL"/>
              </w:rPr>
            </w:pPr>
          </w:p>
        </w:tc>
        <w:tc>
          <w:tcPr>
            <w:tcW w:w="4868" w:type="dxa"/>
            <w:gridSpan w:val="2"/>
            <w:vAlign w:val="center"/>
          </w:tcPr>
          <w:p w14:paraId="6A9306B9" w14:textId="77777777" w:rsidR="0097796A" w:rsidRPr="009132CB" w:rsidRDefault="009132CB">
            <w:pPr>
              <w:suppressLineNumbers/>
              <w:overflowPunct w:val="0"/>
              <w:autoSpaceDE w:val="0"/>
              <w:autoSpaceDN w:val="0"/>
              <w:adjustRightInd w:val="0"/>
              <w:jc w:val="center"/>
              <w:textAlignment w:val="baseline"/>
              <w:rPr>
                <w:b/>
                <w:bCs/>
                <w:sz w:val="22"/>
                <w:rtl/>
                <w:lang w:eastAsia="he-IL"/>
              </w:rPr>
            </w:pPr>
            <w:r w:rsidRPr="009132CB">
              <w:rPr>
                <w:b/>
                <w:bCs/>
                <w:sz w:val="22"/>
                <w:rtl/>
                <w:lang w:eastAsia="he-IL"/>
              </w:rPr>
              <w:t>נגד</w:t>
            </w:r>
          </w:p>
        </w:tc>
        <w:tc>
          <w:tcPr>
            <w:tcW w:w="2361" w:type="dxa"/>
          </w:tcPr>
          <w:p w14:paraId="2575D4FB" w14:textId="77777777" w:rsidR="0097796A" w:rsidRPr="009132CB" w:rsidRDefault="0097796A">
            <w:pPr>
              <w:suppressLineNumbers/>
              <w:overflowPunct w:val="0"/>
              <w:autoSpaceDE w:val="0"/>
              <w:autoSpaceDN w:val="0"/>
              <w:adjustRightInd w:val="0"/>
              <w:textAlignment w:val="baseline"/>
              <w:rPr>
                <w:b/>
                <w:bCs/>
                <w:sz w:val="22"/>
                <w:rtl/>
                <w:lang w:eastAsia="he-IL"/>
              </w:rPr>
            </w:pPr>
          </w:p>
        </w:tc>
      </w:tr>
      <w:bookmarkEnd w:id="1"/>
      <w:tr w:rsidR="0097796A" w:rsidRPr="009132CB" w14:paraId="018E023B" w14:textId="77777777">
        <w:trPr>
          <w:trHeight w:val="556"/>
          <w:jc w:val="center"/>
        </w:trPr>
        <w:tc>
          <w:tcPr>
            <w:tcW w:w="1418" w:type="dxa"/>
          </w:tcPr>
          <w:p w14:paraId="07ED0237" w14:textId="77777777" w:rsidR="0097796A" w:rsidRPr="009132CB" w:rsidRDefault="0097796A">
            <w:pPr>
              <w:suppressLineNumbers/>
              <w:overflowPunct w:val="0"/>
              <w:autoSpaceDE w:val="0"/>
              <w:autoSpaceDN w:val="0"/>
              <w:adjustRightInd w:val="0"/>
              <w:textAlignment w:val="baseline"/>
              <w:rPr>
                <w:b/>
                <w:bCs/>
                <w:sz w:val="22"/>
                <w:rtl/>
                <w:lang w:eastAsia="he-IL"/>
              </w:rPr>
            </w:pPr>
          </w:p>
        </w:tc>
        <w:tc>
          <w:tcPr>
            <w:tcW w:w="4868" w:type="dxa"/>
            <w:gridSpan w:val="2"/>
          </w:tcPr>
          <w:p w14:paraId="2A7AB6C6" w14:textId="77777777" w:rsidR="0097796A" w:rsidRPr="009132CB" w:rsidRDefault="009132CB">
            <w:pPr>
              <w:suppressLineNumbers/>
              <w:overflowPunct w:val="0"/>
              <w:autoSpaceDE w:val="0"/>
              <w:autoSpaceDN w:val="0"/>
              <w:adjustRightInd w:val="0"/>
              <w:spacing w:line="360" w:lineRule="auto"/>
              <w:textAlignment w:val="baseline"/>
              <w:rPr>
                <w:b/>
                <w:bCs/>
                <w:rtl/>
                <w:lang w:eastAsia="he-IL"/>
              </w:rPr>
            </w:pPr>
            <w:r w:rsidRPr="009132CB">
              <w:rPr>
                <w:b/>
                <w:bCs/>
                <w:rtl/>
                <w:lang w:eastAsia="he-IL"/>
              </w:rPr>
              <w:t xml:space="preserve">מחמד (בן עאדל) עמאש ת"ז </w:t>
            </w:r>
          </w:p>
        </w:tc>
        <w:tc>
          <w:tcPr>
            <w:tcW w:w="2361" w:type="dxa"/>
          </w:tcPr>
          <w:p w14:paraId="40C285A6" w14:textId="77777777" w:rsidR="0097796A" w:rsidRPr="009132CB" w:rsidRDefault="0097796A">
            <w:pPr>
              <w:suppressLineNumbers/>
              <w:overflowPunct w:val="0"/>
              <w:autoSpaceDE w:val="0"/>
              <w:autoSpaceDN w:val="0"/>
              <w:adjustRightInd w:val="0"/>
              <w:textAlignment w:val="baseline"/>
              <w:rPr>
                <w:b/>
                <w:bCs/>
                <w:sz w:val="22"/>
                <w:szCs w:val="26"/>
                <w:rtl/>
                <w:lang w:eastAsia="he-IL"/>
              </w:rPr>
            </w:pPr>
          </w:p>
        </w:tc>
      </w:tr>
      <w:tr w:rsidR="0097796A" w:rsidRPr="009132CB" w14:paraId="67DAFA35" w14:textId="77777777">
        <w:trPr>
          <w:jc w:val="center"/>
        </w:trPr>
        <w:tc>
          <w:tcPr>
            <w:tcW w:w="1418" w:type="dxa"/>
          </w:tcPr>
          <w:p w14:paraId="3FF84B81" w14:textId="77777777" w:rsidR="0097796A" w:rsidRPr="009132CB" w:rsidRDefault="0097796A">
            <w:pPr>
              <w:suppressLineNumbers/>
              <w:overflowPunct w:val="0"/>
              <w:autoSpaceDE w:val="0"/>
              <w:autoSpaceDN w:val="0"/>
              <w:adjustRightInd w:val="0"/>
              <w:textAlignment w:val="baseline"/>
              <w:rPr>
                <w:b/>
                <w:bCs/>
                <w:sz w:val="22"/>
                <w:rtl/>
                <w:lang w:eastAsia="he-IL"/>
              </w:rPr>
            </w:pPr>
          </w:p>
        </w:tc>
        <w:tc>
          <w:tcPr>
            <w:tcW w:w="4868" w:type="dxa"/>
            <w:gridSpan w:val="2"/>
          </w:tcPr>
          <w:p w14:paraId="337564F0" w14:textId="77777777" w:rsidR="0097796A" w:rsidRPr="009132CB" w:rsidRDefault="009132CB">
            <w:pPr>
              <w:suppressLineNumbers/>
              <w:overflowPunct w:val="0"/>
              <w:autoSpaceDE w:val="0"/>
              <w:autoSpaceDN w:val="0"/>
              <w:adjustRightInd w:val="0"/>
              <w:textAlignment w:val="baseline"/>
              <w:rPr>
                <w:sz w:val="22"/>
                <w:szCs w:val="22"/>
                <w:rtl/>
                <w:lang w:eastAsia="he-IL"/>
              </w:rPr>
            </w:pPr>
            <w:r w:rsidRPr="009132CB">
              <w:rPr>
                <w:sz w:val="22"/>
                <w:szCs w:val="22"/>
                <w:rtl/>
                <w:lang w:eastAsia="he-IL"/>
              </w:rPr>
              <w:t>ע"י ב"כ עו"ד עאדל בויראת</w:t>
            </w:r>
          </w:p>
        </w:tc>
        <w:tc>
          <w:tcPr>
            <w:tcW w:w="2361" w:type="dxa"/>
          </w:tcPr>
          <w:p w14:paraId="39AE1EA9" w14:textId="77777777" w:rsidR="0097796A" w:rsidRPr="009132CB" w:rsidRDefault="009132CB">
            <w:pPr>
              <w:suppressLineNumbers/>
              <w:overflowPunct w:val="0"/>
              <w:autoSpaceDE w:val="0"/>
              <w:autoSpaceDN w:val="0"/>
              <w:adjustRightInd w:val="0"/>
              <w:textAlignment w:val="baseline"/>
              <w:rPr>
                <w:b/>
                <w:bCs/>
                <w:rtl/>
                <w:lang w:eastAsia="he-IL"/>
              </w:rPr>
            </w:pPr>
            <w:r w:rsidRPr="009132CB">
              <w:rPr>
                <w:b/>
                <w:bCs/>
                <w:rtl/>
                <w:lang w:eastAsia="he-IL"/>
              </w:rPr>
              <w:t>הנאשם</w:t>
            </w:r>
          </w:p>
        </w:tc>
      </w:tr>
    </w:tbl>
    <w:p w14:paraId="56BDA1AA" w14:textId="77777777" w:rsidR="0097796A" w:rsidRPr="009132CB" w:rsidRDefault="0097796A">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line="360" w:lineRule="auto"/>
        <w:ind w:left="567" w:hanging="567"/>
        <w:jc w:val="both"/>
        <w:rPr>
          <w:rFonts w:ascii="David" w:hAnsi="David" w:cs="Times New Roman"/>
          <w:szCs w:val="22"/>
          <w:rtl/>
        </w:rPr>
      </w:pPr>
    </w:p>
    <w:p w14:paraId="43EFCB80" w14:textId="77777777" w:rsidR="009132CB" w:rsidRPr="009132CB" w:rsidRDefault="009132CB" w:rsidP="009132CB">
      <w:pPr>
        <w:spacing w:line="360" w:lineRule="auto"/>
        <w:ind w:left="567" w:hanging="567"/>
        <w:jc w:val="center"/>
        <w:rPr>
          <w:rFonts w:ascii="David" w:hAnsi="David"/>
          <w:b/>
          <w:bCs/>
          <w:sz w:val="32"/>
          <w:szCs w:val="32"/>
          <w:rtl/>
        </w:rPr>
      </w:pPr>
      <w:bookmarkStart w:id="3" w:name="PsakDin"/>
      <w:bookmarkEnd w:id="0"/>
      <w:r w:rsidRPr="009132CB">
        <w:rPr>
          <w:rFonts w:ascii="David" w:hAnsi="David"/>
          <w:b/>
          <w:bCs/>
          <w:sz w:val="32"/>
          <w:szCs w:val="32"/>
          <w:rtl/>
        </w:rPr>
        <w:t>גזר דין</w:t>
      </w:r>
    </w:p>
    <w:bookmarkEnd w:id="3"/>
    <w:p w14:paraId="615ED80C" w14:textId="77777777" w:rsidR="0097796A" w:rsidRDefault="0097796A">
      <w:pPr>
        <w:spacing w:line="360" w:lineRule="auto"/>
        <w:ind w:left="567" w:hanging="567"/>
        <w:jc w:val="both"/>
        <w:rPr>
          <w:sz w:val="22"/>
          <w:rtl/>
        </w:rPr>
      </w:pPr>
    </w:p>
    <w:p w14:paraId="0E932971" w14:textId="77777777" w:rsidR="0097796A" w:rsidRDefault="009132CB">
      <w:pPr>
        <w:spacing w:line="360" w:lineRule="auto"/>
        <w:ind w:left="567" w:hanging="567"/>
        <w:jc w:val="both"/>
        <w:rPr>
          <w:sz w:val="22"/>
          <w:rtl/>
        </w:rPr>
      </w:pPr>
      <w:r>
        <w:rPr>
          <w:sz w:val="22"/>
          <w:rtl/>
        </w:rPr>
        <w:t>1.</w:t>
      </w:r>
      <w:r>
        <w:rPr>
          <w:sz w:val="22"/>
          <w:rtl/>
        </w:rPr>
        <w:tab/>
      </w:r>
      <w:bookmarkStart w:id="4" w:name="ABSTRACT_START"/>
      <w:bookmarkEnd w:id="4"/>
      <w:r>
        <w:rPr>
          <w:sz w:val="22"/>
          <w:rtl/>
        </w:rPr>
        <w:t>על פי הסדר טיעון שנעשה בין הצדדים, הוגש נגד הנאשם כתב אישום מתוקן, והנאשם הודה בביצוע עבירות בנשק לפי סעיף 144(א) רישא וסיפא ל</w:t>
      </w:r>
      <w:hyperlink r:id="rId6" w:history="1">
        <w:r w:rsidRPr="009132CB">
          <w:rPr>
            <w:color w:val="0000FF"/>
            <w:sz w:val="22"/>
            <w:u w:val="single"/>
            <w:rtl/>
          </w:rPr>
          <w:t>חוק העונשין</w:t>
        </w:r>
      </w:hyperlink>
      <w:r>
        <w:rPr>
          <w:sz w:val="22"/>
          <w:rtl/>
        </w:rPr>
        <w:t>, תשל"ז - 1977.</w:t>
      </w:r>
    </w:p>
    <w:p w14:paraId="3EA988CD" w14:textId="77777777" w:rsidR="0097796A" w:rsidRDefault="0097796A">
      <w:pPr>
        <w:spacing w:line="360" w:lineRule="auto"/>
        <w:ind w:left="567" w:hanging="567"/>
        <w:jc w:val="both"/>
        <w:rPr>
          <w:sz w:val="22"/>
          <w:rtl/>
        </w:rPr>
      </w:pPr>
      <w:bookmarkStart w:id="5" w:name="ABSTRACT_END"/>
      <w:bookmarkEnd w:id="5"/>
    </w:p>
    <w:p w14:paraId="08F1F585" w14:textId="77777777" w:rsidR="0097796A" w:rsidRDefault="009132CB">
      <w:pPr>
        <w:spacing w:line="360" w:lineRule="auto"/>
        <w:ind w:left="567" w:hanging="567"/>
        <w:jc w:val="both"/>
        <w:rPr>
          <w:sz w:val="22"/>
          <w:rtl/>
        </w:rPr>
      </w:pPr>
      <w:r>
        <w:rPr>
          <w:sz w:val="22"/>
          <w:rtl/>
        </w:rPr>
        <w:tab/>
        <w:t xml:space="preserve">בין הצדדים לא היה הסדר לגבי העונש, והטיעון לעונש היה </w:t>
      </w:r>
      <w:r>
        <w:rPr>
          <w:rFonts w:hint="cs"/>
          <w:sz w:val="22"/>
          <w:rtl/>
        </w:rPr>
        <w:t xml:space="preserve">טיעון </w:t>
      </w:r>
      <w:r>
        <w:rPr>
          <w:sz w:val="22"/>
          <w:rtl/>
        </w:rPr>
        <w:t>חופשי, ולאחר שהוגש תסקיר מבחן בעניינו של הנאשם.</w:t>
      </w:r>
    </w:p>
    <w:p w14:paraId="4564A903" w14:textId="77777777" w:rsidR="0097796A" w:rsidRDefault="0097796A">
      <w:pPr>
        <w:spacing w:line="360" w:lineRule="auto"/>
        <w:ind w:left="567" w:hanging="567"/>
        <w:jc w:val="both"/>
        <w:rPr>
          <w:sz w:val="22"/>
          <w:rtl/>
        </w:rPr>
      </w:pPr>
    </w:p>
    <w:p w14:paraId="41B4ACAF" w14:textId="77777777" w:rsidR="0097796A" w:rsidRDefault="0097796A">
      <w:pPr>
        <w:spacing w:line="360" w:lineRule="auto"/>
        <w:ind w:left="567" w:hanging="567"/>
        <w:jc w:val="both"/>
        <w:rPr>
          <w:sz w:val="22"/>
          <w:rtl/>
        </w:rPr>
      </w:pPr>
    </w:p>
    <w:p w14:paraId="4B51922F" w14:textId="77777777" w:rsidR="0097796A" w:rsidRDefault="009132CB">
      <w:pPr>
        <w:spacing w:line="360" w:lineRule="auto"/>
        <w:ind w:left="567" w:hanging="567"/>
        <w:jc w:val="both"/>
        <w:rPr>
          <w:sz w:val="22"/>
          <w:rtl/>
        </w:rPr>
      </w:pPr>
      <w:r>
        <w:rPr>
          <w:sz w:val="22"/>
          <w:rtl/>
        </w:rPr>
        <w:t>2.</w:t>
      </w:r>
      <w:r>
        <w:rPr>
          <w:sz w:val="22"/>
          <w:rtl/>
        </w:rPr>
        <w:tab/>
        <w:t>על פי כתב האישום, בתאריך 13.5.2013, בשעות הערב, הגיע הנאשם לביתו של אדם בשם מופיד פאוזי ג'רבאן, המכונה "אבו ג'לוג", כשברשותו תת מקלע מסוג "קרל גוסטב", ובכיס מכנסיו מחסנית תואמת. נטען</w:t>
      </w:r>
      <w:r>
        <w:rPr>
          <w:rFonts w:hint="cs"/>
          <w:sz w:val="22"/>
          <w:rtl/>
        </w:rPr>
        <w:t xml:space="preserve">, </w:t>
      </w:r>
      <w:r>
        <w:rPr>
          <w:sz w:val="22"/>
          <w:rtl/>
        </w:rPr>
        <w:t>כי הנאשם החזיק בכלי הנשק במשך כשנה, מבלי שהיה לו רישיון על פי דין.</w:t>
      </w:r>
    </w:p>
    <w:p w14:paraId="13620266" w14:textId="77777777" w:rsidR="0097796A" w:rsidRDefault="0097796A">
      <w:pPr>
        <w:spacing w:line="360" w:lineRule="auto"/>
        <w:ind w:left="567" w:hanging="567"/>
        <w:jc w:val="both"/>
        <w:rPr>
          <w:sz w:val="22"/>
          <w:rtl/>
        </w:rPr>
      </w:pPr>
    </w:p>
    <w:p w14:paraId="3202B70E" w14:textId="77777777" w:rsidR="0097796A" w:rsidRDefault="0097796A">
      <w:pPr>
        <w:spacing w:line="360" w:lineRule="auto"/>
        <w:ind w:left="567" w:hanging="567"/>
        <w:jc w:val="both"/>
        <w:rPr>
          <w:sz w:val="22"/>
          <w:rtl/>
        </w:rPr>
      </w:pPr>
    </w:p>
    <w:p w14:paraId="2D35702D" w14:textId="77777777" w:rsidR="0097796A" w:rsidRDefault="009132CB">
      <w:pPr>
        <w:spacing w:line="360" w:lineRule="auto"/>
        <w:ind w:left="567" w:hanging="567"/>
        <w:jc w:val="both"/>
        <w:rPr>
          <w:sz w:val="22"/>
          <w:rtl/>
        </w:rPr>
      </w:pPr>
      <w:r>
        <w:rPr>
          <w:sz w:val="22"/>
          <w:rtl/>
        </w:rPr>
        <w:t>3.</w:t>
      </w:r>
      <w:r>
        <w:rPr>
          <w:sz w:val="22"/>
          <w:rtl/>
        </w:rPr>
        <w:tab/>
        <w:t>באת כוח המאשימה טענה כי יש להטיל על הנאשם עונש מאסר, וזאת משום שמדובר בתת מקלע, אותו הנאשם החזיק במשך כשנה באזור מגורים. לטענת באת כוח המאשימה, עולה מתסקיר המבחן שהנאשם מתקשה ליטול אחריות ולבחון את משמעות המעשה, ועל כן מתבקשת ענישה הרתעתית. לדעת באת כוח המאשימה מתחם העונש ההולם הוא בין שנתיים ועד חמש שנות מאסר בפועל, ולעונש שייקבע יש להוסיף מאסר על תנאי וקנס.</w:t>
      </w:r>
    </w:p>
    <w:p w14:paraId="761D2AE3" w14:textId="77777777" w:rsidR="0097796A" w:rsidRDefault="0097796A">
      <w:pPr>
        <w:spacing w:line="360" w:lineRule="auto"/>
        <w:ind w:left="567" w:hanging="567"/>
        <w:jc w:val="both"/>
        <w:rPr>
          <w:sz w:val="22"/>
          <w:rtl/>
        </w:rPr>
      </w:pPr>
    </w:p>
    <w:p w14:paraId="58033DAD" w14:textId="77777777" w:rsidR="0097796A" w:rsidRDefault="0097796A">
      <w:pPr>
        <w:spacing w:line="360" w:lineRule="auto"/>
        <w:ind w:left="567" w:hanging="567"/>
        <w:jc w:val="both"/>
        <w:rPr>
          <w:sz w:val="22"/>
          <w:rtl/>
        </w:rPr>
      </w:pPr>
    </w:p>
    <w:p w14:paraId="0F61EF64" w14:textId="77777777" w:rsidR="0097796A" w:rsidRDefault="009132CB">
      <w:pPr>
        <w:spacing w:line="360" w:lineRule="auto"/>
        <w:ind w:left="567" w:hanging="567"/>
        <w:jc w:val="both"/>
        <w:rPr>
          <w:sz w:val="22"/>
          <w:rtl/>
        </w:rPr>
      </w:pPr>
      <w:r>
        <w:rPr>
          <w:sz w:val="22"/>
          <w:rtl/>
        </w:rPr>
        <w:t>4.</w:t>
      </w:r>
      <w:r>
        <w:rPr>
          <w:sz w:val="22"/>
          <w:rtl/>
        </w:rPr>
        <w:tab/>
        <w:t>לעומת באת כוח המאשימה, סבור בא כוח הנאשם, כי במקרה שלפני</w:t>
      </w:r>
      <w:r>
        <w:rPr>
          <w:rFonts w:hint="cs"/>
          <w:sz w:val="22"/>
          <w:rtl/>
        </w:rPr>
        <w:t>י</w:t>
      </w:r>
      <w:r>
        <w:rPr>
          <w:sz w:val="22"/>
          <w:rtl/>
        </w:rPr>
        <w:t xml:space="preserve"> ניתן להסתפק בתקופת המעצר. לטענת בא כוח הנאשם, הנאשם הוא בן למשפחה עם רקע סוציו-אקונומי קשה, וחרף זאת הנאשם הצליח לסיים את בית הספר התיכון עם בגרות מלאה, וכיום הוא לומד מתמטיקה במכללה. </w:t>
      </w:r>
      <w:r>
        <w:rPr>
          <w:sz w:val="22"/>
          <w:rtl/>
        </w:rPr>
        <w:lastRenderedPageBreak/>
        <w:t>בא כוח הנאשם ציין את העובדה, כי הנאשם הודה בעבירות מייד בפתיחת ההליכים, ואין לחובתו הרשעות פליליות קודמות. לתמיכת טענותיו הציג בא כוח הנאשם בפני מספר פסקי דין, מהם עולה כי במקרים חמורים יותר של עבירות בנשק, גזרו בתי המשפט עונשי מאסר בני חודשים ספורים.</w:t>
      </w:r>
    </w:p>
    <w:p w14:paraId="3B298521" w14:textId="77777777" w:rsidR="0097796A" w:rsidRDefault="0097796A">
      <w:pPr>
        <w:spacing w:line="360" w:lineRule="auto"/>
        <w:ind w:left="567" w:hanging="567"/>
        <w:jc w:val="both"/>
        <w:rPr>
          <w:sz w:val="22"/>
          <w:rtl/>
        </w:rPr>
      </w:pPr>
    </w:p>
    <w:p w14:paraId="42E50680" w14:textId="77777777" w:rsidR="0097796A" w:rsidRDefault="0097796A">
      <w:pPr>
        <w:spacing w:line="360" w:lineRule="auto"/>
        <w:ind w:left="567" w:hanging="567"/>
        <w:jc w:val="both"/>
        <w:rPr>
          <w:sz w:val="22"/>
          <w:rtl/>
        </w:rPr>
      </w:pPr>
    </w:p>
    <w:p w14:paraId="67372939" w14:textId="77777777" w:rsidR="0097796A" w:rsidRDefault="009132CB">
      <w:pPr>
        <w:spacing w:line="360" w:lineRule="auto"/>
        <w:ind w:left="567" w:hanging="567"/>
        <w:jc w:val="both"/>
        <w:rPr>
          <w:sz w:val="22"/>
          <w:rtl/>
        </w:rPr>
      </w:pPr>
      <w:r>
        <w:rPr>
          <w:sz w:val="22"/>
          <w:rtl/>
        </w:rPr>
        <w:t>5.</w:t>
      </w:r>
      <w:r>
        <w:rPr>
          <w:sz w:val="22"/>
          <w:rtl/>
        </w:rPr>
        <w:tab/>
        <w:t>הנאשם עצמו הביע צער וחרטה על המעשה, וביקש לנהוג עמו במידת הרחמים.</w:t>
      </w:r>
    </w:p>
    <w:p w14:paraId="4A356FE9" w14:textId="77777777" w:rsidR="0097796A" w:rsidRDefault="0097796A">
      <w:pPr>
        <w:spacing w:line="360" w:lineRule="auto"/>
        <w:ind w:left="567" w:hanging="567"/>
        <w:jc w:val="both"/>
        <w:rPr>
          <w:sz w:val="22"/>
          <w:rtl/>
        </w:rPr>
      </w:pPr>
    </w:p>
    <w:p w14:paraId="7F130F50" w14:textId="77777777" w:rsidR="0097796A" w:rsidRDefault="0097796A">
      <w:pPr>
        <w:spacing w:line="360" w:lineRule="auto"/>
        <w:ind w:left="567" w:hanging="567"/>
        <w:jc w:val="both"/>
        <w:rPr>
          <w:sz w:val="22"/>
          <w:rtl/>
        </w:rPr>
      </w:pPr>
    </w:p>
    <w:p w14:paraId="193F6FD1" w14:textId="77777777" w:rsidR="0097796A" w:rsidRDefault="009132CB">
      <w:pPr>
        <w:spacing w:line="360" w:lineRule="auto"/>
        <w:ind w:left="567" w:hanging="567"/>
        <w:jc w:val="both"/>
        <w:rPr>
          <w:sz w:val="22"/>
          <w:rtl/>
        </w:rPr>
      </w:pPr>
      <w:r>
        <w:rPr>
          <w:sz w:val="22"/>
          <w:rtl/>
        </w:rPr>
        <w:t>6.</w:t>
      </w:r>
      <w:r>
        <w:rPr>
          <w:sz w:val="22"/>
          <w:rtl/>
        </w:rPr>
        <w:tab/>
        <w:t>בתסקיר המבחן תוארו נסיבותיו האישיות והמשפחתיות של הנאשם. בהתייחס לעבירה נושא כתב האישום שלפנ</w:t>
      </w:r>
      <w:r>
        <w:rPr>
          <w:rFonts w:hint="cs"/>
          <w:sz w:val="22"/>
          <w:rtl/>
        </w:rPr>
        <w:t>י</w:t>
      </w:r>
      <w:r>
        <w:rPr>
          <w:sz w:val="22"/>
          <w:rtl/>
        </w:rPr>
        <w:t xml:space="preserve">י, מסר הנאשם לקצין המבחן, כי קיבל </w:t>
      </w:r>
      <w:r>
        <w:rPr>
          <w:rFonts w:hint="cs"/>
          <w:sz w:val="22"/>
          <w:rtl/>
        </w:rPr>
        <w:t xml:space="preserve">את הנשק </w:t>
      </w:r>
      <w:r>
        <w:rPr>
          <w:sz w:val="22"/>
          <w:rtl/>
        </w:rPr>
        <w:t>מ"אבו ג'לוג" דקות ספורות לפני שנעצר על ידי המשטרה, אם כי עובדה זו אינה מתיישבת עם הודאתו של הנאשם, כי החזיק</w:t>
      </w:r>
      <w:r>
        <w:rPr>
          <w:rFonts w:hint="cs"/>
          <w:sz w:val="22"/>
          <w:rtl/>
        </w:rPr>
        <w:t xml:space="preserve"> בנשק</w:t>
      </w:r>
      <w:r>
        <w:rPr>
          <w:sz w:val="22"/>
          <w:rtl/>
        </w:rPr>
        <w:t xml:space="preserve"> במשך כשנה לפני שנתפס. לדעת קצין המבחן, הנאשם מתקשה לבחון באופן משמעותי את מעשיו, ונראה כי הוא מתקשה להציב לעצמו גבולות ולהתמודד באופן יעיל עם מצבי סיכון ופיתוי.</w:t>
      </w:r>
    </w:p>
    <w:p w14:paraId="31B1733A" w14:textId="77777777" w:rsidR="0097796A" w:rsidRDefault="0097796A">
      <w:pPr>
        <w:spacing w:line="360" w:lineRule="auto"/>
        <w:ind w:left="567" w:hanging="567"/>
        <w:jc w:val="both"/>
        <w:rPr>
          <w:sz w:val="22"/>
          <w:rtl/>
        </w:rPr>
      </w:pPr>
    </w:p>
    <w:p w14:paraId="7F9E4ACA" w14:textId="77777777" w:rsidR="0097796A" w:rsidRDefault="009132CB">
      <w:pPr>
        <w:spacing w:line="360" w:lineRule="auto"/>
        <w:ind w:left="567" w:hanging="567"/>
        <w:jc w:val="both"/>
        <w:rPr>
          <w:sz w:val="22"/>
          <w:rtl/>
        </w:rPr>
      </w:pPr>
      <w:r>
        <w:rPr>
          <w:sz w:val="22"/>
          <w:rtl/>
        </w:rPr>
        <w:tab/>
        <w:t>לדעת קצין המבחן, נוכח העדר קבלת אחריות מלאה, יש מקום לשקול "ענישה הרתעתית בעלת גבולות חיצוניים כמאסר בפועל", אשר תציב בפני הנאשם גבולות ברורים, ועשויה להפחית מהסיכון להישנות עבירות דומות בעתיד.</w:t>
      </w:r>
    </w:p>
    <w:p w14:paraId="76A81599" w14:textId="77777777" w:rsidR="0097796A" w:rsidRDefault="0097796A">
      <w:pPr>
        <w:spacing w:line="360" w:lineRule="auto"/>
        <w:ind w:left="567" w:hanging="567"/>
        <w:jc w:val="both"/>
        <w:rPr>
          <w:sz w:val="22"/>
          <w:rtl/>
        </w:rPr>
      </w:pPr>
    </w:p>
    <w:p w14:paraId="29519647" w14:textId="77777777" w:rsidR="0097796A" w:rsidRDefault="0097796A">
      <w:pPr>
        <w:spacing w:line="360" w:lineRule="auto"/>
        <w:ind w:left="567" w:hanging="567"/>
        <w:jc w:val="both"/>
        <w:rPr>
          <w:sz w:val="22"/>
          <w:rtl/>
        </w:rPr>
      </w:pPr>
    </w:p>
    <w:p w14:paraId="39FEF9D6" w14:textId="77777777" w:rsidR="0097796A" w:rsidRDefault="009132CB">
      <w:pPr>
        <w:spacing w:line="360" w:lineRule="auto"/>
        <w:ind w:left="567" w:hanging="567"/>
        <w:jc w:val="both"/>
        <w:rPr>
          <w:b/>
          <w:bCs/>
          <w:sz w:val="22"/>
          <w:rtl/>
        </w:rPr>
      </w:pPr>
      <w:r>
        <w:rPr>
          <w:sz w:val="22"/>
          <w:rtl/>
        </w:rPr>
        <w:t>7</w:t>
      </w:r>
      <w:r>
        <w:rPr>
          <w:sz w:val="22"/>
          <w:rtl/>
        </w:rPr>
        <w:tab/>
      </w:r>
      <w:r>
        <w:rPr>
          <w:b/>
          <w:bCs/>
          <w:sz w:val="22"/>
          <w:rtl/>
        </w:rPr>
        <w:t>קביעת מתחם העונש ההולם (סעיפים 40ג, 40ט' - 40י"א ל</w:t>
      </w:r>
      <w:hyperlink r:id="rId7" w:history="1">
        <w:r w:rsidRPr="009132CB">
          <w:rPr>
            <w:b/>
            <w:bCs/>
            <w:color w:val="0000FF"/>
            <w:sz w:val="22"/>
            <w:u w:val="single"/>
            <w:rtl/>
          </w:rPr>
          <w:t>חוק העונשין</w:t>
        </w:r>
      </w:hyperlink>
      <w:r>
        <w:rPr>
          <w:b/>
          <w:bCs/>
          <w:sz w:val="22"/>
          <w:rtl/>
        </w:rPr>
        <w:t>):</w:t>
      </w:r>
    </w:p>
    <w:p w14:paraId="05C34AA2" w14:textId="77777777" w:rsidR="0097796A" w:rsidRDefault="0097796A">
      <w:pPr>
        <w:spacing w:line="360" w:lineRule="auto"/>
        <w:ind w:left="1134" w:hanging="567"/>
        <w:jc w:val="both"/>
        <w:rPr>
          <w:sz w:val="22"/>
          <w:rtl/>
        </w:rPr>
      </w:pPr>
    </w:p>
    <w:p w14:paraId="3012CBB2" w14:textId="77777777" w:rsidR="0097796A" w:rsidRDefault="009132CB">
      <w:pPr>
        <w:spacing w:line="360" w:lineRule="auto"/>
        <w:ind w:left="1134" w:hanging="567"/>
        <w:jc w:val="both"/>
        <w:rPr>
          <w:sz w:val="22"/>
          <w:rtl/>
        </w:rPr>
      </w:pPr>
      <w:r>
        <w:rPr>
          <w:sz w:val="22"/>
          <w:rtl/>
        </w:rPr>
        <w:t>(א)</w:t>
      </w:r>
      <w:r>
        <w:rPr>
          <w:sz w:val="22"/>
          <w:rtl/>
        </w:rPr>
        <w:tab/>
        <w:t>העיקרון המנחה בקביעת "מתחם העונש ההולם" הוא "עיקרון ההלימה". על פי עיקרון זה יש לקיים יחס הולם בין חומרת המעשה בנסיבותיו ומידת אשמו של הנאשם מחד גיסא ובין סוג ומידת העונש המוטל עליו מאידך גיסא. בקביעת מתחם העונש ההולם, על בית המשפט להתחשב במידת הפגיעה בערך החברתי שנפגע כתוצאה מביצוע העבירה, במידת הענישה הנהוגה ובנסיבות הקשורות בביצוע העבירה על ידי הנאשם.</w:t>
      </w:r>
    </w:p>
    <w:p w14:paraId="5C1D30E5" w14:textId="77777777" w:rsidR="0097796A" w:rsidRDefault="0097796A">
      <w:pPr>
        <w:spacing w:line="360" w:lineRule="auto"/>
        <w:ind w:left="1134" w:hanging="567"/>
        <w:jc w:val="both"/>
        <w:rPr>
          <w:sz w:val="22"/>
          <w:rtl/>
        </w:rPr>
      </w:pPr>
    </w:p>
    <w:p w14:paraId="66E9BB19" w14:textId="77777777" w:rsidR="0097796A" w:rsidRDefault="009132CB">
      <w:pPr>
        <w:spacing w:line="360" w:lineRule="auto"/>
        <w:ind w:left="1134" w:hanging="567"/>
        <w:jc w:val="both"/>
        <w:rPr>
          <w:sz w:val="22"/>
          <w:rtl/>
        </w:rPr>
      </w:pPr>
      <w:r>
        <w:rPr>
          <w:sz w:val="22"/>
          <w:rtl/>
        </w:rPr>
        <w:t>(ב)</w:t>
      </w:r>
      <w:r>
        <w:rPr>
          <w:sz w:val="22"/>
          <w:rtl/>
        </w:rPr>
        <w:tab/>
        <w:t>בסעיף 40ט' ל</w:t>
      </w:r>
      <w:hyperlink r:id="rId8" w:history="1">
        <w:r w:rsidRPr="009132CB">
          <w:rPr>
            <w:color w:val="0000FF"/>
            <w:sz w:val="22"/>
            <w:u w:val="single"/>
            <w:rtl/>
          </w:rPr>
          <w:t>חוק העונשין</w:t>
        </w:r>
      </w:hyperlink>
      <w:r>
        <w:rPr>
          <w:sz w:val="22"/>
          <w:rtl/>
        </w:rPr>
        <w:t>, פורטו שיקולים שונים, שאינם מהווים רשימה סגורה,  שעל בית המשפט להתחשב בהם, ככל שבית המשפט סבור שהן משפיעות על חומרת המעשה ועל אשמו של הנאשם. בהתייחס לעניין שלפני, יש להביא בחשבון את הערך החברתי המוגן שנפגע ואת הנזק שעלול היה להיגרם מביצוע העבירות. לגבי עבירות בנשק, נקבע, כי בקביעת מתחם העונש ההולם, יש להתחשב אף בסוג הנשק בו נעברה העבירה (</w:t>
      </w:r>
      <w:hyperlink r:id="rId9" w:history="1">
        <w:r w:rsidRPr="009132CB">
          <w:rPr>
            <w:color w:val="0000FF"/>
            <w:sz w:val="22"/>
            <w:u w:val="single"/>
            <w:rtl/>
          </w:rPr>
          <w:t>ע"פ 1323/13</w:t>
        </w:r>
      </w:hyperlink>
      <w:r>
        <w:rPr>
          <w:sz w:val="22"/>
          <w:rtl/>
        </w:rPr>
        <w:t xml:space="preserve"> </w:t>
      </w:r>
      <w:r>
        <w:rPr>
          <w:b/>
          <w:bCs/>
          <w:sz w:val="22"/>
          <w:rtl/>
        </w:rPr>
        <w:t>חסן נ' מדינת ישראל</w:t>
      </w:r>
      <w:r>
        <w:rPr>
          <w:sz w:val="22"/>
          <w:rtl/>
        </w:rPr>
        <w:t xml:space="preserve"> (פורסם בנבו - 5.6.2013).</w:t>
      </w:r>
    </w:p>
    <w:p w14:paraId="2FBB9C3A" w14:textId="77777777" w:rsidR="0097796A" w:rsidRDefault="0097796A">
      <w:pPr>
        <w:spacing w:line="360" w:lineRule="auto"/>
        <w:ind w:left="1134" w:hanging="567"/>
        <w:jc w:val="both"/>
        <w:rPr>
          <w:sz w:val="22"/>
          <w:rtl/>
        </w:rPr>
      </w:pPr>
    </w:p>
    <w:p w14:paraId="4B65375C" w14:textId="77777777" w:rsidR="0097796A" w:rsidRDefault="009132CB">
      <w:pPr>
        <w:spacing w:line="360" w:lineRule="auto"/>
        <w:ind w:left="1134" w:hanging="567"/>
        <w:jc w:val="both"/>
        <w:rPr>
          <w:sz w:val="22"/>
          <w:rtl/>
        </w:rPr>
      </w:pPr>
      <w:r>
        <w:rPr>
          <w:sz w:val="22"/>
          <w:rtl/>
        </w:rPr>
        <w:t>(ג)</w:t>
      </w:r>
      <w:r>
        <w:rPr>
          <w:sz w:val="22"/>
          <w:rtl/>
        </w:rPr>
        <w:tab/>
        <w:t>אין ספק, כי העונשים הקבועים בחוק לצד עבירות בנשק הם עונשים חמורים, והם מבטאים את דרגת החומרה הגבוהה שהמחוקק ייחס לעבירות שכאלה, שבצידן סיכון גדול לפגיעה, רצונית או שלא רצונית, בגופו של אדם.</w:t>
      </w:r>
    </w:p>
    <w:p w14:paraId="0509998B" w14:textId="77777777" w:rsidR="0097796A" w:rsidRDefault="0097796A">
      <w:pPr>
        <w:spacing w:line="360" w:lineRule="auto"/>
        <w:ind w:left="1134" w:hanging="567"/>
        <w:jc w:val="both"/>
        <w:rPr>
          <w:sz w:val="22"/>
          <w:rtl/>
        </w:rPr>
      </w:pPr>
    </w:p>
    <w:p w14:paraId="5C542A28" w14:textId="77777777" w:rsidR="0097796A" w:rsidRDefault="009132CB">
      <w:pPr>
        <w:spacing w:line="360" w:lineRule="auto"/>
        <w:ind w:left="1134" w:hanging="567"/>
        <w:jc w:val="both"/>
        <w:rPr>
          <w:sz w:val="22"/>
          <w:rtl/>
        </w:rPr>
      </w:pPr>
      <w:r>
        <w:rPr>
          <w:sz w:val="22"/>
          <w:rtl/>
        </w:rPr>
        <w:lastRenderedPageBreak/>
        <w:t>(ד)</w:t>
      </w:r>
      <w:r>
        <w:rPr>
          <w:sz w:val="22"/>
          <w:rtl/>
        </w:rPr>
        <w:tab/>
        <w:t>כל אחד מבאי כוח הצדדים הניח לפני</w:t>
      </w:r>
      <w:r>
        <w:rPr>
          <w:rFonts w:hint="cs"/>
          <w:sz w:val="22"/>
          <w:rtl/>
        </w:rPr>
        <w:t>י</w:t>
      </w:r>
      <w:r>
        <w:rPr>
          <w:sz w:val="22"/>
          <w:rtl/>
        </w:rPr>
        <w:t xml:space="preserve"> פסיקה התומכת בטענותיו, ומתחם העונש המתקבל מהפסיקה שהוגשה נעה בין מספר חודשים ועד מספר שנים. על כן, לאחר ששקלתי נסיבות העניין, ובשים לב לעקרון ההלימה, לסוג הנשק בו החזיק הנאשם לתקופה בה החזיק בו, ולצורך להרתיע את הנאשם מלעבור עבירות בעתיד כמו גם הצורך להרתיע את הרבים המסתובבים עם כלי נשק בישוב ג'סר א-זרקא, הנני סבור</w:t>
      </w:r>
      <w:r>
        <w:rPr>
          <w:rFonts w:hint="cs"/>
          <w:sz w:val="22"/>
          <w:rtl/>
        </w:rPr>
        <w:t xml:space="preserve">, </w:t>
      </w:r>
      <w:r>
        <w:rPr>
          <w:sz w:val="22"/>
          <w:rtl/>
        </w:rPr>
        <w:t>כי מתחם העונש ההולם במקרה שלפני</w:t>
      </w:r>
      <w:r>
        <w:rPr>
          <w:rFonts w:hint="cs"/>
          <w:sz w:val="22"/>
          <w:rtl/>
        </w:rPr>
        <w:t>י</w:t>
      </w:r>
      <w:r>
        <w:rPr>
          <w:sz w:val="22"/>
          <w:rtl/>
        </w:rPr>
        <w:t xml:space="preserve"> הוא בין שנת מאסר אחת ועד שלוש שנות מאסר בפועל.</w:t>
      </w:r>
    </w:p>
    <w:p w14:paraId="23E2375F" w14:textId="77777777" w:rsidR="0097796A" w:rsidRDefault="0097796A">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567" w:hanging="567"/>
        <w:jc w:val="both"/>
        <w:rPr>
          <w:rtl/>
        </w:rPr>
      </w:pPr>
    </w:p>
    <w:p w14:paraId="3872EE23" w14:textId="77777777" w:rsidR="0097796A" w:rsidRDefault="0097796A">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567" w:hanging="567"/>
        <w:jc w:val="both"/>
        <w:rPr>
          <w:rtl/>
        </w:rPr>
      </w:pPr>
    </w:p>
    <w:p w14:paraId="2C267827" w14:textId="77777777" w:rsidR="0097796A" w:rsidRDefault="009132CB">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567" w:hanging="567"/>
        <w:jc w:val="both"/>
        <w:rPr>
          <w:b/>
          <w:bCs/>
          <w:rtl/>
        </w:rPr>
      </w:pPr>
      <w:r>
        <w:rPr>
          <w:rtl/>
        </w:rPr>
        <w:t>8.</w:t>
      </w:r>
      <w:r>
        <w:rPr>
          <w:rtl/>
        </w:rPr>
        <w:tab/>
      </w:r>
      <w:r>
        <w:rPr>
          <w:b/>
          <w:bCs/>
          <w:rtl/>
        </w:rPr>
        <w:t>חריגה ממתחם העונש ההולם (סעיפים 40ה עד 40ז וסעיף 40יד(3) ל</w:t>
      </w:r>
      <w:hyperlink r:id="rId10" w:history="1">
        <w:r w:rsidRPr="009132CB">
          <w:rPr>
            <w:b/>
            <w:bCs/>
            <w:color w:val="0000FF"/>
            <w:u w:val="single"/>
            <w:rtl/>
          </w:rPr>
          <w:t>חוק העונשין</w:t>
        </w:r>
      </w:hyperlink>
      <w:r>
        <w:rPr>
          <w:b/>
          <w:bCs/>
          <w:rtl/>
        </w:rPr>
        <w:t>:</w:t>
      </w:r>
    </w:p>
    <w:p w14:paraId="5ADC35ED" w14:textId="77777777" w:rsidR="0097796A" w:rsidRDefault="0097796A">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567" w:hanging="567"/>
        <w:jc w:val="both"/>
        <w:rPr>
          <w:b/>
          <w:bCs/>
          <w:rtl/>
        </w:rPr>
      </w:pPr>
    </w:p>
    <w:p w14:paraId="4D0DA30F" w14:textId="77777777" w:rsidR="0097796A" w:rsidRDefault="009132CB">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1134" w:hanging="567"/>
        <w:jc w:val="both"/>
        <w:rPr>
          <w:rtl/>
        </w:rPr>
      </w:pPr>
      <w:r>
        <w:rPr>
          <w:rtl/>
        </w:rPr>
        <w:t>(א)</w:t>
      </w:r>
      <w:r>
        <w:rPr>
          <w:rtl/>
        </w:rPr>
        <w:tab/>
        <w:t>בית המשפט רשאי לחרוג לקולא ממתחם העונש ההולם שנקבע, מקום בו קיים סיכוי לשיקומו של הנאשם. עם זאת, מקום בו מעשה העבירה ומידת אשמו של הנאשם הם בעלי חומרה יתרה, אין לחרוג לקולא ממתחם העונש ההולם, אפילו השתקם הנאשם או שיש סיכוי של ממש שישתקם.</w:t>
      </w:r>
    </w:p>
    <w:p w14:paraId="1F3547C0" w14:textId="77777777" w:rsidR="0097796A" w:rsidRDefault="0097796A">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1134" w:hanging="567"/>
        <w:jc w:val="both"/>
        <w:rPr>
          <w:rtl/>
        </w:rPr>
      </w:pPr>
    </w:p>
    <w:p w14:paraId="5A0E474C" w14:textId="77777777" w:rsidR="0097796A" w:rsidRDefault="009132CB">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1134" w:hanging="567"/>
        <w:jc w:val="both"/>
        <w:rPr>
          <w:rtl/>
        </w:rPr>
      </w:pPr>
      <w:r>
        <w:rPr>
          <w:rtl/>
        </w:rPr>
        <w:t>(ב)</w:t>
      </w:r>
      <w:r>
        <w:rPr>
          <w:rtl/>
        </w:rPr>
        <w:tab/>
        <w:t>קצין המבחן אינו מצביע בתסקיר על אמצעי שיקום שניתן לנקוט בהם או על הליכים טיפוליים אחרים. נהפוך הוא, קצין המבחן סבור, שעל מנת למנוע הישנות העבירה בעתיד, יש להטיל על הנאשם "ענישה הרתעתית".</w:t>
      </w:r>
    </w:p>
    <w:p w14:paraId="70D21170" w14:textId="77777777" w:rsidR="0097796A" w:rsidRDefault="0097796A">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1134" w:hanging="567"/>
        <w:jc w:val="both"/>
        <w:rPr>
          <w:rtl/>
        </w:rPr>
      </w:pPr>
    </w:p>
    <w:p w14:paraId="45F3E5EE" w14:textId="77777777" w:rsidR="0097796A" w:rsidRDefault="009132CB">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1134" w:hanging="567"/>
        <w:jc w:val="both"/>
        <w:rPr>
          <w:rtl/>
        </w:rPr>
      </w:pPr>
      <w:r>
        <w:rPr>
          <w:rtl/>
        </w:rPr>
        <w:t>(ג)</w:t>
      </w:r>
      <w:r>
        <w:rPr>
          <w:rtl/>
        </w:rPr>
        <w:tab/>
        <w:t>על כן, אין מקום במקרה שלפנ</w:t>
      </w:r>
      <w:r>
        <w:rPr>
          <w:rFonts w:hint="cs"/>
          <w:rtl/>
        </w:rPr>
        <w:t>י</w:t>
      </w:r>
      <w:r>
        <w:rPr>
          <w:rtl/>
        </w:rPr>
        <w:t>י לסטות לקולה ממתחם העונש ההולם בשל אמצעי שיקום.</w:t>
      </w:r>
    </w:p>
    <w:p w14:paraId="38C8B932" w14:textId="77777777" w:rsidR="0097796A" w:rsidRDefault="0097796A">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1134" w:hanging="567"/>
        <w:jc w:val="both"/>
        <w:rPr>
          <w:rtl/>
        </w:rPr>
      </w:pPr>
    </w:p>
    <w:p w14:paraId="077595EC" w14:textId="77777777" w:rsidR="0097796A" w:rsidRDefault="0097796A">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567" w:hanging="567"/>
        <w:jc w:val="both"/>
        <w:rPr>
          <w:rtl/>
        </w:rPr>
      </w:pPr>
    </w:p>
    <w:p w14:paraId="450541A5" w14:textId="77777777" w:rsidR="0097796A" w:rsidRDefault="009132CB">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567" w:hanging="567"/>
        <w:jc w:val="both"/>
        <w:rPr>
          <w:b/>
          <w:bCs/>
          <w:rtl/>
        </w:rPr>
      </w:pPr>
      <w:r>
        <w:rPr>
          <w:rtl/>
        </w:rPr>
        <w:t>10.</w:t>
      </w:r>
      <w:r>
        <w:rPr>
          <w:rtl/>
        </w:rPr>
        <w:tab/>
      </w:r>
      <w:r>
        <w:rPr>
          <w:b/>
          <w:bCs/>
          <w:rtl/>
        </w:rPr>
        <w:t>קביעת העונש, ונסיבות שאינן קשורות בביצוע העבירה (סעיפים 40ג(ב), 40יא ו- 40יד(2) ל</w:t>
      </w:r>
      <w:hyperlink r:id="rId11" w:history="1">
        <w:r w:rsidRPr="009132CB">
          <w:rPr>
            <w:b/>
            <w:bCs/>
            <w:color w:val="0000FF"/>
            <w:u w:val="single"/>
            <w:rtl/>
          </w:rPr>
          <w:t>חוק העונשין</w:t>
        </w:r>
      </w:hyperlink>
      <w:r>
        <w:rPr>
          <w:b/>
          <w:bCs/>
          <w:rtl/>
        </w:rPr>
        <w:t>:</w:t>
      </w:r>
    </w:p>
    <w:p w14:paraId="75B438A5" w14:textId="77777777" w:rsidR="0097796A" w:rsidRDefault="0097796A">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567" w:hanging="567"/>
        <w:jc w:val="both"/>
        <w:rPr>
          <w:b/>
          <w:bCs/>
          <w:rtl/>
        </w:rPr>
      </w:pPr>
    </w:p>
    <w:p w14:paraId="1DEE0CC0" w14:textId="77777777" w:rsidR="0097796A" w:rsidRDefault="009132CB">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1134" w:hanging="567"/>
        <w:jc w:val="both"/>
        <w:rPr>
          <w:rtl/>
        </w:rPr>
      </w:pPr>
      <w:r>
        <w:rPr>
          <w:rtl/>
        </w:rPr>
        <w:t>(א)</w:t>
      </w:r>
      <w:r>
        <w:rPr>
          <w:rtl/>
        </w:rPr>
        <w:tab/>
        <w:t xml:space="preserve">הנאשם יליד שנת 1993, רווק, בוגר 12 שנות לימוד עם תעודת בגרות מלאה הלומד עתה מתמטיקה במכללה </w:t>
      </w:r>
      <w:r>
        <w:rPr>
          <w:rFonts w:hint="cs"/>
          <w:rtl/>
        </w:rPr>
        <w:t>בעיר</w:t>
      </w:r>
      <w:r>
        <w:rPr>
          <w:rtl/>
        </w:rPr>
        <w:t xml:space="preserve"> אום אל-פאחם, וללא הרשעות פליליות קודמות. נראה הדבר, שמדובר באדם המנהל אורח חיים נורמטיבי, המנסה לבנות את עתידו חרף הקשיים הס</w:t>
      </w:r>
      <w:r>
        <w:rPr>
          <w:rFonts w:hint="cs"/>
          <w:rtl/>
        </w:rPr>
        <w:t>ו</w:t>
      </w:r>
      <w:r>
        <w:rPr>
          <w:rtl/>
        </w:rPr>
        <w:t>ציו-אקונומיים במשפחת המוצא שלו. אודה, כי תסקיר המבחן קלקל במידת מה את התרשמותי מהנאשם.</w:t>
      </w:r>
    </w:p>
    <w:p w14:paraId="506BF080" w14:textId="77777777" w:rsidR="0097796A" w:rsidRDefault="0097796A">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1134" w:hanging="567"/>
        <w:jc w:val="both"/>
        <w:rPr>
          <w:rtl/>
        </w:rPr>
      </w:pPr>
    </w:p>
    <w:p w14:paraId="57F634AB" w14:textId="77777777" w:rsidR="0097796A" w:rsidRDefault="009132CB">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1134" w:hanging="567"/>
        <w:jc w:val="both"/>
        <w:rPr>
          <w:rtl/>
        </w:rPr>
      </w:pPr>
      <w:r>
        <w:rPr>
          <w:rtl/>
        </w:rPr>
        <w:t>(ב)</w:t>
      </w:r>
      <w:r>
        <w:rPr>
          <w:rtl/>
        </w:rPr>
        <w:tab/>
        <w:t xml:space="preserve">חרף הנסיבות </w:t>
      </w:r>
      <w:r>
        <w:rPr>
          <w:rFonts w:hint="cs"/>
          <w:rtl/>
        </w:rPr>
        <w:t>המקלות,</w:t>
      </w:r>
      <w:r>
        <w:rPr>
          <w:rtl/>
        </w:rPr>
        <w:t xml:space="preserve"> יש לזכור</w:t>
      </w:r>
      <w:r>
        <w:rPr>
          <w:rFonts w:hint="cs"/>
          <w:rtl/>
        </w:rPr>
        <w:t xml:space="preserve"> ש</w:t>
      </w:r>
      <w:r>
        <w:rPr>
          <w:rtl/>
        </w:rPr>
        <w:t>הנאשם החזיק בתת מקלע. הנאשם, בחור נבון ומשכיל,</w:t>
      </w:r>
      <w:r>
        <w:rPr>
          <w:rFonts w:hint="cs"/>
          <w:rtl/>
        </w:rPr>
        <w:t xml:space="preserve"> ידע והבין ככל הנראה</w:t>
      </w:r>
      <w:r>
        <w:rPr>
          <w:rtl/>
        </w:rPr>
        <w:t xml:space="preserve"> שהוא עושה מעשה אסור, ועד עתה לא עלה בידי</w:t>
      </w:r>
      <w:r>
        <w:rPr>
          <w:rFonts w:hint="cs"/>
          <w:rtl/>
        </w:rPr>
        <w:t>י</w:t>
      </w:r>
      <w:r>
        <w:rPr>
          <w:rtl/>
        </w:rPr>
        <w:t xml:space="preserve"> להבין, מדוע אדם החי חיים נורמטיביים, ולומד במכללה כדי לבנות את עתידו, יחזיק בכלי נשק שפגיעתו יכולה להיות קשה וקטלנית.</w:t>
      </w:r>
    </w:p>
    <w:p w14:paraId="1B4F599E" w14:textId="77777777" w:rsidR="0097796A" w:rsidRDefault="0097796A">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1134" w:hanging="567"/>
        <w:jc w:val="both"/>
        <w:rPr>
          <w:rtl/>
        </w:rPr>
      </w:pPr>
    </w:p>
    <w:p w14:paraId="4E2DBF8A" w14:textId="77777777" w:rsidR="0097796A" w:rsidRDefault="009132CB">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1134" w:hanging="567"/>
        <w:jc w:val="both"/>
        <w:rPr>
          <w:rtl/>
        </w:rPr>
      </w:pPr>
      <w:r>
        <w:rPr>
          <w:rtl/>
        </w:rPr>
        <w:t>(ג)</w:t>
      </w:r>
      <w:r>
        <w:rPr>
          <w:rtl/>
        </w:rPr>
        <w:tab/>
        <w:t>קצין המבחן אמנם המליץ על ענישה הרתעתית, אך יש להיזהר שהענישה לא תהיה הרתעתית מידי, כדי שלא לפגוע יתר על המידה בניסיונו של הנאשם לבנות את עתידו.</w:t>
      </w:r>
    </w:p>
    <w:p w14:paraId="4C19F35D" w14:textId="77777777" w:rsidR="0097796A" w:rsidRDefault="0097796A">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1134" w:hanging="567"/>
        <w:jc w:val="both"/>
        <w:rPr>
          <w:rtl/>
        </w:rPr>
      </w:pPr>
    </w:p>
    <w:p w14:paraId="1A9A15A6" w14:textId="77777777" w:rsidR="0097796A" w:rsidRDefault="009132CB">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1134" w:hanging="567"/>
        <w:jc w:val="both"/>
        <w:rPr>
          <w:rtl/>
        </w:rPr>
      </w:pPr>
      <w:r>
        <w:rPr>
          <w:rtl/>
        </w:rPr>
        <w:t>(ד)</w:t>
      </w:r>
      <w:r>
        <w:rPr>
          <w:rtl/>
        </w:rPr>
        <w:tab/>
        <w:t>על כן, הנני מחליט להשית על הנאשם עונש ברף הנמוך של מתחם העונש ההולם, דהיינו שנת מאסר בפועל, ולצדה מאסר על תנאי.</w:t>
      </w:r>
    </w:p>
    <w:p w14:paraId="243D3322" w14:textId="77777777" w:rsidR="0097796A" w:rsidRDefault="0097796A">
      <w:pPr>
        <w:spacing w:line="360" w:lineRule="auto"/>
        <w:ind w:left="567" w:hanging="567"/>
        <w:jc w:val="both"/>
        <w:rPr>
          <w:sz w:val="22"/>
          <w:rtl/>
        </w:rPr>
      </w:pPr>
    </w:p>
    <w:p w14:paraId="5ADF712C" w14:textId="77777777" w:rsidR="0097796A" w:rsidRDefault="0097796A">
      <w:pPr>
        <w:spacing w:line="360" w:lineRule="auto"/>
        <w:ind w:left="567" w:hanging="567"/>
        <w:jc w:val="both"/>
        <w:rPr>
          <w:sz w:val="22"/>
          <w:rtl/>
        </w:rPr>
      </w:pPr>
    </w:p>
    <w:p w14:paraId="49058C4F" w14:textId="77777777" w:rsidR="0097796A" w:rsidRDefault="009132CB">
      <w:pPr>
        <w:spacing w:line="360" w:lineRule="auto"/>
        <w:ind w:left="567" w:hanging="567"/>
        <w:jc w:val="both"/>
        <w:rPr>
          <w:b/>
          <w:bCs/>
          <w:sz w:val="22"/>
          <w:rtl/>
        </w:rPr>
      </w:pPr>
      <w:r>
        <w:rPr>
          <w:sz w:val="22"/>
          <w:rtl/>
        </w:rPr>
        <w:t>12.</w:t>
      </w:r>
      <w:r>
        <w:rPr>
          <w:sz w:val="22"/>
          <w:rtl/>
        </w:rPr>
        <w:tab/>
      </w:r>
      <w:r>
        <w:rPr>
          <w:b/>
          <w:bCs/>
          <w:sz w:val="22"/>
          <w:rtl/>
        </w:rPr>
        <w:t>אשר על כל האמור לעיל, הנני מחליט כדלקמן:</w:t>
      </w:r>
    </w:p>
    <w:p w14:paraId="74E49F0B" w14:textId="77777777" w:rsidR="0097796A" w:rsidRDefault="0097796A">
      <w:pPr>
        <w:spacing w:line="360" w:lineRule="auto"/>
        <w:ind w:left="567" w:hanging="567"/>
        <w:jc w:val="both"/>
        <w:rPr>
          <w:sz w:val="22"/>
          <w:rtl/>
        </w:rPr>
      </w:pPr>
    </w:p>
    <w:p w14:paraId="01B65BDE" w14:textId="77777777" w:rsidR="0097796A" w:rsidRDefault="009132CB">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1134" w:hanging="567"/>
        <w:jc w:val="both"/>
        <w:rPr>
          <w:rtl/>
        </w:rPr>
      </w:pPr>
      <w:r>
        <w:rPr>
          <w:rtl/>
        </w:rPr>
        <w:t>(א)</w:t>
      </w:r>
      <w:r>
        <w:rPr>
          <w:rtl/>
        </w:rPr>
        <w:tab/>
        <w:t>הנני דן את הנאשם ל- שנתיים מאסר, מתוכן שנה אחת לריצוי בפועל ושנה אחת לריצוי על תנאי, והתנאי הוא, שבמשך שלוש שנים לא יעבור הנאשם עבירה לפי סעיף 144 ל</w:t>
      </w:r>
      <w:hyperlink r:id="rId12" w:history="1">
        <w:r w:rsidRPr="009132CB">
          <w:rPr>
            <w:color w:val="0000FF"/>
            <w:u w:val="single"/>
            <w:rtl/>
          </w:rPr>
          <w:t>חוק העונשין</w:t>
        </w:r>
      </w:hyperlink>
      <w:r>
        <w:rPr>
          <w:rtl/>
        </w:rPr>
        <w:t>, תשל"ז - 1977.</w:t>
      </w:r>
    </w:p>
    <w:p w14:paraId="4BEEF24B" w14:textId="77777777" w:rsidR="0097796A" w:rsidRDefault="0097796A">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1134" w:hanging="567"/>
        <w:jc w:val="both"/>
        <w:rPr>
          <w:rtl/>
        </w:rPr>
      </w:pPr>
    </w:p>
    <w:p w14:paraId="28D20C41" w14:textId="77777777" w:rsidR="0097796A" w:rsidRDefault="009132CB">
      <w:pPr>
        <w:tabs>
          <w:tab w:val="left" w:pos="567"/>
          <w:tab w:val="left" w:pos="1134"/>
          <w:tab w:val="left" w:pos="1701"/>
          <w:tab w:val="left" w:pos="2268"/>
          <w:tab w:val="left" w:pos="2835"/>
          <w:tab w:val="left" w:pos="3402"/>
          <w:tab w:val="left" w:pos="3969"/>
          <w:tab w:val="left" w:pos="4535"/>
          <w:tab w:val="left" w:pos="5102"/>
          <w:tab w:val="left" w:pos="5669"/>
          <w:tab w:val="left" w:pos="6521"/>
          <w:tab w:val="left" w:pos="7088"/>
        </w:tabs>
        <w:spacing w:line="360" w:lineRule="auto"/>
        <w:ind w:left="1134" w:hanging="567"/>
        <w:jc w:val="both"/>
        <w:rPr>
          <w:rtl/>
        </w:rPr>
      </w:pPr>
      <w:r>
        <w:rPr>
          <w:rtl/>
        </w:rPr>
        <w:t>(ב)</w:t>
      </w:r>
      <w:r>
        <w:rPr>
          <w:rtl/>
        </w:rPr>
        <w:tab/>
        <w:t>מעונש המאסר שעל הנאשם לרצות בפועל לפי האמור בסעיף קטן (א) שלעיל, תנוכה התקופה שמיום 13.5.2013 ועד היום (ובסה"כ 141 ימים).</w:t>
      </w:r>
    </w:p>
    <w:p w14:paraId="1D2CDE66" w14:textId="77777777" w:rsidR="0097796A" w:rsidRDefault="0097796A">
      <w:pPr>
        <w:spacing w:line="360" w:lineRule="auto"/>
        <w:ind w:left="567" w:hanging="567"/>
        <w:jc w:val="both"/>
        <w:rPr>
          <w:rFonts w:ascii="Arial" w:hAnsi="Arial"/>
          <w:rtl/>
        </w:rPr>
      </w:pPr>
    </w:p>
    <w:p w14:paraId="5D5CBF27" w14:textId="77777777" w:rsidR="0097796A" w:rsidRDefault="009132CB">
      <w:pPr>
        <w:spacing w:line="360" w:lineRule="auto"/>
        <w:ind w:left="1134" w:hanging="567"/>
        <w:jc w:val="both"/>
        <w:rPr>
          <w:rFonts w:ascii="Arial" w:hAnsi="Arial"/>
          <w:rtl/>
        </w:rPr>
      </w:pPr>
      <w:r>
        <w:rPr>
          <w:rFonts w:ascii="Arial" w:hAnsi="Arial"/>
          <w:b/>
          <w:bCs/>
          <w:rtl/>
        </w:rPr>
        <w:t xml:space="preserve">ניתן היום,  כ"ו בתשרי התשע"ד , 30 ספטמבר 2013, והודע בפומבי. </w:t>
      </w:r>
    </w:p>
    <w:p w14:paraId="4A1E1BAD" w14:textId="77777777" w:rsidR="0097796A" w:rsidRDefault="009132CB">
      <w:pPr>
        <w:spacing w:line="360" w:lineRule="auto"/>
        <w:ind w:left="567"/>
        <w:jc w:val="both"/>
        <w:rPr>
          <w:rtl/>
        </w:rPr>
      </w:pPr>
      <w:r>
        <w:rPr>
          <w:rFonts w:ascii="Arial" w:hAnsi="Arial"/>
          <w:rtl/>
        </w:rPr>
        <w:t xml:space="preserve">והודע לצדדים כי הם זכאים לערער על פסק הדין בתוך 45 ימים מהיום בפני בית המשפט העליון </w:t>
      </w:r>
      <w:r>
        <w:rPr>
          <w:rFonts w:ascii="Arial" w:hAnsi="Arial" w:hint="cs"/>
          <w:rtl/>
        </w:rPr>
        <w:t>בירושלים.</w:t>
      </w: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01893E5" w14:textId="77777777" w:rsidR="0097796A" w:rsidRPr="009132CB" w:rsidRDefault="009132CB">
      <w:pPr>
        <w:jc w:val="right"/>
        <w:rPr>
          <w:color w:val="FFFFFF"/>
          <w:sz w:val="2"/>
          <w:szCs w:val="2"/>
          <w:rtl/>
        </w:rPr>
      </w:pPr>
      <w:r w:rsidRPr="009132CB">
        <w:rPr>
          <w:color w:val="FFFFFF"/>
          <w:sz w:val="2"/>
          <w:szCs w:val="2"/>
          <w:rtl/>
        </w:rPr>
        <w:t>5129371</w:t>
      </w:r>
    </w:p>
    <w:tbl>
      <w:tblPr>
        <w:bidiVisual/>
        <w:tblW w:w="0" w:type="auto"/>
        <w:jc w:val="right"/>
        <w:tblLook w:val="01E0" w:firstRow="1" w:lastRow="1" w:firstColumn="1" w:lastColumn="1" w:noHBand="0" w:noVBand="0"/>
      </w:tblPr>
      <w:tblGrid>
        <w:gridCol w:w="2576"/>
      </w:tblGrid>
      <w:tr w:rsidR="0097796A" w14:paraId="575B16B0" w14:textId="77777777">
        <w:trPr>
          <w:jc w:val="right"/>
        </w:trPr>
        <w:tc>
          <w:tcPr>
            <w:tcW w:w="2576" w:type="dxa"/>
            <w:tcBorders>
              <w:top w:val="nil"/>
              <w:left w:val="nil"/>
              <w:bottom w:val="single" w:sz="4" w:space="0" w:color="auto"/>
              <w:right w:val="nil"/>
            </w:tcBorders>
            <w:vAlign w:val="bottom"/>
          </w:tcPr>
          <w:p w14:paraId="49EE55B6" w14:textId="77777777" w:rsidR="0097796A" w:rsidRPr="009132CB" w:rsidRDefault="009132CB">
            <w:pPr>
              <w:jc w:val="center"/>
              <w:rPr>
                <w:rFonts w:ascii="Courier New" w:hAnsi="Courier New"/>
                <w:b/>
                <w:bCs/>
                <w:color w:val="FFFFFF"/>
                <w:sz w:val="2"/>
                <w:szCs w:val="2"/>
                <w:rtl/>
              </w:rPr>
            </w:pPr>
            <w:r w:rsidRPr="009132CB">
              <w:rPr>
                <w:rFonts w:ascii="Courier New" w:hAnsi="Courier New"/>
                <w:b/>
                <w:bCs/>
                <w:color w:val="FFFFFF"/>
                <w:sz w:val="2"/>
                <w:szCs w:val="2"/>
                <w:rtl/>
              </w:rPr>
              <w:t>54678313</w:t>
            </w:r>
          </w:p>
        </w:tc>
      </w:tr>
      <w:tr w:rsidR="0097796A" w14:paraId="09974AFF" w14:textId="77777777">
        <w:trPr>
          <w:jc w:val="right"/>
        </w:trPr>
        <w:tc>
          <w:tcPr>
            <w:tcW w:w="2576" w:type="dxa"/>
            <w:tcBorders>
              <w:top w:val="single" w:sz="4" w:space="0" w:color="auto"/>
              <w:left w:val="nil"/>
              <w:bottom w:val="nil"/>
              <w:right w:val="nil"/>
            </w:tcBorders>
          </w:tcPr>
          <w:p w14:paraId="5C8230CF" w14:textId="77777777" w:rsidR="0097796A" w:rsidRDefault="009132CB">
            <w:pPr>
              <w:spacing w:line="360" w:lineRule="auto"/>
              <w:jc w:val="center"/>
              <w:rPr>
                <w:b/>
                <w:bCs/>
              </w:rPr>
            </w:pPr>
            <w:r>
              <w:rPr>
                <w:rFonts w:hint="cs"/>
                <w:b/>
                <w:bCs/>
                <w:rtl/>
              </w:rPr>
              <w:t>י' כהן, שופט</w:t>
            </w:r>
          </w:p>
        </w:tc>
      </w:tr>
    </w:tbl>
    <w:p w14:paraId="0C24CB4B" w14:textId="77777777" w:rsidR="0097796A" w:rsidRPr="003D7B90" w:rsidRDefault="003D7B90">
      <w:pPr>
        <w:jc w:val="right"/>
        <w:rPr>
          <w:color w:val="FFFFFF"/>
          <w:sz w:val="2"/>
          <w:szCs w:val="2"/>
          <w:rtl/>
        </w:rPr>
      </w:pPr>
      <w:r w:rsidRPr="003D7B90">
        <w:rPr>
          <w:color w:val="FFFFFF"/>
          <w:sz w:val="2"/>
          <w:szCs w:val="2"/>
          <w:rtl/>
        </w:rPr>
        <w:t>5129371</w:t>
      </w:r>
    </w:p>
    <w:p w14:paraId="7A97A7A0" w14:textId="77777777" w:rsidR="009132CB" w:rsidRPr="003D7B90" w:rsidRDefault="003D7B90" w:rsidP="009132CB">
      <w:pPr>
        <w:keepNext/>
        <w:rPr>
          <w:rFonts w:ascii="David" w:hAnsi="David"/>
          <w:color w:val="FFFFFF"/>
          <w:sz w:val="2"/>
          <w:szCs w:val="2"/>
          <w:rtl/>
        </w:rPr>
      </w:pPr>
      <w:r w:rsidRPr="003D7B90">
        <w:rPr>
          <w:rFonts w:ascii="David" w:hAnsi="David"/>
          <w:color w:val="FFFFFF"/>
          <w:sz w:val="2"/>
          <w:szCs w:val="2"/>
          <w:rtl/>
        </w:rPr>
        <w:t>54678313</w:t>
      </w:r>
    </w:p>
    <w:p w14:paraId="2706ABD9" w14:textId="77777777" w:rsidR="009132CB" w:rsidRDefault="009132CB" w:rsidP="009132CB">
      <w:pPr>
        <w:rPr>
          <w:rtl/>
        </w:rPr>
      </w:pPr>
    </w:p>
    <w:p w14:paraId="45FB6E16" w14:textId="77777777" w:rsidR="009132CB" w:rsidRDefault="009132CB" w:rsidP="009132CB">
      <w:pPr>
        <w:jc w:val="center"/>
        <w:rPr>
          <w:color w:val="0000FF"/>
          <w:u w:val="single"/>
        </w:rPr>
      </w:pPr>
      <w:hyperlink r:id="rId13" w:history="1">
        <w:r>
          <w:rPr>
            <w:color w:val="0000FF"/>
            <w:u w:val="single"/>
            <w:rtl/>
          </w:rPr>
          <w:t>בעניין עריכה ושינויים במסמכי פסיקה, חקיקה ועוד באתר נבו – הקש כאן</w:t>
        </w:r>
      </w:hyperlink>
    </w:p>
    <w:p w14:paraId="59BB1C0E" w14:textId="77777777" w:rsidR="003D7B90" w:rsidRPr="003D7B90" w:rsidRDefault="003D7B90" w:rsidP="003D7B90">
      <w:pPr>
        <w:keepNext/>
        <w:rPr>
          <w:rFonts w:ascii="David" w:hAnsi="David"/>
          <w:color w:val="000000"/>
          <w:sz w:val="22"/>
          <w:szCs w:val="22"/>
          <w:rtl/>
        </w:rPr>
      </w:pPr>
    </w:p>
    <w:p w14:paraId="7A302BA9" w14:textId="77777777" w:rsidR="003D7B90" w:rsidRPr="003D7B90" w:rsidRDefault="003D7B90" w:rsidP="003D7B90">
      <w:pPr>
        <w:keepNext/>
        <w:rPr>
          <w:rFonts w:ascii="David" w:hAnsi="David"/>
          <w:color w:val="000000"/>
          <w:sz w:val="22"/>
          <w:szCs w:val="22"/>
          <w:rtl/>
        </w:rPr>
      </w:pPr>
      <w:r w:rsidRPr="003D7B90">
        <w:rPr>
          <w:rFonts w:ascii="David" w:hAnsi="David"/>
          <w:color w:val="000000"/>
          <w:sz w:val="22"/>
          <w:szCs w:val="22"/>
          <w:rtl/>
        </w:rPr>
        <w:t>יצחק כהן 54678313-/</w:t>
      </w:r>
    </w:p>
    <w:p w14:paraId="2507E5C9" w14:textId="77777777" w:rsidR="0097796A" w:rsidRPr="009132CB" w:rsidRDefault="003D7B90" w:rsidP="003D7B90">
      <w:pPr>
        <w:rPr>
          <w:color w:val="0000FF"/>
          <w:u w:val="single"/>
        </w:rPr>
      </w:pPr>
      <w:r w:rsidRPr="003D7B90">
        <w:rPr>
          <w:color w:val="000000"/>
          <w:u w:val="single"/>
          <w:rtl/>
        </w:rPr>
        <w:t>נוסח מסמך זה כפוף לשינויי ניסוח ועריכה</w:t>
      </w:r>
    </w:p>
    <w:sectPr w:rsidR="0097796A" w:rsidRPr="009132CB" w:rsidSect="003D7B90">
      <w:headerReference w:type="even" r:id="rId14"/>
      <w:headerReference w:type="default" r:id="rId15"/>
      <w:footerReference w:type="even" r:id="rId16"/>
      <w:footerReference w:type="default" r:id="rId17"/>
      <w:pgSz w:w="11907" w:h="16840" w:code="9"/>
      <w:pgMar w:top="1701" w:right="1134" w:bottom="1276" w:left="1701" w:header="680"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56AEC5" w14:textId="77777777" w:rsidR="004C531C" w:rsidRPr="001D0495" w:rsidRDefault="004C531C">
      <w:pPr>
        <w:rPr>
          <w:rFonts w:cs="Arial"/>
          <w:szCs w:val="20"/>
        </w:rPr>
      </w:pPr>
      <w:r>
        <w:separator/>
      </w:r>
    </w:p>
  </w:endnote>
  <w:endnote w:type="continuationSeparator" w:id="0">
    <w:p w14:paraId="04DEEF4C" w14:textId="77777777" w:rsidR="004C531C" w:rsidRPr="001D0495" w:rsidRDefault="004C531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E9AFB" w14:textId="77777777" w:rsidR="003D7B90" w:rsidRDefault="003D7B90" w:rsidP="003D7B9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EEC5CE3" w14:textId="77777777" w:rsidR="0097796A" w:rsidRPr="003D7B90" w:rsidRDefault="003D7B90" w:rsidP="003D7B90">
    <w:pPr>
      <w:pStyle w:val="a4"/>
      <w:pBdr>
        <w:top w:val="single" w:sz="4" w:space="1" w:color="auto"/>
        <w:between w:val="single" w:sz="4" w:space="0" w:color="auto"/>
      </w:pBdr>
      <w:spacing w:after="60"/>
      <w:jc w:val="center"/>
      <w:rPr>
        <w:rFonts w:ascii="FrankRuehl" w:hAnsi="FrankRuehl" w:cs="FrankRuehl"/>
        <w:color w:val="000000"/>
      </w:rPr>
    </w:pPr>
    <w:r w:rsidRPr="003D7B9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76E4C" w14:textId="77777777" w:rsidR="003D7B90" w:rsidRDefault="003D7B90" w:rsidP="003D7B9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B31D5">
      <w:rPr>
        <w:rFonts w:ascii="FrankRuehl" w:hAnsi="FrankRuehl" w:cs="FrankRuehl"/>
        <w:noProof/>
        <w:rtl/>
      </w:rPr>
      <w:t>1</w:t>
    </w:r>
    <w:r>
      <w:rPr>
        <w:rFonts w:ascii="FrankRuehl" w:hAnsi="FrankRuehl" w:cs="FrankRuehl"/>
        <w:rtl/>
      </w:rPr>
      <w:fldChar w:fldCharType="end"/>
    </w:r>
  </w:p>
  <w:p w14:paraId="347F37DF" w14:textId="77777777" w:rsidR="0097796A" w:rsidRPr="003D7B90" w:rsidRDefault="003D7B90" w:rsidP="003D7B90">
    <w:pPr>
      <w:pStyle w:val="a4"/>
      <w:pBdr>
        <w:top w:val="single" w:sz="4" w:space="1" w:color="auto"/>
        <w:between w:val="single" w:sz="4" w:space="0" w:color="auto"/>
      </w:pBdr>
      <w:spacing w:after="60"/>
      <w:jc w:val="center"/>
      <w:rPr>
        <w:rFonts w:ascii="FrankRuehl" w:hAnsi="FrankRuehl" w:cs="FrankRuehl"/>
        <w:color w:val="000000"/>
      </w:rPr>
    </w:pPr>
    <w:r w:rsidRPr="003D7B90">
      <w:rPr>
        <w:rFonts w:ascii="FrankRuehl" w:hAnsi="FrankRuehl" w:cs="FrankRuehl"/>
        <w:color w:val="000000"/>
      </w:rPr>
      <w:pict w14:anchorId="4B3A90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4B40B4" w14:textId="77777777" w:rsidR="004C531C" w:rsidRPr="001D0495" w:rsidRDefault="004C531C">
      <w:pPr>
        <w:rPr>
          <w:rFonts w:cs="Arial"/>
          <w:szCs w:val="20"/>
        </w:rPr>
      </w:pPr>
      <w:r>
        <w:separator/>
      </w:r>
    </w:p>
  </w:footnote>
  <w:footnote w:type="continuationSeparator" w:id="0">
    <w:p w14:paraId="189D1083" w14:textId="77777777" w:rsidR="004C531C" w:rsidRPr="001D0495" w:rsidRDefault="004C531C">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F07EE" w14:textId="77777777" w:rsidR="009132CB" w:rsidRPr="003D7B90" w:rsidRDefault="003D7B90" w:rsidP="003D7B9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13-05-32</w:t>
    </w:r>
    <w:r>
      <w:rPr>
        <w:rFonts w:ascii="David" w:hAnsi="David"/>
        <w:color w:val="000000"/>
        <w:sz w:val="22"/>
        <w:szCs w:val="22"/>
        <w:rtl/>
      </w:rPr>
      <w:tab/>
      <w:t xml:space="preserve"> מדינת ישראל נ' מחמד (בן עאדל) עמאש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6B087" w14:textId="77777777" w:rsidR="009132CB" w:rsidRPr="003D7B90" w:rsidRDefault="003D7B90" w:rsidP="003D7B9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13-05-32</w:t>
    </w:r>
    <w:r>
      <w:rPr>
        <w:rFonts w:ascii="David" w:hAnsi="David"/>
        <w:color w:val="000000"/>
        <w:sz w:val="22"/>
        <w:szCs w:val="22"/>
        <w:rtl/>
      </w:rPr>
      <w:tab/>
      <w:t xml:space="preserve"> מדינת ישראל נ' מחמד (בן עאדל) עמאש</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7796A"/>
    <w:rsid w:val="003D7B90"/>
    <w:rsid w:val="0044178A"/>
    <w:rsid w:val="004C531C"/>
    <w:rsid w:val="009132CB"/>
    <w:rsid w:val="0097796A"/>
    <w:rsid w:val="00DB31D5"/>
    <w:rsid w:val="00FC2F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BA28CF4"/>
  <w15:chartTrackingRefBased/>
  <w15:docId w15:val="{614FDAC0-8C0D-4ABF-B3C8-D139DF0A8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7796A"/>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7796A"/>
    <w:pPr>
      <w:tabs>
        <w:tab w:val="center" w:pos="4153"/>
        <w:tab w:val="right" w:pos="8306"/>
      </w:tabs>
    </w:pPr>
  </w:style>
  <w:style w:type="paragraph" w:styleId="a4">
    <w:name w:val="footer"/>
    <w:basedOn w:val="a"/>
    <w:rsid w:val="0097796A"/>
    <w:pPr>
      <w:tabs>
        <w:tab w:val="center" w:pos="4153"/>
        <w:tab w:val="right" w:pos="8306"/>
      </w:tabs>
    </w:pPr>
  </w:style>
  <w:style w:type="character" w:styleId="a5">
    <w:name w:val="page number"/>
    <w:basedOn w:val="a0"/>
    <w:rsid w:val="0097796A"/>
  </w:style>
  <w:style w:type="character" w:styleId="a6">
    <w:name w:val="line number"/>
    <w:basedOn w:val="a0"/>
    <w:rsid w:val="0097796A"/>
  </w:style>
  <w:style w:type="character" w:styleId="Hyperlink">
    <w:name w:val="Hyperlink"/>
    <w:basedOn w:val="a0"/>
    <w:rsid w:val="009132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html/law01/073_002.htm"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html/law01/073_002.htm" TargetMode="External"/><Relationship Id="rId12" Type="http://schemas.openxmlformats.org/officeDocument/2006/relationships/hyperlink" Target="http://www.nevo.co.il/law_html/law01/073_002.htm"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html/law01/073_002.htm" TargetMode="External"/><Relationship Id="rId11" Type="http://schemas.openxmlformats.org/officeDocument/2006/relationships/hyperlink" Target="http://www.nevo.co.il/law_html/law01/073_002.htm"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_html/law01/073_002.htm"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inks/psika/?link=&#1506;&#1508;%201323/13"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1092</Words>
  <Characters>5461</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6540</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3932214</vt:i4>
      </vt:variant>
      <vt:variant>
        <vt:i4>18</vt:i4>
      </vt:variant>
      <vt:variant>
        <vt:i4>0</vt:i4>
      </vt:variant>
      <vt:variant>
        <vt:i4>5</vt:i4>
      </vt:variant>
      <vt:variant>
        <vt:lpwstr>http://www.nevo.co.il/law_html/law01/073_002.htm</vt:lpwstr>
      </vt:variant>
      <vt:variant>
        <vt:lpwstr/>
      </vt:variant>
      <vt:variant>
        <vt:i4>3932214</vt:i4>
      </vt:variant>
      <vt:variant>
        <vt:i4>15</vt:i4>
      </vt:variant>
      <vt:variant>
        <vt:i4>0</vt:i4>
      </vt:variant>
      <vt:variant>
        <vt:i4>5</vt:i4>
      </vt:variant>
      <vt:variant>
        <vt:lpwstr>http://www.nevo.co.il/law_html/law01/073_002.htm</vt:lpwstr>
      </vt:variant>
      <vt:variant>
        <vt:lpwstr/>
      </vt:variant>
      <vt:variant>
        <vt:i4>3932214</vt:i4>
      </vt:variant>
      <vt:variant>
        <vt:i4>12</vt:i4>
      </vt:variant>
      <vt:variant>
        <vt:i4>0</vt:i4>
      </vt:variant>
      <vt:variant>
        <vt:i4>5</vt:i4>
      </vt:variant>
      <vt:variant>
        <vt:lpwstr>http://www.nevo.co.il/law_html/law01/073_002.htm</vt:lpwstr>
      </vt:variant>
      <vt:variant>
        <vt:lpwstr/>
      </vt:variant>
      <vt:variant>
        <vt:i4>99222972</vt:i4>
      </vt:variant>
      <vt:variant>
        <vt:i4>9</vt:i4>
      </vt:variant>
      <vt:variant>
        <vt:i4>0</vt:i4>
      </vt:variant>
      <vt:variant>
        <vt:i4>5</vt:i4>
      </vt:variant>
      <vt:variant>
        <vt:lpwstr>http://www.nevo.co.il/links/psika/?link=עפ 1323/13</vt:lpwstr>
      </vt:variant>
      <vt:variant>
        <vt:lpwstr/>
      </vt:variant>
      <vt:variant>
        <vt:i4>3932214</vt:i4>
      </vt:variant>
      <vt:variant>
        <vt:i4>6</vt:i4>
      </vt:variant>
      <vt:variant>
        <vt:i4>0</vt:i4>
      </vt:variant>
      <vt:variant>
        <vt:i4>5</vt:i4>
      </vt:variant>
      <vt:variant>
        <vt:lpwstr>http://www.nevo.co.il/law_html/law01/073_002.htm</vt:lpwstr>
      </vt:variant>
      <vt:variant>
        <vt:lpwstr/>
      </vt:variant>
      <vt:variant>
        <vt:i4>3932214</vt:i4>
      </vt:variant>
      <vt:variant>
        <vt:i4>3</vt:i4>
      </vt:variant>
      <vt:variant>
        <vt:i4>0</vt:i4>
      </vt:variant>
      <vt:variant>
        <vt:i4>5</vt:i4>
      </vt:variant>
      <vt:variant>
        <vt:lpwstr>http://www.nevo.co.il/law_html/law01/073_002.htm</vt:lpwstr>
      </vt:variant>
      <vt:variant>
        <vt:lpwstr/>
      </vt:variant>
      <vt:variant>
        <vt:i4>3932214</vt:i4>
      </vt:variant>
      <vt:variant>
        <vt:i4>0</vt:i4>
      </vt:variant>
      <vt:variant>
        <vt:i4>0</vt:i4>
      </vt:variant>
      <vt:variant>
        <vt:i4>5</vt:i4>
      </vt:variant>
      <vt:variant>
        <vt:lpwstr>http://www.nevo.co.il/law_html/law01/073_002.htm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2025-01-19T17:09:00Z</dcterms:created>
  <dcterms:modified xsi:type="dcterms:W3CDTF">2025-01-19T17:09:00Z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vt:lpwstr>
  </property>
  <property fmtid="{D5CDD505-2E9C-101B-9397-08002B2CF9AE}" pid="6" name="NEWPARTB">
    <vt:lpwstr>05</vt:lpwstr>
  </property>
  <property fmtid="{D5CDD505-2E9C-101B-9397-08002B2CF9AE}" pid="7" name="NEWPARTC">
    <vt:lpwstr>32</vt:lpwstr>
  </property>
  <property fmtid="{D5CDD505-2E9C-101B-9397-08002B2CF9AE}" pid="8" name="APPELLEE">
    <vt:lpwstr>מחמד (בן עאדל) עמאש</vt:lpwstr>
  </property>
  <property fmtid="{D5CDD505-2E9C-101B-9397-08002B2CF9AE}" pid="9" name="LAWYER">
    <vt:lpwstr>שונית קדם;עאדל בויראת</vt:lpwstr>
  </property>
  <property fmtid="{D5CDD505-2E9C-101B-9397-08002B2CF9AE}" pid="10" name="JUDGE">
    <vt:lpwstr>יצחק כהן</vt:lpwstr>
  </property>
  <property fmtid="{D5CDD505-2E9C-101B-9397-08002B2CF9AE}" pid="11" name="CITY">
    <vt:lpwstr>חי'</vt:lpwstr>
  </property>
  <property fmtid="{D5CDD505-2E9C-101B-9397-08002B2CF9AE}" pid="12" name="DATE">
    <vt:lpwstr>20130930</vt:lpwstr>
  </property>
  <property fmtid="{D5CDD505-2E9C-101B-9397-08002B2CF9AE}" pid="13" name="TYPE_N_DATE">
    <vt:lpwstr>39020130930</vt:lpwstr>
  </property>
  <property fmtid="{D5CDD505-2E9C-101B-9397-08002B2CF9AE}" pid="14" name="WORDNUMPAGES">
    <vt:lpwstr>4</vt:lpwstr>
  </property>
  <property fmtid="{D5CDD505-2E9C-101B-9397-08002B2CF9AE}" pid="15" name="TYPE_ABS_DATE">
    <vt:lpwstr>390020130930</vt:lpwstr>
  </property>
  <property fmtid="{D5CDD505-2E9C-101B-9397-08002B2CF9AE}" pid="16" name="ISABSTRACT">
    <vt:lpwstr>Y</vt:lpwstr>
  </property>
  <property fmtid="{D5CDD505-2E9C-101B-9397-08002B2CF9AE}" pid="17" name="APPELLANT">
    <vt:lpwstr>מדינת ישראל</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ies>
</file>