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921FE5" w:rsidRPr="0009236D" w14:paraId="6809EC35" w14:textId="77777777">
        <w:trPr>
          <w:trHeight w:hRule="exact" w:val="418"/>
          <w:jc w:val="center"/>
        </w:trPr>
        <w:tc>
          <w:tcPr>
            <w:tcW w:w="8721" w:type="dxa"/>
            <w:gridSpan w:val="2"/>
          </w:tcPr>
          <w:p w14:paraId="5BA1C4DB" w14:textId="77777777" w:rsidR="00921FE5" w:rsidRPr="0009236D" w:rsidRDefault="0009236D">
            <w:pPr>
              <w:pStyle w:val="a3"/>
              <w:jc w:val="center"/>
              <w:rPr>
                <w:rFonts w:ascii="Tahoma" w:hAnsi="Tahoma" w:cs="Tahoma"/>
                <w:color w:val="000080"/>
                <w:rtl/>
              </w:rPr>
            </w:pPr>
            <w:bookmarkStart w:id="0" w:name="LastJudge"/>
            <w:r w:rsidRPr="0009236D">
              <w:rPr>
                <w:rFonts w:ascii="Tahoma" w:hAnsi="Tahoma" w:cs="Tahoma"/>
                <w:b/>
                <w:bCs/>
                <w:color w:val="000080"/>
                <w:rtl/>
              </w:rPr>
              <w:t>בית משפט השלום בתל אביב - יפו</w:t>
            </w:r>
          </w:p>
        </w:tc>
      </w:tr>
      <w:tr w:rsidR="00921FE5" w:rsidRPr="0009236D" w14:paraId="08315F70" w14:textId="77777777">
        <w:trPr>
          <w:trHeight w:val="337"/>
          <w:jc w:val="center"/>
        </w:trPr>
        <w:tc>
          <w:tcPr>
            <w:tcW w:w="5049" w:type="dxa"/>
          </w:tcPr>
          <w:p w14:paraId="5FB7A79C" w14:textId="77777777" w:rsidR="00921FE5" w:rsidRPr="0009236D" w:rsidRDefault="0009236D">
            <w:pPr>
              <w:rPr>
                <w:rFonts w:cs="FrankRuehl"/>
                <w:sz w:val="28"/>
                <w:szCs w:val="28"/>
                <w:rtl/>
              </w:rPr>
            </w:pPr>
            <w:r w:rsidRPr="0009236D">
              <w:rPr>
                <w:rFonts w:cs="FrankRuehl"/>
                <w:sz w:val="28"/>
                <w:szCs w:val="28"/>
                <w:rtl/>
              </w:rPr>
              <w:t>ת"פ</w:t>
            </w:r>
            <w:r w:rsidRPr="0009236D">
              <w:rPr>
                <w:rFonts w:cs="FrankRuehl" w:hint="cs"/>
                <w:sz w:val="28"/>
                <w:szCs w:val="28"/>
                <w:rtl/>
              </w:rPr>
              <w:t xml:space="preserve"> </w:t>
            </w:r>
            <w:r w:rsidRPr="0009236D">
              <w:rPr>
                <w:rFonts w:cs="FrankRuehl"/>
                <w:sz w:val="28"/>
                <w:szCs w:val="28"/>
                <w:rtl/>
              </w:rPr>
              <w:t>4051-09</w:t>
            </w:r>
            <w:r w:rsidRPr="0009236D">
              <w:rPr>
                <w:rFonts w:cs="FrankRuehl" w:hint="cs"/>
                <w:sz w:val="28"/>
                <w:szCs w:val="28"/>
                <w:rtl/>
              </w:rPr>
              <w:t xml:space="preserve"> </w:t>
            </w:r>
            <w:r w:rsidRPr="0009236D">
              <w:rPr>
                <w:rFonts w:cs="FrankRuehl"/>
                <w:sz w:val="28"/>
                <w:szCs w:val="28"/>
                <w:rtl/>
              </w:rPr>
              <w:t>מ.י. מדור תביעות פלילי ת"א נ' לוי</w:t>
            </w:r>
          </w:p>
          <w:p w14:paraId="23A5FD44" w14:textId="77777777" w:rsidR="00921FE5" w:rsidRPr="0009236D" w:rsidRDefault="00921FE5">
            <w:pPr>
              <w:pStyle w:val="a3"/>
              <w:rPr>
                <w:rFonts w:cs="FrankRuehl"/>
                <w:sz w:val="28"/>
                <w:szCs w:val="28"/>
                <w:rtl/>
              </w:rPr>
            </w:pPr>
          </w:p>
          <w:p w14:paraId="31F1DB44" w14:textId="77777777" w:rsidR="00921FE5" w:rsidRPr="0009236D" w:rsidRDefault="00921FE5"/>
        </w:tc>
        <w:tc>
          <w:tcPr>
            <w:tcW w:w="3672" w:type="dxa"/>
          </w:tcPr>
          <w:p w14:paraId="26759712" w14:textId="77777777" w:rsidR="00921FE5" w:rsidRPr="0009236D" w:rsidRDefault="0009236D">
            <w:pPr>
              <w:pStyle w:val="a3"/>
              <w:jc w:val="right"/>
              <w:rPr>
                <w:rFonts w:cs="FrankRuehl"/>
                <w:sz w:val="28"/>
                <w:szCs w:val="28"/>
                <w:rtl/>
              </w:rPr>
            </w:pPr>
            <w:r w:rsidRPr="0009236D">
              <w:rPr>
                <w:rFonts w:cs="FrankRuehl" w:hint="cs"/>
                <w:sz w:val="28"/>
                <w:szCs w:val="28"/>
                <w:rtl/>
              </w:rPr>
              <w:t>19</w:t>
            </w:r>
            <w:r w:rsidRPr="0009236D">
              <w:rPr>
                <w:rFonts w:cs="FrankRuehl"/>
                <w:sz w:val="28"/>
                <w:szCs w:val="28"/>
                <w:rtl/>
              </w:rPr>
              <w:t xml:space="preserve"> מרץ 2013</w:t>
            </w:r>
          </w:p>
        </w:tc>
      </w:tr>
    </w:tbl>
    <w:p w14:paraId="6927139E" w14:textId="77777777" w:rsidR="00921FE5" w:rsidRPr="0009236D" w:rsidRDefault="0009236D">
      <w:pPr>
        <w:pStyle w:val="a3"/>
        <w:rPr>
          <w:rtl/>
        </w:rPr>
      </w:pPr>
      <w:r w:rsidRPr="0009236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21FE5" w:rsidRPr="0009236D" w14:paraId="259A31CD" w14:textId="77777777">
        <w:trPr>
          <w:trHeight w:val="295"/>
          <w:jc w:val="center"/>
        </w:trPr>
        <w:tc>
          <w:tcPr>
            <w:tcW w:w="923" w:type="dxa"/>
            <w:tcBorders>
              <w:top w:val="nil"/>
              <w:left w:val="nil"/>
              <w:bottom w:val="nil"/>
              <w:right w:val="nil"/>
            </w:tcBorders>
          </w:tcPr>
          <w:p w14:paraId="1B287CA0" w14:textId="77777777" w:rsidR="00921FE5" w:rsidRPr="0009236D" w:rsidRDefault="0009236D">
            <w:pPr>
              <w:jc w:val="both"/>
              <w:rPr>
                <w:rFonts w:ascii="Arial" w:hAnsi="Arial" w:cs="FrankRuehl"/>
                <w:sz w:val="28"/>
                <w:szCs w:val="28"/>
              </w:rPr>
            </w:pPr>
            <w:r w:rsidRPr="0009236D">
              <w:rPr>
                <w:rFonts w:ascii="Arial" w:hAnsi="Arial" w:cs="FrankRuehl" w:hint="cs"/>
                <w:sz w:val="28"/>
                <w:szCs w:val="28"/>
                <w:rtl/>
              </w:rPr>
              <w:t>ב</w:t>
            </w:r>
            <w:r w:rsidRPr="0009236D">
              <w:rPr>
                <w:rFonts w:ascii="Arial" w:hAnsi="Arial" w:cs="FrankRuehl"/>
                <w:sz w:val="28"/>
                <w:szCs w:val="28"/>
                <w:rtl/>
              </w:rPr>
              <w:t xml:space="preserve">פני </w:t>
            </w:r>
          </w:p>
        </w:tc>
        <w:tc>
          <w:tcPr>
            <w:tcW w:w="7897" w:type="dxa"/>
            <w:gridSpan w:val="2"/>
            <w:tcBorders>
              <w:top w:val="nil"/>
              <w:left w:val="nil"/>
              <w:bottom w:val="nil"/>
              <w:right w:val="nil"/>
            </w:tcBorders>
          </w:tcPr>
          <w:p w14:paraId="7B41D300" w14:textId="77777777" w:rsidR="00921FE5" w:rsidRPr="0009236D" w:rsidRDefault="0009236D" w:rsidP="00343131">
            <w:pPr>
              <w:rPr>
                <w:rtl/>
              </w:rPr>
            </w:pPr>
            <w:r w:rsidRPr="0009236D">
              <w:rPr>
                <w:rFonts w:ascii="Arial" w:hAnsi="Arial" w:hint="cs"/>
                <w:b/>
                <w:bCs/>
                <w:rtl/>
              </w:rPr>
              <w:t>כב' ה</w:t>
            </w:r>
            <w:r w:rsidRPr="0009236D">
              <w:rPr>
                <w:rFonts w:hint="cs"/>
                <w:rtl/>
              </w:rPr>
              <w:t>שופט</w:t>
            </w:r>
            <w:r w:rsidRPr="0009236D">
              <w:rPr>
                <w:rFonts w:ascii="Arial" w:hAnsi="Arial" w:hint="cs"/>
                <w:b/>
                <w:bCs/>
                <w:rtl/>
              </w:rPr>
              <w:t xml:space="preserve">  </w:t>
            </w:r>
            <w:r w:rsidRPr="0009236D">
              <w:rPr>
                <w:rFonts w:hint="cs"/>
                <w:rtl/>
              </w:rPr>
              <w:t>אביחי דורון</w:t>
            </w:r>
          </w:p>
          <w:p w14:paraId="27488EC7" w14:textId="77777777" w:rsidR="00921FE5" w:rsidRPr="0009236D" w:rsidRDefault="00921FE5">
            <w:pPr>
              <w:jc w:val="both"/>
              <w:rPr>
                <w:rFonts w:ascii="Arial" w:hAnsi="Arial" w:cs="FrankRuehl"/>
                <w:sz w:val="28"/>
                <w:szCs w:val="28"/>
              </w:rPr>
            </w:pPr>
          </w:p>
        </w:tc>
      </w:tr>
      <w:tr w:rsidR="00921FE5" w:rsidRPr="0009236D" w14:paraId="21A6D6F6" w14:textId="77777777">
        <w:trPr>
          <w:trHeight w:val="355"/>
          <w:jc w:val="center"/>
        </w:trPr>
        <w:tc>
          <w:tcPr>
            <w:tcW w:w="923" w:type="dxa"/>
            <w:tcBorders>
              <w:top w:val="nil"/>
              <w:left w:val="nil"/>
              <w:bottom w:val="nil"/>
              <w:right w:val="nil"/>
            </w:tcBorders>
          </w:tcPr>
          <w:p w14:paraId="27754038" w14:textId="77777777" w:rsidR="00921FE5" w:rsidRPr="0009236D" w:rsidRDefault="00921FE5">
            <w:pPr>
              <w:jc w:val="both"/>
              <w:rPr>
                <w:rFonts w:ascii="Arial" w:hAnsi="Arial" w:cs="FrankRuehl"/>
                <w:sz w:val="28"/>
                <w:szCs w:val="28"/>
                <w:rtl/>
              </w:rPr>
            </w:pPr>
            <w:bookmarkStart w:id="1" w:name="FirstAppellant"/>
          </w:p>
          <w:p w14:paraId="582D6767" w14:textId="77777777" w:rsidR="00921FE5" w:rsidRPr="0009236D" w:rsidRDefault="0009236D">
            <w:pPr>
              <w:jc w:val="both"/>
              <w:rPr>
                <w:rFonts w:ascii="Arial" w:hAnsi="Arial" w:cs="FrankRuehl"/>
                <w:sz w:val="28"/>
                <w:szCs w:val="28"/>
              </w:rPr>
            </w:pPr>
            <w:r w:rsidRPr="0009236D">
              <w:rPr>
                <w:rFonts w:ascii="Arial" w:hAnsi="Arial" w:cs="FrankRuehl" w:hint="cs"/>
                <w:sz w:val="28"/>
                <w:szCs w:val="28"/>
                <w:rtl/>
              </w:rPr>
              <w:t>בעניין:</w:t>
            </w:r>
          </w:p>
        </w:tc>
        <w:tc>
          <w:tcPr>
            <w:tcW w:w="4126" w:type="dxa"/>
            <w:tcBorders>
              <w:top w:val="nil"/>
              <w:left w:val="nil"/>
              <w:bottom w:val="nil"/>
              <w:right w:val="nil"/>
            </w:tcBorders>
          </w:tcPr>
          <w:p w14:paraId="60E4CA0F" w14:textId="77777777" w:rsidR="00921FE5" w:rsidRPr="0009236D" w:rsidRDefault="00921FE5">
            <w:pPr>
              <w:jc w:val="both"/>
              <w:rPr>
                <w:rFonts w:ascii="Arial" w:hAnsi="Arial" w:cs="FrankRuehl"/>
                <w:sz w:val="28"/>
                <w:szCs w:val="28"/>
                <w:rtl/>
              </w:rPr>
            </w:pPr>
          </w:p>
          <w:p w14:paraId="44289404" w14:textId="77777777" w:rsidR="00921FE5" w:rsidRPr="0009236D" w:rsidRDefault="0009236D">
            <w:r w:rsidRPr="0009236D">
              <w:rPr>
                <w:rFonts w:hint="cs"/>
                <w:rtl/>
              </w:rPr>
              <w:t>1</w:t>
            </w:r>
            <w:r w:rsidRPr="0009236D">
              <w:rPr>
                <w:rFonts w:ascii="Arial" w:hAnsi="Arial" w:cs="FrankRuehl" w:hint="cs"/>
                <w:sz w:val="28"/>
                <w:szCs w:val="28"/>
                <w:rtl/>
              </w:rPr>
              <w:t xml:space="preserve">. </w:t>
            </w:r>
            <w:r w:rsidRPr="0009236D">
              <w:rPr>
                <w:rFonts w:hint="cs"/>
                <w:rtl/>
              </w:rPr>
              <w:t>מ.י. מדור תביעות פלילי ת"א</w:t>
            </w:r>
          </w:p>
          <w:p w14:paraId="63C32CE0" w14:textId="77777777" w:rsidR="00921FE5" w:rsidRPr="0009236D" w:rsidRDefault="00921FE5">
            <w:pPr>
              <w:jc w:val="both"/>
              <w:rPr>
                <w:rFonts w:ascii="Arial" w:hAnsi="Arial" w:cs="FrankRuehl"/>
                <w:sz w:val="28"/>
                <w:szCs w:val="28"/>
              </w:rPr>
            </w:pPr>
          </w:p>
        </w:tc>
        <w:tc>
          <w:tcPr>
            <w:tcW w:w="3771" w:type="dxa"/>
            <w:tcBorders>
              <w:top w:val="nil"/>
              <w:left w:val="nil"/>
              <w:bottom w:val="nil"/>
              <w:right w:val="nil"/>
            </w:tcBorders>
          </w:tcPr>
          <w:p w14:paraId="519D7BE5" w14:textId="77777777" w:rsidR="00921FE5" w:rsidRPr="0009236D" w:rsidRDefault="00921FE5">
            <w:pPr>
              <w:jc w:val="both"/>
              <w:rPr>
                <w:rFonts w:ascii="Arial" w:hAnsi="Arial" w:cs="FrankRuehl"/>
                <w:sz w:val="28"/>
                <w:szCs w:val="28"/>
              </w:rPr>
            </w:pPr>
          </w:p>
        </w:tc>
      </w:tr>
      <w:bookmarkEnd w:id="1"/>
      <w:tr w:rsidR="00921FE5" w:rsidRPr="0009236D" w14:paraId="3083091A" w14:textId="77777777">
        <w:trPr>
          <w:trHeight w:val="355"/>
          <w:jc w:val="center"/>
        </w:trPr>
        <w:tc>
          <w:tcPr>
            <w:tcW w:w="923" w:type="dxa"/>
            <w:tcBorders>
              <w:top w:val="nil"/>
              <w:left w:val="nil"/>
              <w:bottom w:val="nil"/>
              <w:right w:val="nil"/>
            </w:tcBorders>
          </w:tcPr>
          <w:p w14:paraId="18915BE2" w14:textId="77777777" w:rsidR="00921FE5" w:rsidRPr="0009236D" w:rsidRDefault="00921FE5">
            <w:pPr>
              <w:jc w:val="both"/>
              <w:rPr>
                <w:rFonts w:ascii="Arial" w:hAnsi="Arial" w:cs="FrankRuehl"/>
                <w:sz w:val="28"/>
                <w:szCs w:val="28"/>
                <w:rtl/>
              </w:rPr>
            </w:pPr>
          </w:p>
        </w:tc>
        <w:tc>
          <w:tcPr>
            <w:tcW w:w="4126" w:type="dxa"/>
            <w:tcBorders>
              <w:top w:val="nil"/>
              <w:left w:val="nil"/>
              <w:bottom w:val="nil"/>
              <w:right w:val="nil"/>
            </w:tcBorders>
          </w:tcPr>
          <w:p w14:paraId="1B7EAFA4" w14:textId="77777777" w:rsidR="00921FE5" w:rsidRPr="0009236D" w:rsidRDefault="00921FE5">
            <w:pPr>
              <w:jc w:val="both"/>
              <w:rPr>
                <w:rtl/>
              </w:rPr>
            </w:pPr>
          </w:p>
        </w:tc>
        <w:tc>
          <w:tcPr>
            <w:tcW w:w="3771" w:type="dxa"/>
            <w:tcBorders>
              <w:top w:val="nil"/>
              <w:left w:val="nil"/>
              <w:bottom w:val="nil"/>
              <w:right w:val="nil"/>
            </w:tcBorders>
          </w:tcPr>
          <w:p w14:paraId="6624E571" w14:textId="77777777" w:rsidR="00921FE5" w:rsidRPr="0009236D" w:rsidRDefault="0009236D">
            <w:pPr>
              <w:jc w:val="right"/>
              <w:rPr>
                <w:rFonts w:ascii="Arial" w:hAnsi="Arial" w:cs="FrankRuehl"/>
                <w:sz w:val="28"/>
                <w:szCs w:val="28"/>
                <w:rtl/>
              </w:rPr>
            </w:pPr>
            <w:r w:rsidRPr="0009236D">
              <w:rPr>
                <w:rFonts w:ascii="Arial" w:hAnsi="Arial" w:cs="FrankRuehl" w:hint="cs"/>
                <w:sz w:val="28"/>
                <w:szCs w:val="28"/>
                <w:rtl/>
              </w:rPr>
              <w:t>ה</w:t>
            </w:r>
            <w:r w:rsidRPr="0009236D">
              <w:rPr>
                <w:rFonts w:hint="cs"/>
                <w:rtl/>
              </w:rPr>
              <w:t>מאשימה</w:t>
            </w:r>
          </w:p>
        </w:tc>
      </w:tr>
      <w:tr w:rsidR="00921FE5" w:rsidRPr="0009236D" w14:paraId="1C32AAF7" w14:textId="77777777">
        <w:trPr>
          <w:trHeight w:val="355"/>
          <w:jc w:val="center"/>
        </w:trPr>
        <w:tc>
          <w:tcPr>
            <w:tcW w:w="923" w:type="dxa"/>
            <w:tcBorders>
              <w:top w:val="nil"/>
              <w:left w:val="nil"/>
              <w:bottom w:val="nil"/>
              <w:right w:val="nil"/>
            </w:tcBorders>
          </w:tcPr>
          <w:p w14:paraId="2E00F740" w14:textId="77777777" w:rsidR="00921FE5" w:rsidRPr="0009236D" w:rsidRDefault="00921FE5">
            <w:pPr>
              <w:jc w:val="both"/>
              <w:rPr>
                <w:rFonts w:ascii="Arial" w:hAnsi="Arial" w:cs="FrankRuehl"/>
                <w:sz w:val="28"/>
                <w:szCs w:val="28"/>
                <w:rtl/>
              </w:rPr>
            </w:pPr>
          </w:p>
        </w:tc>
        <w:tc>
          <w:tcPr>
            <w:tcW w:w="7897" w:type="dxa"/>
            <w:gridSpan w:val="2"/>
            <w:tcBorders>
              <w:top w:val="nil"/>
              <w:left w:val="nil"/>
              <w:bottom w:val="nil"/>
              <w:right w:val="nil"/>
            </w:tcBorders>
          </w:tcPr>
          <w:p w14:paraId="761A0CB1" w14:textId="77777777" w:rsidR="00921FE5" w:rsidRPr="0009236D" w:rsidRDefault="00921FE5">
            <w:pPr>
              <w:jc w:val="center"/>
              <w:rPr>
                <w:rFonts w:ascii="Arial" w:hAnsi="Arial" w:cs="FrankRuehl"/>
                <w:b/>
                <w:bCs/>
                <w:sz w:val="28"/>
                <w:szCs w:val="28"/>
                <w:rtl/>
              </w:rPr>
            </w:pPr>
          </w:p>
          <w:p w14:paraId="6065D637" w14:textId="77777777" w:rsidR="00921FE5" w:rsidRPr="0009236D" w:rsidRDefault="0009236D">
            <w:pPr>
              <w:jc w:val="center"/>
              <w:rPr>
                <w:rFonts w:ascii="Arial" w:hAnsi="Arial" w:cs="FrankRuehl"/>
                <w:b/>
                <w:bCs/>
                <w:sz w:val="28"/>
                <w:szCs w:val="28"/>
                <w:rtl/>
              </w:rPr>
            </w:pPr>
            <w:r w:rsidRPr="0009236D">
              <w:rPr>
                <w:rFonts w:ascii="Arial" w:hAnsi="Arial" w:cs="FrankRuehl"/>
                <w:b/>
                <w:bCs/>
                <w:sz w:val="28"/>
                <w:szCs w:val="28"/>
                <w:rtl/>
              </w:rPr>
              <w:t>נגד</w:t>
            </w:r>
          </w:p>
          <w:p w14:paraId="3DD7D5D2" w14:textId="77777777" w:rsidR="00921FE5" w:rsidRPr="0009236D" w:rsidRDefault="00921FE5">
            <w:pPr>
              <w:jc w:val="both"/>
              <w:rPr>
                <w:rFonts w:ascii="Arial" w:hAnsi="Arial" w:cs="FrankRuehl"/>
                <w:sz w:val="28"/>
                <w:szCs w:val="28"/>
              </w:rPr>
            </w:pPr>
          </w:p>
        </w:tc>
      </w:tr>
      <w:tr w:rsidR="00921FE5" w:rsidRPr="0009236D" w14:paraId="45EF206B" w14:textId="77777777">
        <w:trPr>
          <w:trHeight w:val="355"/>
          <w:jc w:val="center"/>
        </w:trPr>
        <w:tc>
          <w:tcPr>
            <w:tcW w:w="923" w:type="dxa"/>
            <w:tcBorders>
              <w:top w:val="nil"/>
              <w:left w:val="nil"/>
              <w:bottom w:val="nil"/>
              <w:right w:val="nil"/>
            </w:tcBorders>
          </w:tcPr>
          <w:p w14:paraId="5ED578C1" w14:textId="77777777" w:rsidR="00921FE5" w:rsidRPr="0009236D" w:rsidRDefault="00921FE5">
            <w:pPr>
              <w:jc w:val="both"/>
              <w:rPr>
                <w:rFonts w:ascii="Arial" w:hAnsi="Arial" w:cs="FrankRuehl"/>
                <w:sz w:val="28"/>
                <w:szCs w:val="28"/>
                <w:rtl/>
              </w:rPr>
            </w:pPr>
          </w:p>
        </w:tc>
        <w:tc>
          <w:tcPr>
            <w:tcW w:w="4126" w:type="dxa"/>
            <w:tcBorders>
              <w:top w:val="nil"/>
              <w:left w:val="nil"/>
              <w:bottom w:val="nil"/>
              <w:right w:val="nil"/>
            </w:tcBorders>
          </w:tcPr>
          <w:p w14:paraId="3E8678B4" w14:textId="77777777" w:rsidR="00921FE5" w:rsidRPr="0009236D" w:rsidRDefault="0009236D">
            <w:pPr>
              <w:jc w:val="both"/>
              <w:rPr>
                <w:rtl/>
              </w:rPr>
            </w:pPr>
            <w:r w:rsidRPr="0009236D">
              <w:rPr>
                <w:rFonts w:hint="cs"/>
                <w:rtl/>
              </w:rPr>
              <w:t>1</w:t>
            </w:r>
            <w:r w:rsidRPr="0009236D">
              <w:rPr>
                <w:rFonts w:ascii="Arial" w:hAnsi="Arial" w:cs="FrankRuehl" w:hint="cs"/>
                <w:sz w:val="28"/>
                <w:szCs w:val="28"/>
                <w:rtl/>
              </w:rPr>
              <w:t xml:space="preserve">. </w:t>
            </w:r>
            <w:r w:rsidRPr="0009236D">
              <w:rPr>
                <w:rFonts w:hint="cs"/>
                <w:rtl/>
              </w:rPr>
              <w:t>אברהם לוי</w:t>
            </w:r>
          </w:p>
        </w:tc>
        <w:tc>
          <w:tcPr>
            <w:tcW w:w="3771" w:type="dxa"/>
            <w:tcBorders>
              <w:top w:val="nil"/>
              <w:left w:val="nil"/>
              <w:bottom w:val="nil"/>
              <w:right w:val="nil"/>
            </w:tcBorders>
          </w:tcPr>
          <w:p w14:paraId="47D15D25" w14:textId="77777777" w:rsidR="00921FE5" w:rsidRPr="0009236D" w:rsidRDefault="00921FE5">
            <w:pPr>
              <w:jc w:val="right"/>
              <w:rPr>
                <w:rFonts w:ascii="Arial" w:hAnsi="Arial" w:cs="FrankRuehl"/>
                <w:sz w:val="28"/>
                <w:szCs w:val="28"/>
              </w:rPr>
            </w:pPr>
          </w:p>
        </w:tc>
      </w:tr>
      <w:tr w:rsidR="00921FE5" w:rsidRPr="0009236D" w14:paraId="56FC8337" w14:textId="77777777">
        <w:trPr>
          <w:trHeight w:val="355"/>
          <w:jc w:val="center"/>
        </w:trPr>
        <w:tc>
          <w:tcPr>
            <w:tcW w:w="923" w:type="dxa"/>
            <w:tcBorders>
              <w:top w:val="nil"/>
              <w:left w:val="nil"/>
              <w:bottom w:val="nil"/>
              <w:right w:val="nil"/>
            </w:tcBorders>
          </w:tcPr>
          <w:p w14:paraId="01BB89C2" w14:textId="77777777" w:rsidR="00921FE5" w:rsidRPr="0009236D" w:rsidRDefault="00921FE5">
            <w:pPr>
              <w:jc w:val="both"/>
              <w:rPr>
                <w:rFonts w:ascii="Arial" w:hAnsi="Arial" w:cs="FrankRuehl"/>
                <w:sz w:val="28"/>
                <w:szCs w:val="28"/>
                <w:rtl/>
              </w:rPr>
            </w:pPr>
          </w:p>
        </w:tc>
        <w:tc>
          <w:tcPr>
            <w:tcW w:w="4126" w:type="dxa"/>
            <w:tcBorders>
              <w:top w:val="nil"/>
              <w:left w:val="nil"/>
              <w:bottom w:val="nil"/>
              <w:right w:val="nil"/>
            </w:tcBorders>
          </w:tcPr>
          <w:p w14:paraId="12A085A3" w14:textId="77777777" w:rsidR="00921FE5" w:rsidRPr="0009236D" w:rsidRDefault="00921FE5">
            <w:pPr>
              <w:jc w:val="both"/>
              <w:rPr>
                <w:rtl/>
              </w:rPr>
            </w:pPr>
          </w:p>
        </w:tc>
        <w:tc>
          <w:tcPr>
            <w:tcW w:w="3771" w:type="dxa"/>
            <w:tcBorders>
              <w:top w:val="nil"/>
              <w:left w:val="nil"/>
              <w:bottom w:val="nil"/>
              <w:right w:val="nil"/>
            </w:tcBorders>
          </w:tcPr>
          <w:p w14:paraId="33336D80" w14:textId="77777777" w:rsidR="00921FE5" w:rsidRPr="0009236D" w:rsidRDefault="0009236D">
            <w:pPr>
              <w:jc w:val="right"/>
              <w:rPr>
                <w:rFonts w:ascii="Arial" w:hAnsi="Arial" w:cs="FrankRuehl"/>
                <w:sz w:val="28"/>
                <w:szCs w:val="28"/>
              </w:rPr>
            </w:pPr>
            <w:r w:rsidRPr="0009236D">
              <w:rPr>
                <w:rFonts w:ascii="Arial" w:hAnsi="Arial" w:cs="FrankRuehl" w:hint="cs"/>
                <w:sz w:val="28"/>
                <w:szCs w:val="28"/>
                <w:rtl/>
              </w:rPr>
              <w:t>ה</w:t>
            </w:r>
            <w:r w:rsidRPr="0009236D">
              <w:rPr>
                <w:rFonts w:hint="cs"/>
                <w:rtl/>
              </w:rPr>
              <w:t>נאשמים</w:t>
            </w:r>
          </w:p>
        </w:tc>
      </w:tr>
    </w:tbl>
    <w:p w14:paraId="3042CC45" w14:textId="77777777" w:rsidR="00921FE5" w:rsidRPr="0009236D" w:rsidRDefault="00921FE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1FE5" w14:paraId="5F4BD563" w14:textId="77777777">
        <w:trPr>
          <w:trHeight w:val="355"/>
          <w:jc w:val="center"/>
        </w:trPr>
        <w:tc>
          <w:tcPr>
            <w:tcW w:w="8820" w:type="dxa"/>
            <w:tcBorders>
              <w:top w:val="nil"/>
              <w:left w:val="nil"/>
              <w:bottom w:val="nil"/>
              <w:right w:val="nil"/>
            </w:tcBorders>
          </w:tcPr>
          <w:p w14:paraId="0DA32D24" w14:textId="77777777" w:rsidR="0009236D" w:rsidRPr="0009236D" w:rsidRDefault="0009236D" w:rsidP="0009236D">
            <w:pPr>
              <w:jc w:val="center"/>
              <w:rPr>
                <w:rFonts w:ascii="Arial" w:hAnsi="Arial" w:cs="FrankRuehl"/>
                <w:b/>
                <w:bCs/>
                <w:sz w:val="32"/>
                <w:szCs w:val="32"/>
                <w:u w:val="single"/>
                <w:rtl/>
              </w:rPr>
            </w:pPr>
            <w:bookmarkStart w:id="2" w:name="PsakDin" w:colFirst="0" w:colLast="0"/>
            <w:bookmarkEnd w:id="0"/>
            <w:r w:rsidRPr="0009236D">
              <w:rPr>
                <w:rFonts w:ascii="Arial" w:hAnsi="Arial" w:cs="FrankRuehl"/>
                <w:b/>
                <w:bCs/>
                <w:sz w:val="32"/>
                <w:szCs w:val="32"/>
                <w:u w:val="single"/>
                <w:rtl/>
              </w:rPr>
              <w:t>גזר דין</w:t>
            </w:r>
          </w:p>
          <w:p w14:paraId="480768C9" w14:textId="77777777" w:rsidR="00921FE5" w:rsidRPr="0009236D" w:rsidRDefault="00921FE5" w:rsidP="0009236D">
            <w:pPr>
              <w:jc w:val="center"/>
              <w:rPr>
                <w:rFonts w:ascii="Arial" w:hAnsi="Arial" w:cs="FrankRuehl"/>
                <w:bCs/>
                <w:sz w:val="32"/>
                <w:szCs w:val="32"/>
                <w:u w:val="single"/>
                <w:rtl/>
              </w:rPr>
            </w:pPr>
          </w:p>
        </w:tc>
      </w:tr>
      <w:bookmarkEnd w:id="2"/>
    </w:tbl>
    <w:p w14:paraId="7B462628" w14:textId="77777777" w:rsidR="00921FE5" w:rsidRDefault="00921FE5">
      <w:pPr>
        <w:rPr>
          <w:rFonts w:ascii="Arial" w:hAnsi="Arial" w:cs="FrankRuehl"/>
          <w:sz w:val="28"/>
          <w:szCs w:val="28"/>
          <w:rtl/>
        </w:rPr>
      </w:pPr>
    </w:p>
    <w:p w14:paraId="4D32BBA6" w14:textId="77777777" w:rsidR="00921FE5" w:rsidRDefault="0009236D">
      <w:pPr>
        <w:rPr>
          <w:rFonts w:ascii="Arial" w:hAnsi="Arial" w:cs="FrankRuehl"/>
          <w:sz w:val="28"/>
          <w:szCs w:val="28"/>
          <w:rtl/>
        </w:rPr>
      </w:pPr>
      <w:bookmarkStart w:id="3" w:name="ABSTRACT_START"/>
      <w:bookmarkEnd w:id="3"/>
      <w:r>
        <w:rPr>
          <w:rFonts w:ascii="Arial" w:hAnsi="Arial" w:cs="FrankRuehl"/>
          <w:sz w:val="28"/>
          <w:szCs w:val="28"/>
          <w:rtl/>
        </w:rPr>
        <w:t>הנאשם הורשע לאחר ניהול הוכחות בשני כתבי אישום, פלילי ותעבורתי, המשותפים לאותו אירוע אשר אוחדו לצורך שמיעתם יחד, בעבירות של תקיפה הגורמת חבלה של ממש לפי סעיף 380 ל</w:t>
      </w:r>
      <w:hyperlink r:id="rId6" w:history="1">
        <w:r w:rsidRPr="0009236D">
          <w:rPr>
            <w:rFonts w:ascii="Arial" w:hAnsi="Arial" w:cs="FrankRuehl"/>
            <w:color w:val="0000FF"/>
            <w:sz w:val="28"/>
            <w:szCs w:val="28"/>
            <w:u w:val="single"/>
            <w:rtl/>
          </w:rPr>
          <w:t>חוק העונשין</w:t>
        </w:r>
      </w:hyperlink>
      <w:r>
        <w:rPr>
          <w:rFonts w:ascii="Arial" w:hAnsi="Arial" w:cs="FrankRuehl"/>
          <w:sz w:val="28"/>
          <w:szCs w:val="28"/>
          <w:rtl/>
        </w:rPr>
        <w:t>, וכן בעבירה של אי מתן אפשרות להולך רגל לחצות בבטחה  וכן נהיגה בקלות ראש,עבירה על פי סעיף 67 (א)+ 62(2) ל</w:t>
      </w:r>
      <w:hyperlink r:id="rId7" w:history="1">
        <w:r w:rsidRPr="0009236D">
          <w:rPr>
            <w:rFonts w:ascii="Arial" w:hAnsi="Arial" w:cs="FrankRuehl"/>
            <w:color w:val="0000FF"/>
            <w:sz w:val="28"/>
            <w:szCs w:val="28"/>
            <w:u w:val="single"/>
            <w:rtl/>
          </w:rPr>
          <w:t>תקנות התעבורה</w:t>
        </w:r>
      </w:hyperlink>
      <w:r>
        <w:rPr>
          <w:rFonts w:ascii="Arial" w:hAnsi="Arial" w:cs="FrankRuehl"/>
          <w:sz w:val="28"/>
          <w:szCs w:val="28"/>
          <w:rtl/>
        </w:rPr>
        <w:t>.</w:t>
      </w:r>
    </w:p>
    <w:p w14:paraId="2E55B788" w14:textId="77777777" w:rsidR="00921FE5" w:rsidRDefault="0009236D">
      <w:pPr>
        <w:rPr>
          <w:rFonts w:ascii="Arial" w:hAnsi="Arial" w:cs="FrankRuehl"/>
          <w:sz w:val="28"/>
          <w:szCs w:val="28"/>
          <w:rtl/>
        </w:rPr>
      </w:pPr>
      <w:bookmarkStart w:id="4" w:name="ABSTRACT_END"/>
      <w:bookmarkEnd w:id="4"/>
      <w:r>
        <w:rPr>
          <w:rFonts w:ascii="Arial" w:hAnsi="Arial" w:cs="FrankRuehl"/>
          <w:sz w:val="28"/>
          <w:szCs w:val="28"/>
          <w:rtl/>
        </w:rPr>
        <w:t>הנאשם זוכה מעבירות של אי מסירת פרטים , תקנה לפי סעיף 144(א)(3) ואי הודעה למשטרה על תאונה על פי תקנה 144 (א)(4).</w:t>
      </w:r>
    </w:p>
    <w:p w14:paraId="296EA949" w14:textId="77777777" w:rsidR="00921FE5" w:rsidRDefault="0009236D">
      <w:pPr>
        <w:rPr>
          <w:rFonts w:ascii="Arial" w:hAnsi="Arial" w:cs="FrankRuehl"/>
          <w:sz w:val="28"/>
          <w:szCs w:val="28"/>
          <w:rtl/>
        </w:rPr>
      </w:pPr>
      <w:r>
        <w:rPr>
          <w:rFonts w:ascii="Arial" w:hAnsi="Arial" w:cs="FrankRuehl"/>
          <w:sz w:val="28"/>
          <w:szCs w:val="28"/>
          <w:rtl/>
        </w:rPr>
        <w:t>בהכרעת הדין נקבע כי ביום ה-19.09.07, עבר הנאשם באמצעות רכבו את מעבר החציה תוך שהוא אינו מאפשר להולכי הרגל במקום לעבור בבטחה, באותו הזמן עבר במעבר החציה המתלונן, אשר חבט ברכבו של הנאשם בעקבות מעשיו.</w:t>
      </w:r>
    </w:p>
    <w:p w14:paraId="156116EF" w14:textId="77777777" w:rsidR="00921FE5" w:rsidRDefault="0009236D">
      <w:pPr>
        <w:rPr>
          <w:rFonts w:ascii="Arial" w:hAnsi="Arial" w:cs="FrankRuehl"/>
          <w:sz w:val="28"/>
          <w:szCs w:val="28"/>
          <w:rtl/>
        </w:rPr>
      </w:pPr>
      <w:r>
        <w:rPr>
          <w:rFonts w:ascii="Arial" w:hAnsi="Arial" w:cs="FrankRuehl"/>
          <w:sz w:val="28"/>
          <w:szCs w:val="28"/>
          <w:rtl/>
        </w:rPr>
        <w:t>הנאשם יצא מרכבו, הלך לעבר המתלונן, ונגח בראשו.</w:t>
      </w:r>
    </w:p>
    <w:p w14:paraId="48B99841" w14:textId="77777777" w:rsidR="00921FE5" w:rsidRDefault="0009236D">
      <w:pPr>
        <w:rPr>
          <w:rFonts w:ascii="Arial" w:hAnsi="Arial" w:cs="FrankRuehl"/>
          <w:sz w:val="28"/>
          <w:szCs w:val="28"/>
          <w:rtl/>
        </w:rPr>
      </w:pPr>
      <w:r>
        <w:rPr>
          <w:rFonts w:ascii="Arial" w:hAnsi="Arial" w:cs="FrankRuehl"/>
          <w:sz w:val="28"/>
          <w:szCs w:val="28"/>
          <w:rtl/>
        </w:rPr>
        <w:t>כתוצאה מכך, הובהל המתלונן לבית החולים, שם נתפר הפצע שנגרם בעקבות נגיחתו של הנאשם.</w:t>
      </w:r>
    </w:p>
    <w:p w14:paraId="1312CFC1" w14:textId="77777777" w:rsidR="00921FE5" w:rsidRDefault="0009236D">
      <w:pPr>
        <w:rPr>
          <w:rFonts w:ascii="Arial" w:hAnsi="Arial" w:cs="FrankRuehl"/>
          <w:sz w:val="28"/>
          <w:szCs w:val="28"/>
          <w:rtl/>
        </w:rPr>
      </w:pPr>
      <w:r>
        <w:rPr>
          <w:rFonts w:ascii="Arial" w:hAnsi="Arial" w:cs="FrankRuehl"/>
          <w:sz w:val="28"/>
          <w:szCs w:val="28"/>
          <w:rtl/>
        </w:rPr>
        <w:t>המאשימה עתרה להשית על הנאשם מאסר בעבודות שירות, מאסר על תנאי, קנס ופיצוי, בעוד ההגנה טענה לביטול הרשעת הנאשם, וחיובו בשירות לתועלת הציבור.</w:t>
      </w:r>
    </w:p>
    <w:p w14:paraId="53B8E64B" w14:textId="77777777" w:rsidR="00921FE5" w:rsidRDefault="00921FE5">
      <w:pPr>
        <w:rPr>
          <w:rFonts w:ascii="Arial" w:hAnsi="Arial" w:cs="FrankRuehl"/>
          <w:sz w:val="28"/>
          <w:szCs w:val="28"/>
          <w:rtl/>
        </w:rPr>
      </w:pPr>
    </w:p>
    <w:p w14:paraId="7767BA83" w14:textId="77777777" w:rsidR="00921FE5" w:rsidRDefault="00921FE5">
      <w:pPr>
        <w:rPr>
          <w:rFonts w:ascii="Arial" w:hAnsi="Arial" w:cs="FrankRuehl"/>
          <w:sz w:val="28"/>
          <w:szCs w:val="28"/>
          <w:rtl/>
        </w:rPr>
      </w:pPr>
    </w:p>
    <w:p w14:paraId="616B29AD" w14:textId="77777777" w:rsidR="00921FE5" w:rsidRDefault="0009236D">
      <w:pPr>
        <w:rPr>
          <w:rFonts w:ascii="Arial" w:hAnsi="Arial" w:cs="FrankRuehl"/>
          <w:b/>
          <w:bCs/>
          <w:sz w:val="28"/>
          <w:szCs w:val="28"/>
          <w:rtl/>
        </w:rPr>
      </w:pPr>
      <w:r>
        <w:rPr>
          <w:rFonts w:ascii="Arial" w:hAnsi="Arial" w:cs="FrankRuehl"/>
          <w:b/>
          <w:bCs/>
          <w:sz w:val="28"/>
          <w:szCs w:val="28"/>
          <w:rtl/>
        </w:rPr>
        <w:t>תסקיר שירות המבחן</w:t>
      </w:r>
    </w:p>
    <w:p w14:paraId="672AB5E0" w14:textId="77777777" w:rsidR="00921FE5" w:rsidRDefault="00921FE5">
      <w:pPr>
        <w:rPr>
          <w:rFonts w:ascii="Arial" w:hAnsi="Arial" w:cs="FrankRuehl"/>
          <w:sz w:val="28"/>
          <w:szCs w:val="28"/>
          <w:rtl/>
        </w:rPr>
      </w:pPr>
    </w:p>
    <w:p w14:paraId="6C903F05" w14:textId="77777777" w:rsidR="00921FE5" w:rsidRDefault="0009236D">
      <w:pPr>
        <w:rPr>
          <w:rFonts w:ascii="Arial" w:hAnsi="Arial" w:cs="FrankRuehl"/>
          <w:sz w:val="28"/>
          <w:szCs w:val="28"/>
          <w:rtl/>
        </w:rPr>
      </w:pPr>
      <w:r>
        <w:rPr>
          <w:rFonts w:ascii="Arial" w:hAnsi="Arial" w:cs="FrankRuehl"/>
          <w:sz w:val="28"/>
          <w:szCs w:val="28"/>
          <w:rtl/>
        </w:rPr>
        <w:t xml:space="preserve"> תסקיר שירות המבחן סקר את קורות חייו של הנאשם, ותיארו כאדם בעל יכולות תפקודיות טובות במישורי החיים השונים,  מדובר באדם אשר לא גובשו אצלו מאפייני התנהגות פסולים כמו אימפולסיביות, קשיים בויסות עצמי, הנותנות לגיטימציה לאלימות.</w:t>
      </w:r>
    </w:p>
    <w:p w14:paraId="74CE8B30" w14:textId="77777777" w:rsidR="00921FE5" w:rsidRDefault="0009236D">
      <w:pPr>
        <w:rPr>
          <w:rFonts w:ascii="Arial" w:hAnsi="Arial" w:cs="FrankRuehl"/>
          <w:sz w:val="28"/>
          <w:szCs w:val="28"/>
          <w:rtl/>
        </w:rPr>
      </w:pPr>
      <w:r>
        <w:rPr>
          <w:rFonts w:ascii="Arial" w:hAnsi="Arial" w:cs="FrankRuehl"/>
          <w:sz w:val="28"/>
          <w:szCs w:val="28"/>
          <w:rtl/>
        </w:rPr>
        <w:t>בהתייחסו לביצוע העבירה, סיפר שירות המבחן כי לאחר שחש מאוים, נקט באלימות. שירות המבחן התרשם כי מדובר באדם אשר מבין כי התנהגותו באירוע הייתה בעייתית וחסרת שליטה, אולם המקרה נשוא כתב האישום היה מקרה חד פעמי עבורו.</w:t>
      </w:r>
    </w:p>
    <w:p w14:paraId="32BEB1B1" w14:textId="77777777" w:rsidR="00921FE5" w:rsidRDefault="0009236D">
      <w:pPr>
        <w:rPr>
          <w:rFonts w:ascii="Arial" w:hAnsi="Arial" w:cs="FrankRuehl"/>
          <w:sz w:val="28"/>
          <w:szCs w:val="28"/>
          <w:rtl/>
        </w:rPr>
      </w:pPr>
      <w:r>
        <w:rPr>
          <w:rFonts w:ascii="Arial" w:hAnsi="Arial" w:cs="FrankRuehl"/>
          <w:sz w:val="28"/>
          <w:szCs w:val="28"/>
          <w:rtl/>
        </w:rPr>
        <w:lastRenderedPageBreak/>
        <w:t>הנאשם הביע בפני שירות המבחן את חששו הכבד מהרשעה, ומהפגיעה שהרשעה תגרום לדימויו העצמי ולתפיסתו את עצמו כאדם מתפקד ועובד שאינו מעורב בעולם העברייני.</w:t>
      </w:r>
    </w:p>
    <w:p w14:paraId="58B39383" w14:textId="77777777" w:rsidR="00921FE5" w:rsidRDefault="0009236D">
      <w:pPr>
        <w:rPr>
          <w:rFonts w:ascii="Arial" w:hAnsi="Arial" w:cs="FrankRuehl"/>
          <w:sz w:val="28"/>
          <w:szCs w:val="28"/>
          <w:rtl/>
        </w:rPr>
      </w:pPr>
      <w:r>
        <w:rPr>
          <w:rFonts w:ascii="Arial" w:hAnsi="Arial" w:cs="FrankRuehl"/>
          <w:sz w:val="28"/>
          <w:szCs w:val="28"/>
          <w:rtl/>
        </w:rPr>
        <w:t>שירות המבחן לא הצליח לאתר פגיעה באינטרס קונקרטי, אך נוכח ההערכה כי מדובר באירוע חריג אשר אינו מאפיין את התנהגות הנאשם, המליץ שירות המבחן כי ניתן לשקול בחיוב סיומם של ההליכים ללא הרשעת הנאשם בדין.</w:t>
      </w:r>
    </w:p>
    <w:p w14:paraId="7C2EFBFA" w14:textId="77777777" w:rsidR="00921FE5" w:rsidRDefault="00921FE5">
      <w:pPr>
        <w:rPr>
          <w:rFonts w:ascii="Arial" w:hAnsi="Arial" w:cs="FrankRuehl"/>
          <w:sz w:val="28"/>
          <w:szCs w:val="28"/>
          <w:rtl/>
        </w:rPr>
      </w:pPr>
    </w:p>
    <w:p w14:paraId="31859B89" w14:textId="77777777" w:rsidR="00921FE5" w:rsidRDefault="00921FE5">
      <w:pPr>
        <w:rPr>
          <w:rFonts w:ascii="Arial" w:hAnsi="Arial" w:cs="FrankRuehl"/>
          <w:sz w:val="28"/>
          <w:szCs w:val="28"/>
          <w:rtl/>
        </w:rPr>
      </w:pPr>
    </w:p>
    <w:p w14:paraId="6DAC9808" w14:textId="77777777" w:rsidR="00921FE5" w:rsidRDefault="00921FE5">
      <w:pPr>
        <w:rPr>
          <w:rFonts w:ascii="Arial" w:hAnsi="Arial" w:cs="FrankRuehl"/>
          <w:sz w:val="28"/>
          <w:szCs w:val="28"/>
          <w:rtl/>
        </w:rPr>
      </w:pPr>
    </w:p>
    <w:p w14:paraId="11514CC4" w14:textId="77777777" w:rsidR="00921FE5" w:rsidRDefault="00921FE5">
      <w:pPr>
        <w:rPr>
          <w:rFonts w:ascii="Arial" w:hAnsi="Arial" w:cs="FrankRuehl"/>
          <w:sz w:val="28"/>
          <w:szCs w:val="28"/>
          <w:rtl/>
        </w:rPr>
      </w:pPr>
    </w:p>
    <w:p w14:paraId="76FAB75E" w14:textId="77777777" w:rsidR="00921FE5" w:rsidRDefault="00921FE5">
      <w:pPr>
        <w:rPr>
          <w:rFonts w:ascii="Arial" w:hAnsi="Arial" w:cs="FrankRuehl"/>
          <w:sz w:val="28"/>
          <w:szCs w:val="28"/>
          <w:rtl/>
        </w:rPr>
      </w:pPr>
    </w:p>
    <w:p w14:paraId="0B598BE2" w14:textId="77777777" w:rsidR="00921FE5" w:rsidRDefault="00921FE5">
      <w:pPr>
        <w:rPr>
          <w:rFonts w:ascii="Arial" w:hAnsi="Arial" w:cs="FrankRuehl"/>
          <w:sz w:val="28"/>
          <w:szCs w:val="28"/>
          <w:rtl/>
        </w:rPr>
      </w:pPr>
    </w:p>
    <w:p w14:paraId="055824F6" w14:textId="77777777" w:rsidR="00921FE5" w:rsidRDefault="0009236D">
      <w:pPr>
        <w:rPr>
          <w:rFonts w:ascii="Arial" w:hAnsi="Arial" w:cs="FrankRuehl"/>
          <w:b/>
          <w:bCs/>
          <w:sz w:val="28"/>
          <w:szCs w:val="28"/>
          <w:rtl/>
        </w:rPr>
      </w:pPr>
      <w:r>
        <w:rPr>
          <w:rFonts w:ascii="Arial" w:hAnsi="Arial" w:cs="FrankRuehl"/>
          <w:b/>
          <w:bCs/>
          <w:sz w:val="28"/>
          <w:szCs w:val="28"/>
          <w:rtl/>
        </w:rPr>
        <w:t>טיעוני הצדדים:</w:t>
      </w:r>
    </w:p>
    <w:p w14:paraId="218EAC43" w14:textId="77777777" w:rsidR="00921FE5" w:rsidRDefault="00921FE5">
      <w:pPr>
        <w:rPr>
          <w:rFonts w:ascii="Arial" w:hAnsi="Arial" w:cs="FrankRuehl"/>
          <w:sz w:val="28"/>
          <w:szCs w:val="28"/>
          <w:rtl/>
        </w:rPr>
      </w:pPr>
    </w:p>
    <w:p w14:paraId="79735756" w14:textId="77777777" w:rsidR="00921FE5" w:rsidRDefault="0009236D">
      <w:pPr>
        <w:rPr>
          <w:rFonts w:ascii="Arial" w:hAnsi="Arial" w:cs="FrankRuehl"/>
          <w:sz w:val="28"/>
          <w:szCs w:val="28"/>
          <w:rtl/>
        </w:rPr>
      </w:pPr>
      <w:r>
        <w:rPr>
          <w:rFonts w:ascii="Arial" w:hAnsi="Arial" w:cs="FrankRuehl"/>
          <w:sz w:val="28"/>
          <w:szCs w:val="28"/>
          <w:rtl/>
        </w:rPr>
        <w:t>לטענת המאשימה, המלצת שירות המבחן שלא להרשיע את הנאשם אינה עולה בקנה אחד עם התנהלותו של הנאשם  במהלך משפטו.</w:t>
      </w:r>
    </w:p>
    <w:p w14:paraId="58EA65A4" w14:textId="77777777" w:rsidR="00921FE5" w:rsidRDefault="0009236D">
      <w:pPr>
        <w:rPr>
          <w:rFonts w:ascii="Arial" w:hAnsi="Arial" w:cs="FrankRuehl"/>
          <w:sz w:val="28"/>
          <w:szCs w:val="28"/>
          <w:rtl/>
        </w:rPr>
      </w:pPr>
      <w:r>
        <w:rPr>
          <w:rFonts w:ascii="Arial" w:hAnsi="Arial" w:cs="FrankRuehl"/>
          <w:sz w:val="28"/>
          <w:szCs w:val="28"/>
          <w:rtl/>
        </w:rPr>
        <w:t>הנאשם ניהל הוכחות ולא לקח אחריות של מעשיו, למרות שהבין כי מדובר בהתנהגות בעייתית, אולם בחר לטעון להגנה עצמית, והטיל את רובה של האחריות באירוע על המתלונן, הנאשם כלל לא לקח אחריות על מעשיו בכל הנוגע לעבירות התעבורה.</w:t>
      </w:r>
    </w:p>
    <w:p w14:paraId="334A37E5" w14:textId="77777777" w:rsidR="00921FE5" w:rsidRDefault="0009236D">
      <w:pPr>
        <w:rPr>
          <w:rFonts w:ascii="Arial" w:hAnsi="Arial" w:cs="FrankRuehl"/>
          <w:sz w:val="28"/>
          <w:szCs w:val="28"/>
          <w:rtl/>
        </w:rPr>
      </w:pPr>
      <w:r>
        <w:rPr>
          <w:rFonts w:ascii="Arial" w:hAnsi="Arial" w:cs="FrankRuehl"/>
          <w:sz w:val="28"/>
          <w:szCs w:val="28"/>
          <w:rtl/>
        </w:rPr>
        <w:t>למרות שלנאשם אין עבר פלילי, והמדובר בעניינו בעבירה משנת 2007 , מדובר בעבירה חמורה על רקע שימוש בדרך, שבסופה נזקק המתלונן לטיפול רפואי.</w:t>
      </w:r>
    </w:p>
    <w:p w14:paraId="414F1493" w14:textId="77777777" w:rsidR="00921FE5" w:rsidRDefault="0009236D">
      <w:pPr>
        <w:rPr>
          <w:rFonts w:ascii="Arial" w:hAnsi="Arial" w:cs="FrankRuehl"/>
          <w:sz w:val="28"/>
          <w:szCs w:val="28"/>
          <w:rtl/>
        </w:rPr>
      </w:pPr>
      <w:r>
        <w:rPr>
          <w:rFonts w:ascii="Arial" w:hAnsi="Arial" w:cs="FrankRuehl"/>
          <w:sz w:val="28"/>
          <w:szCs w:val="28"/>
          <w:rtl/>
        </w:rPr>
        <w:t>לעומת זאת, משקבע בית המשפט כי לא הוכח שהנאשם עלה פגע ברכבו בכף רגלו של המתלונן, ומאחר והמתלונן וחברו התקרבו אל הנאשם לאחר שזה יצא מרכבו, בעקבות החבטה על רכבו, היה בכך לטענת ב"כ הנאשם כדי להוות התגרות בנאשם, לאיים עליו ולהעמידו במצב בו נאלץ להגן על עצמו.</w:t>
      </w:r>
    </w:p>
    <w:p w14:paraId="11D510B7" w14:textId="77777777" w:rsidR="00921FE5" w:rsidRDefault="0009236D">
      <w:pPr>
        <w:rPr>
          <w:rFonts w:ascii="Arial" w:hAnsi="Arial" w:cs="FrankRuehl"/>
          <w:sz w:val="28"/>
          <w:szCs w:val="28"/>
          <w:rtl/>
        </w:rPr>
      </w:pPr>
      <w:r>
        <w:rPr>
          <w:rFonts w:ascii="Arial" w:hAnsi="Arial" w:cs="FrankRuehl"/>
          <w:sz w:val="28"/>
          <w:szCs w:val="28"/>
          <w:rtl/>
        </w:rPr>
        <w:t>לטעתו ב"כ הנאשם מדובר במקרה הקלאסי, בו אין להרשיע את הנאשם מאחר ומדובר באדם נכבד, איש משפחה ובעל עסק.</w:t>
      </w:r>
    </w:p>
    <w:p w14:paraId="35EEF0A2" w14:textId="77777777" w:rsidR="00921FE5" w:rsidRDefault="0009236D">
      <w:pPr>
        <w:rPr>
          <w:rFonts w:ascii="Arial" w:hAnsi="Arial" w:cs="FrankRuehl"/>
          <w:sz w:val="28"/>
          <w:szCs w:val="28"/>
          <w:rtl/>
        </w:rPr>
      </w:pPr>
      <w:r>
        <w:rPr>
          <w:rFonts w:ascii="Arial" w:hAnsi="Arial" w:cs="FrankRuehl"/>
          <w:sz w:val="28"/>
          <w:szCs w:val="28"/>
          <w:rtl/>
        </w:rPr>
        <w:t>הנאשם הביע בפני בית המשפט את צערו , סיפר כי אינו אדם אלים אולם מאחר וחש מאוים פעל מתוך הגנה עצמית.</w:t>
      </w:r>
    </w:p>
    <w:p w14:paraId="2A923A83" w14:textId="77777777" w:rsidR="00921FE5" w:rsidRDefault="00921FE5">
      <w:pPr>
        <w:rPr>
          <w:rFonts w:ascii="Arial" w:hAnsi="Arial" w:cs="FrankRuehl"/>
          <w:sz w:val="28"/>
          <w:szCs w:val="28"/>
          <w:rtl/>
        </w:rPr>
      </w:pPr>
    </w:p>
    <w:p w14:paraId="46DB8E41" w14:textId="77777777" w:rsidR="00921FE5" w:rsidRDefault="00921FE5">
      <w:pPr>
        <w:rPr>
          <w:rFonts w:ascii="Arial" w:hAnsi="Arial" w:cs="FrankRuehl"/>
          <w:sz w:val="28"/>
          <w:szCs w:val="28"/>
          <w:rtl/>
        </w:rPr>
      </w:pPr>
    </w:p>
    <w:p w14:paraId="6FED2535" w14:textId="77777777" w:rsidR="00921FE5" w:rsidRDefault="0009236D">
      <w:pPr>
        <w:rPr>
          <w:rFonts w:ascii="Arial" w:hAnsi="Arial" w:cs="FrankRuehl"/>
          <w:b/>
          <w:bCs/>
          <w:sz w:val="28"/>
          <w:szCs w:val="28"/>
          <w:rtl/>
        </w:rPr>
      </w:pPr>
      <w:r>
        <w:rPr>
          <w:rFonts w:ascii="Arial" w:hAnsi="Arial" w:cs="FrankRuehl"/>
          <w:b/>
          <w:bCs/>
          <w:sz w:val="28"/>
          <w:szCs w:val="28"/>
          <w:rtl/>
        </w:rPr>
        <w:t>דיון והכרעה</w:t>
      </w:r>
    </w:p>
    <w:p w14:paraId="77B95B09" w14:textId="77777777" w:rsidR="00921FE5" w:rsidRDefault="00921FE5">
      <w:pPr>
        <w:rPr>
          <w:rFonts w:ascii="Arial" w:hAnsi="Arial" w:cs="FrankRuehl"/>
          <w:sz w:val="28"/>
          <w:szCs w:val="28"/>
          <w:rtl/>
        </w:rPr>
      </w:pPr>
    </w:p>
    <w:p w14:paraId="1CE660FB" w14:textId="77777777" w:rsidR="00921FE5" w:rsidRDefault="0009236D">
      <w:pPr>
        <w:rPr>
          <w:rFonts w:ascii="Arial" w:hAnsi="Arial" w:cs="FrankRuehl"/>
          <w:sz w:val="28"/>
          <w:szCs w:val="28"/>
          <w:rtl/>
        </w:rPr>
      </w:pPr>
      <w:r>
        <w:rPr>
          <w:rFonts w:ascii="Arial" w:hAnsi="Arial" w:cs="FrankRuehl"/>
          <w:sz w:val="28"/>
          <w:szCs w:val="28"/>
          <w:rtl/>
        </w:rPr>
        <w:t>העבירות אותן ביצע הנאשם יבחנו לאור תיקון 113 ל</w:t>
      </w:r>
      <w:hyperlink r:id="rId8" w:history="1">
        <w:r w:rsidRPr="0009236D">
          <w:rPr>
            <w:rFonts w:ascii="Arial" w:hAnsi="Arial" w:cs="FrankRuehl"/>
            <w:color w:val="0000FF"/>
            <w:sz w:val="28"/>
            <w:szCs w:val="28"/>
            <w:u w:val="single"/>
            <w:rtl/>
          </w:rPr>
          <w:t>חוק העונשין</w:t>
        </w:r>
      </w:hyperlink>
      <w:r>
        <w:rPr>
          <w:rFonts w:ascii="Arial" w:hAnsi="Arial" w:cs="FrankRuehl"/>
          <w:sz w:val="28"/>
          <w:szCs w:val="28"/>
          <w:rtl/>
        </w:rPr>
        <w:t>:</w:t>
      </w:r>
    </w:p>
    <w:p w14:paraId="4D2348A3" w14:textId="77777777" w:rsidR="00921FE5" w:rsidRDefault="0009236D">
      <w:pPr>
        <w:rPr>
          <w:rFonts w:ascii="Arial" w:hAnsi="Arial" w:cs="FrankRuehl"/>
          <w:sz w:val="28"/>
          <w:szCs w:val="28"/>
          <w:rtl/>
        </w:rPr>
      </w:pPr>
      <w:r>
        <w:rPr>
          <w:rFonts w:ascii="Arial" w:hAnsi="Arial" w:cs="FrankRuehl"/>
          <w:sz w:val="28"/>
          <w:szCs w:val="28"/>
          <w:rtl/>
        </w:rPr>
        <w:t>הערך החברתי המוגן על ידי העבירות בהן הורשע הנאשם הינו שלמות גופו של אדם, הן בהיבט הפלילי והן בהיבט התעבורתי, הנאשם סיכן את המתלונן בנהיגתו ולאחר מכן פגע במתלונן. קיים אינטרס חברתי מובהק למנוע סכנה לעוברי דרך בכלל, והולכי רגל במעבר חציה בפרט. ביריונות ואלימות, כפי שבאה לביטוי בהתלהטות רוחות עקב סכסוך דרך בין עוברי דרך, צריכה לקבל מענה הולם של ענישה מחמירה.</w:t>
      </w:r>
    </w:p>
    <w:p w14:paraId="5DA66BAE" w14:textId="77777777" w:rsidR="00921FE5" w:rsidRDefault="0009236D">
      <w:pPr>
        <w:rPr>
          <w:rFonts w:ascii="Arial" w:hAnsi="Arial" w:cs="FrankRuehl"/>
          <w:sz w:val="28"/>
          <w:szCs w:val="28"/>
          <w:rtl/>
        </w:rPr>
      </w:pPr>
      <w:r>
        <w:rPr>
          <w:rFonts w:ascii="Arial" w:hAnsi="Arial" w:cs="FrankRuehl"/>
          <w:sz w:val="28"/>
          <w:szCs w:val="28"/>
          <w:rtl/>
        </w:rPr>
        <w:t>מאידך, לנאשם אין הרשעות קודמות, עבירת האלימות בה הורשע הנאשם קרתה בנסיבות בהן היכה, ככל הנראה, המתלונן על גג רכבו של הנאשם נוכח הסיכון שנשקף לו מנהיגתו של הנאשם בקרבת מעבר חציה אותו חצה המתלונן. עם זאת, דחיתי את טענת הנאשם להגנה עצמית מפני סיכון שנשקף לו מהמתלונן וקבעתי כי מדובר ב"חמימות מוח" גרידא, דהיינו הנאשם יצא מרכבו רק כי המתלונן דפק, בחוזקה כנראה, על גג רכב הנאשם, ויציאת הנאשם מרכבו היתה האלמנט שהסלים את האוירה ואת האלימות וסופה בתקיפה שתקף את המתלונן.</w:t>
      </w:r>
    </w:p>
    <w:p w14:paraId="547DE394" w14:textId="77777777" w:rsidR="00921FE5" w:rsidRDefault="00921FE5">
      <w:pPr>
        <w:rPr>
          <w:rFonts w:ascii="Arial" w:hAnsi="Arial" w:cs="FrankRuehl"/>
          <w:sz w:val="28"/>
          <w:szCs w:val="28"/>
          <w:rtl/>
        </w:rPr>
      </w:pPr>
    </w:p>
    <w:p w14:paraId="7C9077C8" w14:textId="77777777" w:rsidR="00921FE5" w:rsidRDefault="0009236D">
      <w:pPr>
        <w:rPr>
          <w:rFonts w:ascii="Arial" w:hAnsi="Arial" w:cs="FrankRuehl"/>
          <w:sz w:val="28"/>
          <w:szCs w:val="28"/>
          <w:rtl/>
        </w:rPr>
      </w:pPr>
      <w:r>
        <w:rPr>
          <w:rFonts w:ascii="Arial" w:hAnsi="Arial" w:cs="FrankRuehl"/>
          <w:sz w:val="28"/>
          <w:szCs w:val="28"/>
          <w:rtl/>
        </w:rPr>
        <w:t>הנאשם ניהל את הגנתו, ואף שאין לבוא איתו חשבון על כך, לא ניתן להתחשב בקביעת מתחם הענישה ולנכות מעונשו בשל חרטה שהביע או לקיחת אחריות למעשה.</w:t>
      </w:r>
    </w:p>
    <w:p w14:paraId="4D503DC0" w14:textId="77777777" w:rsidR="00921FE5" w:rsidRDefault="0009236D">
      <w:pPr>
        <w:rPr>
          <w:rFonts w:ascii="Arial" w:hAnsi="Arial" w:cs="FrankRuehl"/>
          <w:sz w:val="28"/>
          <w:szCs w:val="28"/>
          <w:rtl/>
        </w:rPr>
      </w:pPr>
      <w:r>
        <w:rPr>
          <w:rFonts w:ascii="Arial" w:hAnsi="Arial" w:cs="FrankRuehl"/>
          <w:sz w:val="28"/>
          <w:szCs w:val="28"/>
          <w:rtl/>
        </w:rPr>
        <w:t>מאידך, יש לזכור כי מדובר באירוע שאירע בשנת 2007, והקשר המתרופף שבין החטא לעונשו חייב לבוא אף הוא לידי ביטוי בקביעת המתחם.</w:t>
      </w:r>
    </w:p>
    <w:p w14:paraId="1A5DBF9A" w14:textId="77777777" w:rsidR="00921FE5" w:rsidRDefault="00921FE5">
      <w:pPr>
        <w:rPr>
          <w:rFonts w:ascii="Arial" w:hAnsi="Arial" w:cs="FrankRuehl"/>
          <w:sz w:val="28"/>
          <w:szCs w:val="28"/>
          <w:rtl/>
        </w:rPr>
      </w:pPr>
    </w:p>
    <w:p w14:paraId="198C2A0D" w14:textId="77777777" w:rsidR="00921FE5" w:rsidRDefault="0009236D">
      <w:pPr>
        <w:rPr>
          <w:rFonts w:ascii="Arial" w:hAnsi="Arial" w:cs="FrankRuehl"/>
          <w:sz w:val="28"/>
          <w:szCs w:val="28"/>
          <w:rtl/>
        </w:rPr>
      </w:pPr>
      <w:r>
        <w:rPr>
          <w:rFonts w:ascii="Arial" w:hAnsi="Arial" w:cs="FrankRuehl"/>
          <w:sz w:val="28"/>
          <w:szCs w:val="28"/>
          <w:rtl/>
        </w:rPr>
        <w:t>מכל המצטבר עולה כי מתחם הענישה לעבירות אותן עבר הנאשם הינו בין מאסר על תנאי למאסר שאפשר וירוצה בעבודות שירות, לפיכך – עתירת התביעה לעונש כפי שעתרה אינו חורג ממתחם זה.</w:t>
      </w:r>
    </w:p>
    <w:p w14:paraId="3135E38E" w14:textId="77777777" w:rsidR="00921FE5" w:rsidRDefault="00921FE5">
      <w:pPr>
        <w:rPr>
          <w:rFonts w:ascii="Arial" w:hAnsi="Arial" w:cs="FrankRuehl"/>
          <w:sz w:val="28"/>
          <w:szCs w:val="28"/>
          <w:rtl/>
        </w:rPr>
      </w:pPr>
    </w:p>
    <w:p w14:paraId="7B678637" w14:textId="77777777" w:rsidR="00921FE5" w:rsidRDefault="0009236D">
      <w:pPr>
        <w:rPr>
          <w:rFonts w:ascii="Arial" w:hAnsi="Arial" w:cs="FrankRuehl"/>
          <w:sz w:val="28"/>
          <w:szCs w:val="28"/>
          <w:rtl/>
        </w:rPr>
      </w:pPr>
      <w:r>
        <w:rPr>
          <w:rFonts w:ascii="Arial" w:hAnsi="Arial" w:cs="FrankRuehl"/>
          <w:sz w:val="28"/>
          <w:szCs w:val="28"/>
          <w:rtl/>
        </w:rPr>
        <w:t>מאידך, עתירת הנאשם להימנע מהרשעתו חורגת מהמתחם, וגם אם היה ניתן להישען על הזמן הרב שחלף כמנוף להימנעות מהרשעה, ודאי שאין די באלמנט זה, כשלעצמו, כדי לשקול אי הרשעת הנאשם, אלא דרוש אלמנט שיקומי מובהק, בתוספת פגיעה קונקרטית בנאשם ש"עלותה" גבוהה מזו המתבטאת באינטרס הציבורי הרחב בהרשעה כדרך המלך, על מנת לעשות כן.</w:t>
      </w:r>
    </w:p>
    <w:p w14:paraId="4D94DEB2" w14:textId="77777777" w:rsidR="00921FE5" w:rsidRDefault="0009236D">
      <w:pPr>
        <w:rPr>
          <w:rFonts w:ascii="Arial" w:hAnsi="Arial" w:cs="FrankRuehl"/>
          <w:sz w:val="28"/>
          <w:szCs w:val="28"/>
          <w:rtl/>
        </w:rPr>
      </w:pPr>
      <w:r>
        <w:rPr>
          <w:rFonts w:ascii="Arial" w:hAnsi="Arial" w:cs="FrankRuehl"/>
          <w:sz w:val="28"/>
          <w:szCs w:val="28"/>
          <w:rtl/>
        </w:rPr>
        <w:t xml:space="preserve">ביהמ"ש קבע את הנסיבות בהן ימנע מהרשעתו של אדם ( ר' </w:t>
      </w:r>
      <w:hyperlink r:id="rId9" w:history="1">
        <w:r w:rsidRPr="0009236D">
          <w:rPr>
            <w:rFonts w:ascii="Arial" w:hAnsi="Arial" w:cs="FrankRuehl"/>
            <w:color w:val="0000FF"/>
            <w:sz w:val="28"/>
            <w:szCs w:val="28"/>
            <w:u w:val="single"/>
            <w:rtl/>
          </w:rPr>
          <w:t>ע"פ 2083/96 כתב נ' מדינת ישראל, פ"ד נב</w:t>
        </w:r>
      </w:hyperlink>
      <w:r>
        <w:rPr>
          <w:rFonts w:ascii="Arial" w:hAnsi="Arial" w:cs="FrankRuehl"/>
          <w:sz w:val="28"/>
          <w:szCs w:val="28"/>
          <w:rtl/>
        </w:rPr>
        <w:t xml:space="preserve"> (3) 337, (1997) בעמ' 342:</w:t>
      </w:r>
    </w:p>
    <w:p w14:paraId="63303019" w14:textId="77777777" w:rsidR="00921FE5" w:rsidRDefault="0009236D">
      <w:pPr>
        <w:rPr>
          <w:rFonts w:ascii="Arial" w:hAnsi="Arial" w:cs="FrankRuehl"/>
          <w:sz w:val="28"/>
          <w:szCs w:val="28"/>
          <w:rtl/>
        </w:rPr>
      </w:pPr>
      <w:r>
        <w:rPr>
          <w:rFonts w:ascii="Arial" w:hAnsi="Arial" w:cs="FrankRuehl"/>
          <w:sz w:val="28"/>
          <w:szCs w:val="28"/>
          <w:rtl/>
        </w:rPr>
        <w:t xml:space="preserve">" </w:t>
      </w:r>
      <w:r>
        <w:rPr>
          <w:rFonts w:ascii="Arial" w:hAnsi="Arial" w:cs="FrankRuehl"/>
          <w:b/>
          <w:bCs/>
          <w:sz w:val="28"/>
          <w:szCs w:val="28"/>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r>
        <w:rPr>
          <w:rFonts w:ascii="Arial" w:hAnsi="Arial" w:cs="FrankRuehl"/>
          <w:sz w:val="28"/>
          <w:szCs w:val="28"/>
          <w:rtl/>
        </w:rPr>
        <w:t>".</w:t>
      </w:r>
    </w:p>
    <w:p w14:paraId="4AB21C54" w14:textId="77777777" w:rsidR="00921FE5" w:rsidRDefault="00921FE5">
      <w:pPr>
        <w:rPr>
          <w:rFonts w:ascii="Arial" w:hAnsi="Arial" w:cs="FrankRuehl"/>
          <w:sz w:val="28"/>
          <w:szCs w:val="28"/>
          <w:rtl/>
        </w:rPr>
      </w:pPr>
    </w:p>
    <w:p w14:paraId="2DF595EA" w14:textId="77777777" w:rsidR="00921FE5" w:rsidRDefault="0009236D">
      <w:pPr>
        <w:rPr>
          <w:rFonts w:ascii="Arial" w:hAnsi="Arial" w:cs="FrankRuehl"/>
          <w:sz w:val="28"/>
          <w:szCs w:val="28"/>
          <w:rtl/>
        </w:rPr>
      </w:pPr>
      <w:r>
        <w:rPr>
          <w:rFonts w:ascii="Arial" w:hAnsi="Arial" w:cs="FrankRuehl"/>
          <w:sz w:val="28"/>
          <w:szCs w:val="28"/>
          <w:rtl/>
        </w:rPr>
        <w:t>מחד גיסא, על בית המשפט לשקול את האינטרס הציבורי, אינטרס זה יגלם בתוכו את חומרתה של העבירה ואילו מאידך גיסא את שיקולי השיקום של הנאשם, האם יש בכוחם לגבור על האינטרס הציבורי.</w:t>
      </w:r>
    </w:p>
    <w:p w14:paraId="4184EBDA" w14:textId="77777777" w:rsidR="00921FE5" w:rsidRDefault="0009236D">
      <w:pPr>
        <w:rPr>
          <w:rFonts w:ascii="Arial" w:hAnsi="Arial" w:cs="FrankRuehl"/>
          <w:sz w:val="28"/>
          <w:szCs w:val="28"/>
          <w:rtl/>
        </w:rPr>
      </w:pPr>
      <w:r>
        <w:rPr>
          <w:rFonts w:ascii="Arial" w:hAnsi="Arial" w:cs="FrankRuehl"/>
          <w:sz w:val="28"/>
          <w:szCs w:val="28"/>
          <w:rtl/>
        </w:rPr>
        <w:t>שיקולי השיקום יבואו לידי ביטוי בנאשם האינדיבידואלי שעומד בפני בית המשפט, כאשר שאלת מהות העבירה אינה הדבר היחיד העומד לנגד עיניו, הנאשם, שיקומו ועתידו הינו אחד ממכלול השיקולים העומדים בפניו של בית המשפט ויש בהם, בעת הצורך להוות שיקול מכריע.</w:t>
      </w:r>
    </w:p>
    <w:p w14:paraId="2358ECBA" w14:textId="77777777" w:rsidR="00921FE5" w:rsidRDefault="00921FE5">
      <w:pPr>
        <w:rPr>
          <w:rFonts w:ascii="Arial" w:hAnsi="Arial" w:cs="FrankRuehl"/>
          <w:sz w:val="28"/>
          <w:szCs w:val="28"/>
          <w:rtl/>
        </w:rPr>
      </w:pPr>
    </w:p>
    <w:p w14:paraId="257E6FF1" w14:textId="77777777" w:rsidR="00921FE5" w:rsidRDefault="00921FE5">
      <w:pPr>
        <w:rPr>
          <w:rFonts w:ascii="Arial" w:hAnsi="Arial" w:cs="FrankRuehl"/>
          <w:sz w:val="28"/>
          <w:szCs w:val="28"/>
          <w:rtl/>
        </w:rPr>
      </w:pPr>
    </w:p>
    <w:p w14:paraId="7E993841" w14:textId="77777777" w:rsidR="00921FE5" w:rsidRDefault="0009236D">
      <w:pPr>
        <w:rPr>
          <w:rFonts w:ascii="Arial" w:hAnsi="Arial" w:cs="FrankRuehl"/>
          <w:sz w:val="28"/>
          <w:szCs w:val="28"/>
          <w:rtl/>
        </w:rPr>
      </w:pPr>
      <w:r>
        <w:rPr>
          <w:rFonts w:ascii="Arial" w:hAnsi="Arial" w:cs="FrankRuehl"/>
          <w:sz w:val="28"/>
          <w:szCs w:val="28"/>
          <w:rtl/>
        </w:rPr>
        <w:t>על פי תסקיר שירות המבחן הנאשם הינו אדם נורמטיבי, בעל ערכים מקובלים, יכולות תפקוד טובות, אדם שאינו אלים בדרך כלל ואינו בעל מאפייני אישיות המורים על סיכון לאלימות מצידו בעתיד, על פי התסקיר מדובר במקרה חד פעמי שאינו מאפיין את הנאשם.</w:t>
      </w:r>
    </w:p>
    <w:p w14:paraId="57100F4C" w14:textId="77777777" w:rsidR="00921FE5" w:rsidRDefault="0009236D">
      <w:pPr>
        <w:rPr>
          <w:rFonts w:ascii="Arial" w:hAnsi="Arial" w:cs="FrankRuehl"/>
          <w:sz w:val="28"/>
          <w:szCs w:val="28"/>
          <w:rtl/>
        </w:rPr>
      </w:pPr>
      <w:r>
        <w:rPr>
          <w:rFonts w:ascii="Arial" w:hAnsi="Arial" w:cs="FrankRuehl"/>
          <w:sz w:val="28"/>
          <w:szCs w:val="28"/>
          <w:rtl/>
        </w:rPr>
        <w:t>אף שהתרשמות זו אינה מצביעה על "שיקום", לכאורה הנאשם אינו זקוק לשיקום כלל, ואולם קשה לי לראות, בהיבט כלשהו של הנאשם או של ההתרחשות, כיצד עולה התרשמות שירות המבחן בקנה אחד עם התנהגותו של הנאשם באירוע אשר היה בה אלמנט מובהק של "עשיית חשבון" עם המתלונן שדפק על גג רכבו של הנאשם, ושל "לא לצאת פראייר" – על דרך של "לצאת מהאוטו", באופן המסלים אווירה ומביאה לכלל נפיצות, כפי שאכן אירעה בפועל, כאשר התקרב למתלונן ונגח בראשו.</w:t>
      </w:r>
    </w:p>
    <w:p w14:paraId="1E27AFDA" w14:textId="77777777" w:rsidR="00921FE5" w:rsidRDefault="00921FE5">
      <w:pPr>
        <w:rPr>
          <w:rFonts w:ascii="Arial" w:hAnsi="Arial" w:cs="FrankRuehl"/>
          <w:sz w:val="28"/>
          <w:szCs w:val="28"/>
          <w:rtl/>
        </w:rPr>
      </w:pPr>
    </w:p>
    <w:p w14:paraId="7391FE7B" w14:textId="77777777" w:rsidR="00921FE5" w:rsidRDefault="0009236D">
      <w:pPr>
        <w:rPr>
          <w:rFonts w:ascii="Arial" w:hAnsi="Arial" w:cs="FrankRuehl"/>
          <w:sz w:val="28"/>
          <w:szCs w:val="28"/>
          <w:rtl/>
        </w:rPr>
      </w:pPr>
      <w:r>
        <w:rPr>
          <w:rFonts w:ascii="Arial" w:hAnsi="Arial" w:cs="FrankRuehl"/>
          <w:sz w:val="28"/>
          <w:szCs w:val="28"/>
          <w:rtl/>
        </w:rPr>
        <w:t>בנתונים אלה, סטייה ממתחם הענישה לכיוון של אי הרשעה, עוד קודם להוכחת האינטרס הקונקרטי של הנאשם, היתה מחייבת שיקום אמיתי, דהיינו לקיחת אחריות, הבנה והפנמה של הפסול בהתנהגות, חרטה עליה ונקיטת צעדים כאלו או אחרים שישכנעו את בית המשפט כי בסיטואציה דומה בעתיד יבחר הנאשם בדרכי התנהגות שונים שימנעו הגעה לתוצאה דומה או קרובה לזו שהתרחשה במציאות.</w:t>
      </w:r>
    </w:p>
    <w:p w14:paraId="42DCAF0B" w14:textId="77777777" w:rsidR="00921FE5" w:rsidRDefault="00921FE5">
      <w:pPr>
        <w:rPr>
          <w:rFonts w:ascii="Arial" w:hAnsi="Arial" w:cs="FrankRuehl"/>
          <w:sz w:val="28"/>
          <w:szCs w:val="28"/>
          <w:rtl/>
        </w:rPr>
      </w:pPr>
    </w:p>
    <w:p w14:paraId="2734044D" w14:textId="77777777" w:rsidR="00921FE5" w:rsidRDefault="0009236D">
      <w:pPr>
        <w:rPr>
          <w:rFonts w:ascii="Arial" w:hAnsi="Arial" w:cs="FrankRuehl"/>
          <w:sz w:val="28"/>
          <w:szCs w:val="28"/>
          <w:rtl/>
        </w:rPr>
      </w:pPr>
      <w:r>
        <w:rPr>
          <w:rFonts w:ascii="Arial" w:hAnsi="Arial" w:cs="FrankRuehl"/>
          <w:sz w:val="28"/>
          <w:szCs w:val="28"/>
          <w:rtl/>
        </w:rPr>
        <w:t>בהיעדר דבר מאלה, לא ניתן לשקול אי הרשעה לנאשם, קל וחומר כאשר לא הוכח כל אינטרס קונקרטי, לבד מאלה המהווים אינטרס של כל נאשם שלא להיות מורשע, ובהם התחושה הקשה והתיוג כמי שהמרחק בינו לבין "עבריינות" הצטמצם.</w:t>
      </w:r>
    </w:p>
    <w:p w14:paraId="1195C682" w14:textId="77777777" w:rsidR="00921FE5" w:rsidRDefault="00921FE5">
      <w:pPr>
        <w:rPr>
          <w:rFonts w:ascii="Arial" w:hAnsi="Arial" w:cs="FrankRuehl"/>
          <w:sz w:val="28"/>
          <w:szCs w:val="28"/>
          <w:rtl/>
        </w:rPr>
      </w:pPr>
    </w:p>
    <w:p w14:paraId="39ED161C" w14:textId="77777777" w:rsidR="00921FE5" w:rsidRDefault="0009236D">
      <w:pPr>
        <w:rPr>
          <w:rFonts w:ascii="Arial" w:hAnsi="Arial" w:cs="FrankRuehl"/>
          <w:sz w:val="28"/>
          <w:szCs w:val="28"/>
          <w:rtl/>
        </w:rPr>
      </w:pPr>
      <w:r>
        <w:rPr>
          <w:rFonts w:ascii="Arial" w:hAnsi="Arial" w:cs="FrankRuehl"/>
          <w:sz w:val="28"/>
          <w:szCs w:val="28"/>
          <w:rtl/>
        </w:rPr>
        <w:t>רק נסיבות הזמן הרב שחלף, ותיאורו של הנאשם כנורמטיבי לחלוטין על ידי שירות המבחן, שאיני יכול להתעלם ממנו כ"משקף" לחייו של הנאשם עד כה, כמגובה גם בהיעדר הרשעות או תיקים פתוחים נוספים, שמשקלם במקרה זה רב, מביאים אותי לקבוע את הענישה ברף התחתון של המתחם.</w:t>
      </w:r>
    </w:p>
    <w:p w14:paraId="57760271" w14:textId="77777777" w:rsidR="00921FE5" w:rsidRDefault="00921FE5">
      <w:pPr>
        <w:rPr>
          <w:rFonts w:ascii="Arial" w:hAnsi="Arial" w:cs="FrankRuehl"/>
          <w:sz w:val="28"/>
          <w:szCs w:val="28"/>
          <w:rtl/>
        </w:rPr>
      </w:pPr>
    </w:p>
    <w:p w14:paraId="654893D2" w14:textId="77777777" w:rsidR="00921FE5" w:rsidRDefault="0009236D">
      <w:pPr>
        <w:rPr>
          <w:rFonts w:ascii="Arial" w:hAnsi="Arial" w:cs="FrankRuehl"/>
          <w:sz w:val="28"/>
          <w:szCs w:val="28"/>
          <w:rtl/>
        </w:rPr>
      </w:pPr>
      <w:r>
        <w:rPr>
          <w:rFonts w:ascii="Arial" w:hAnsi="Arial" w:cs="FrankRuehl"/>
          <w:sz w:val="28"/>
          <w:szCs w:val="28"/>
          <w:rtl/>
        </w:rPr>
        <w:t>לאור כל האמור לעיל אני מטיל על הנאשם את העונשים הבאים:</w:t>
      </w:r>
    </w:p>
    <w:p w14:paraId="2C5BD946" w14:textId="77777777" w:rsidR="00921FE5" w:rsidRDefault="00921FE5">
      <w:pPr>
        <w:rPr>
          <w:rFonts w:ascii="Arial" w:hAnsi="Arial" w:cs="FrankRuehl"/>
          <w:sz w:val="28"/>
          <w:szCs w:val="28"/>
          <w:rtl/>
        </w:rPr>
      </w:pPr>
    </w:p>
    <w:p w14:paraId="5AAB212E" w14:textId="77777777" w:rsidR="00921FE5" w:rsidRDefault="0009236D">
      <w:pPr>
        <w:rPr>
          <w:rFonts w:ascii="Arial" w:hAnsi="Arial" w:cs="FrankRuehl"/>
          <w:sz w:val="28"/>
          <w:szCs w:val="28"/>
          <w:rtl/>
        </w:rPr>
      </w:pPr>
      <w:r>
        <w:rPr>
          <w:rFonts w:ascii="Arial" w:hAnsi="Arial" w:cs="FrankRuehl"/>
          <w:sz w:val="28"/>
          <w:szCs w:val="28"/>
          <w:rtl/>
        </w:rPr>
        <w:t xml:space="preserve">1.מאסר למשך 4 חודשים ואולם הנאשם לא ירצה עונש זה אלא אם יעבור כל עבירת אלימות לפי </w:t>
      </w:r>
      <w:hyperlink r:id="rId10" w:history="1">
        <w:r w:rsidRPr="0009236D">
          <w:rPr>
            <w:rFonts w:ascii="Arial" w:hAnsi="Arial" w:cs="FrankRuehl"/>
            <w:color w:val="0000FF"/>
            <w:sz w:val="28"/>
            <w:szCs w:val="28"/>
            <w:u w:val="single"/>
            <w:rtl/>
          </w:rPr>
          <w:t>חוק העונשין</w:t>
        </w:r>
      </w:hyperlink>
      <w:r>
        <w:rPr>
          <w:rFonts w:ascii="Arial" w:hAnsi="Arial" w:cs="FrankRuehl"/>
          <w:sz w:val="28"/>
          <w:szCs w:val="28"/>
          <w:rtl/>
        </w:rPr>
        <w:t xml:space="preserve"> תוך שנתיים מהיום.</w:t>
      </w:r>
    </w:p>
    <w:p w14:paraId="7224B7E0" w14:textId="77777777" w:rsidR="00921FE5" w:rsidRDefault="0009236D">
      <w:pPr>
        <w:rPr>
          <w:rFonts w:ascii="Arial" w:hAnsi="Arial" w:cs="FrankRuehl"/>
          <w:sz w:val="28"/>
          <w:szCs w:val="28"/>
          <w:rtl/>
        </w:rPr>
      </w:pPr>
      <w:r>
        <w:rPr>
          <w:rFonts w:ascii="Arial" w:hAnsi="Arial" w:cs="FrankRuehl"/>
          <w:sz w:val="28"/>
          <w:szCs w:val="28"/>
          <w:rtl/>
        </w:rPr>
        <w:t>2. אני גוזר על הנאשם פיצוי בסך 1500 ש"ח למתלונן שפרטיו מצויים בסעיף 1 לרשימת עדי התביעה.</w:t>
      </w:r>
    </w:p>
    <w:p w14:paraId="05AF083C" w14:textId="77777777" w:rsidR="00921FE5" w:rsidRDefault="0009236D">
      <w:pPr>
        <w:rPr>
          <w:rFonts w:ascii="Arial" w:hAnsi="Arial" w:cs="FrankRuehl"/>
          <w:sz w:val="28"/>
          <w:szCs w:val="28"/>
          <w:rtl/>
        </w:rPr>
      </w:pPr>
      <w:r>
        <w:rPr>
          <w:rFonts w:ascii="Arial" w:hAnsi="Arial" w:cs="FrankRuehl"/>
          <w:sz w:val="28"/>
          <w:szCs w:val="28"/>
          <w:rtl/>
        </w:rPr>
        <w:t>3. אני גוזר על הנאשם קנס בסך 1500 ש"ח, הקנס  והפיצוי ישולמו עד ליום 01.07.13</w:t>
      </w:r>
    </w:p>
    <w:p w14:paraId="26DBA304" w14:textId="77777777" w:rsidR="00921FE5" w:rsidRDefault="0009236D">
      <w:pPr>
        <w:rPr>
          <w:rFonts w:ascii="Arial" w:hAnsi="Arial" w:cs="FrankRuehl"/>
          <w:sz w:val="28"/>
          <w:szCs w:val="28"/>
          <w:rtl/>
        </w:rPr>
      </w:pPr>
      <w:r>
        <w:rPr>
          <w:rFonts w:ascii="Arial" w:hAnsi="Arial" w:cs="FrankRuehl"/>
          <w:sz w:val="28"/>
          <w:szCs w:val="28"/>
          <w:rtl/>
        </w:rPr>
        <w:t xml:space="preserve">4. אני פוסל את הנאשם מהחזקת רישיון נהיגה למשך 6 חודשים ואולם הנאשם לא ירצה עונש זה אלא אם יעבור בתוך 3 שנים מהיום אחת מהעבירות לפי </w:t>
      </w:r>
      <w:hyperlink r:id="rId11" w:history="1">
        <w:r w:rsidRPr="0009236D">
          <w:rPr>
            <w:rFonts w:ascii="Arial" w:hAnsi="Arial" w:cs="FrankRuehl"/>
            <w:color w:val="0000FF"/>
            <w:sz w:val="28"/>
            <w:szCs w:val="28"/>
            <w:u w:val="single"/>
            <w:rtl/>
          </w:rPr>
          <w:t>פקודת התעבורה</w:t>
        </w:r>
      </w:hyperlink>
      <w:r>
        <w:rPr>
          <w:rFonts w:ascii="Arial" w:hAnsi="Arial" w:cs="FrankRuehl"/>
          <w:sz w:val="28"/>
          <w:szCs w:val="28"/>
          <w:rtl/>
        </w:rPr>
        <w:t xml:space="preserve"> בהן הורשע לפני.</w:t>
      </w:r>
    </w:p>
    <w:p w14:paraId="5309934A" w14:textId="77777777" w:rsidR="00921FE5" w:rsidRDefault="00921FE5">
      <w:pPr>
        <w:rPr>
          <w:rFonts w:ascii="Arial" w:hAnsi="Arial" w:cs="FrankRuehl"/>
          <w:sz w:val="28"/>
          <w:szCs w:val="28"/>
          <w:rtl/>
        </w:rPr>
      </w:pPr>
    </w:p>
    <w:p w14:paraId="3164589F" w14:textId="77777777" w:rsidR="00921FE5" w:rsidRDefault="0009236D">
      <w:pPr>
        <w:rPr>
          <w:rFonts w:cs="Times New Roman"/>
          <w:noProof w:val="0"/>
        </w:rPr>
      </w:pPr>
      <w:bookmarkStart w:id="5" w:name="_GoBack"/>
      <w:bookmarkEnd w:id="5"/>
      <w:r>
        <w:rPr>
          <w:rFonts w:ascii="Arial" w:hAnsi="Arial" w:cs="Arial"/>
          <w:b/>
          <w:bCs/>
          <w:noProof w:val="0"/>
          <w:rtl/>
        </w:rPr>
        <w:t>זכות ערעור</w:t>
      </w:r>
      <w:r>
        <w:rPr>
          <w:rFonts w:ascii="Arial" w:hAnsi="Arial" w:cs="Arial" w:hint="cs"/>
          <w:b/>
          <w:bCs/>
          <w:noProof w:val="0"/>
          <w:rtl/>
        </w:rPr>
        <w:t xml:space="preserve"> לבית משפט מחוזי</w:t>
      </w:r>
      <w:r>
        <w:rPr>
          <w:rFonts w:ascii="Arial" w:hAnsi="Arial" w:cs="Arial"/>
          <w:b/>
          <w:bCs/>
          <w:noProof w:val="0"/>
          <w:rtl/>
        </w:rPr>
        <w:t xml:space="preserve"> תוך 45 יום . </w:t>
      </w:r>
    </w:p>
    <w:p w14:paraId="71A8A453" w14:textId="77777777" w:rsidR="00921FE5" w:rsidRDefault="00921FE5">
      <w:pPr>
        <w:rPr>
          <w:rFonts w:cs="FrankRuehl"/>
          <w:sz w:val="28"/>
          <w:szCs w:val="28"/>
          <w:rtl/>
        </w:rPr>
      </w:pPr>
    </w:p>
    <w:p w14:paraId="6DB4F8D0" w14:textId="77777777" w:rsidR="00921FE5" w:rsidRPr="0009236D" w:rsidRDefault="0009236D">
      <w:pPr>
        <w:rPr>
          <w:rFonts w:cs="FrankRuehl"/>
          <w:color w:val="FFFFFF"/>
          <w:sz w:val="2"/>
          <w:szCs w:val="2"/>
          <w:rtl/>
        </w:rPr>
      </w:pPr>
      <w:r w:rsidRPr="0009236D">
        <w:rPr>
          <w:rFonts w:cs="FrankRuehl"/>
          <w:color w:val="FFFFFF"/>
          <w:sz w:val="2"/>
          <w:szCs w:val="2"/>
          <w:rtl/>
        </w:rPr>
        <w:t>5129371</w:t>
      </w:r>
    </w:p>
    <w:p w14:paraId="52BA3CB9" w14:textId="77777777" w:rsidR="00921FE5" w:rsidRDefault="0009236D">
      <w:pPr>
        <w:rPr>
          <w:rFonts w:cs="FrankRuehl"/>
          <w:sz w:val="28"/>
          <w:szCs w:val="28"/>
          <w:rtl/>
        </w:rPr>
      </w:pPr>
      <w:r w:rsidRPr="0009236D">
        <w:rPr>
          <w:rFonts w:ascii="Arial" w:hAnsi="Arial"/>
          <w:color w:val="FFFFFF"/>
          <w:sz w:val="2"/>
          <w:szCs w:val="2"/>
          <w:rtl/>
        </w:rPr>
        <w:t>54678313</w:t>
      </w:r>
      <w:r>
        <w:rPr>
          <w:rFonts w:ascii="Arial" w:hAnsi="Arial"/>
          <w:rtl/>
        </w:rPr>
        <w:t xml:space="preserve">ניתן היום,  ו' ניסן תשע"ג, 19 מרץ 2013, בנוכחות הצדדים. </w:t>
      </w:r>
    </w:p>
    <w:p w14:paraId="4DB8541B" w14:textId="77777777" w:rsidR="0009236D" w:rsidRPr="0009236D" w:rsidRDefault="0009236D" w:rsidP="0009236D">
      <w:pPr>
        <w:keepNext/>
        <w:rPr>
          <w:rFonts w:ascii="David" w:hAnsi="David"/>
          <w:color w:val="000000"/>
          <w:sz w:val="22"/>
          <w:szCs w:val="22"/>
          <w:rtl/>
        </w:rPr>
      </w:pPr>
    </w:p>
    <w:p w14:paraId="337F73EA" w14:textId="77777777" w:rsidR="0009236D" w:rsidRPr="0009236D" w:rsidRDefault="0009236D" w:rsidP="0009236D">
      <w:pPr>
        <w:keepNext/>
        <w:rPr>
          <w:rFonts w:ascii="David" w:hAnsi="David"/>
          <w:color w:val="000000"/>
          <w:sz w:val="22"/>
          <w:szCs w:val="22"/>
          <w:rtl/>
        </w:rPr>
      </w:pPr>
      <w:r w:rsidRPr="0009236D">
        <w:rPr>
          <w:rFonts w:ascii="David" w:hAnsi="David"/>
          <w:color w:val="000000"/>
          <w:sz w:val="22"/>
          <w:szCs w:val="22"/>
          <w:rtl/>
        </w:rPr>
        <w:t>אביחי דורון 54678313</w:t>
      </w:r>
    </w:p>
    <w:p w14:paraId="3B8EA542" w14:textId="77777777" w:rsidR="0009236D" w:rsidRDefault="0009236D" w:rsidP="0009236D">
      <w:r w:rsidRPr="0009236D">
        <w:rPr>
          <w:color w:val="000000"/>
          <w:rtl/>
        </w:rPr>
        <w:t>נוסח מסמך זה כפוף לשינויי ניסוח ועריכה</w:t>
      </w:r>
    </w:p>
    <w:p w14:paraId="6A66B93A" w14:textId="77777777" w:rsidR="0009236D" w:rsidRDefault="0009236D" w:rsidP="0009236D">
      <w:pPr>
        <w:rPr>
          <w:rtl/>
        </w:rPr>
      </w:pPr>
    </w:p>
    <w:p w14:paraId="01DCE7A0" w14:textId="77777777" w:rsidR="0009236D" w:rsidRDefault="0009236D" w:rsidP="0009236D">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12AE9AC7" w14:textId="77777777" w:rsidR="00921FE5" w:rsidRPr="0009236D" w:rsidRDefault="00921FE5" w:rsidP="0009236D">
      <w:pPr>
        <w:jc w:val="center"/>
        <w:rPr>
          <w:color w:val="0000FF"/>
          <w:u w:val="single"/>
        </w:rPr>
      </w:pPr>
    </w:p>
    <w:sectPr w:rsidR="00921FE5" w:rsidRPr="0009236D" w:rsidSect="0009236D">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DF9FE" w14:textId="77777777" w:rsidR="005A0BA5" w:rsidRPr="00A004B3" w:rsidRDefault="005A0BA5">
      <w:pPr>
        <w:rPr>
          <w:rFonts w:cs="Arial"/>
          <w:szCs w:val="20"/>
        </w:rPr>
      </w:pPr>
      <w:r>
        <w:separator/>
      </w:r>
    </w:p>
  </w:endnote>
  <w:endnote w:type="continuationSeparator" w:id="0">
    <w:p w14:paraId="001FDEEE" w14:textId="77777777" w:rsidR="005A0BA5" w:rsidRPr="00A004B3" w:rsidRDefault="005A0BA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28CE7" w14:textId="77777777" w:rsidR="0009236D" w:rsidRDefault="0009236D" w:rsidP="0009236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CB42E25" w14:textId="77777777" w:rsidR="0009236D" w:rsidRPr="0009236D" w:rsidRDefault="0009236D" w:rsidP="0009236D">
    <w:pPr>
      <w:pStyle w:val="a4"/>
      <w:pBdr>
        <w:top w:val="single" w:sz="4" w:space="1" w:color="auto"/>
        <w:between w:val="single" w:sz="4" w:space="0" w:color="auto"/>
      </w:pBdr>
      <w:spacing w:after="60"/>
      <w:jc w:val="center"/>
      <w:rPr>
        <w:rFonts w:ascii="FrankRuehl" w:hAnsi="FrankRuehl" w:cs="FrankRuehl"/>
        <w:color w:val="000000"/>
      </w:rPr>
    </w:pPr>
    <w:r w:rsidRPr="000923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AE515" w14:textId="77777777" w:rsidR="0009236D" w:rsidRDefault="0009236D" w:rsidP="0009236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1316">
      <w:rPr>
        <w:rFonts w:ascii="FrankRuehl" w:hAnsi="FrankRuehl" w:cs="FrankRuehl"/>
        <w:rtl/>
      </w:rPr>
      <w:t>1</w:t>
    </w:r>
    <w:r>
      <w:rPr>
        <w:rFonts w:ascii="FrankRuehl" w:hAnsi="FrankRuehl" w:cs="FrankRuehl"/>
        <w:rtl/>
      </w:rPr>
      <w:fldChar w:fldCharType="end"/>
    </w:r>
  </w:p>
  <w:p w14:paraId="1063289B" w14:textId="77777777" w:rsidR="0009236D" w:rsidRPr="0009236D" w:rsidRDefault="0009236D" w:rsidP="0009236D">
    <w:pPr>
      <w:pStyle w:val="a4"/>
      <w:pBdr>
        <w:top w:val="single" w:sz="4" w:space="1" w:color="auto"/>
        <w:between w:val="single" w:sz="4" w:space="0" w:color="auto"/>
      </w:pBdr>
      <w:spacing w:after="60"/>
      <w:jc w:val="center"/>
      <w:rPr>
        <w:rFonts w:ascii="FrankRuehl" w:hAnsi="FrankRuehl" w:cs="FrankRuehl"/>
        <w:color w:val="000000"/>
      </w:rPr>
    </w:pPr>
    <w:r w:rsidRPr="0009236D">
      <w:rPr>
        <w:rFonts w:ascii="FrankRuehl" w:hAnsi="FrankRuehl" w:cs="FrankRuehl"/>
        <w:color w:val="000000"/>
      </w:rPr>
      <w:pict w14:anchorId="5E960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4259F" w14:textId="77777777" w:rsidR="005A0BA5" w:rsidRPr="00A004B3" w:rsidRDefault="005A0BA5">
      <w:pPr>
        <w:rPr>
          <w:rFonts w:cs="Arial"/>
          <w:szCs w:val="20"/>
        </w:rPr>
      </w:pPr>
      <w:r>
        <w:separator/>
      </w:r>
    </w:p>
  </w:footnote>
  <w:footnote w:type="continuationSeparator" w:id="0">
    <w:p w14:paraId="6F2E3C8E" w14:textId="77777777" w:rsidR="005A0BA5" w:rsidRPr="00A004B3" w:rsidRDefault="005A0BA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CB342" w14:textId="77777777" w:rsidR="0009236D" w:rsidRPr="0009236D" w:rsidRDefault="0009236D" w:rsidP="000923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(ת"א) 4051/09 תפ (ת"א) 4051-09</w:t>
    </w:r>
    <w:r>
      <w:rPr>
        <w:rFonts w:ascii="David" w:hAnsi="David"/>
        <w:color w:val="000000"/>
        <w:sz w:val="22"/>
        <w:szCs w:val="22"/>
        <w:rtl/>
      </w:rPr>
      <w:tab/>
      <w:t xml:space="preserve"> מ.י. מדור תביעות פלילי ת"א נ' אברהם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9B80C" w14:textId="77777777" w:rsidR="0009236D" w:rsidRPr="0009236D" w:rsidRDefault="0009236D" w:rsidP="000923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(ת"א) 4051/09 תפ (ת"א) 4051-09</w:t>
    </w:r>
    <w:r>
      <w:rPr>
        <w:rFonts w:ascii="David" w:hAnsi="David"/>
        <w:color w:val="000000"/>
        <w:sz w:val="22"/>
        <w:szCs w:val="22"/>
        <w:rtl/>
      </w:rPr>
      <w:tab/>
      <w:t xml:space="preserve"> מ.י. מדור תביעות פלילי ת"א נ' אברהם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1FE5"/>
    <w:rsid w:val="0009236D"/>
    <w:rsid w:val="00343131"/>
    <w:rsid w:val="005A0BA5"/>
    <w:rsid w:val="00701316"/>
    <w:rsid w:val="00921FE5"/>
    <w:rsid w:val="00C119EC"/>
    <w:rsid w:val="00D74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6682ED"/>
  <w15:chartTrackingRefBased/>
  <w15:docId w15:val="{B1D11E39-5A11-448A-8640-20140203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1FE5"/>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21FE5"/>
    <w:pPr>
      <w:tabs>
        <w:tab w:val="center" w:pos="4153"/>
        <w:tab w:val="right" w:pos="8306"/>
      </w:tabs>
    </w:pPr>
  </w:style>
  <w:style w:type="paragraph" w:styleId="a4">
    <w:name w:val="footer"/>
    <w:basedOn w:val="a"/>
    <w:rsid w:val="00921FE5"/>
    <w:pPr>
      <w:tabs>
        <w:tab w:val="center" w:pos="4153"/>
        <w:tab w:val="right" w:pos="8306"/>
      </w:tabs>
    </w:pPr>
  </w:style>
  <w:style w:type="character" w:styleId="a5">
    <w:name w:val="page number"/>
    <w:basedOn w:val="a0"/>
    <w:rsid w:val="0009236D"/>
  </w:style>
  <w:style w:type="character" w:styleId="Hyperlink">
    <w:name w:val="Hyperlink"/>
    <w:basedOn w:val="a0"/>
    <w:rsid w:val="00092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73_002.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inks/law/?link=&#1514;&#1511;&#1504;&#1493;&#1514;%20&#1492;&#1514;&#1506;&#1489;&#1493;&#1512;&#1492;"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yperlink" Target="http://www.nevo.co.il/law_html/law01/P230_001.ht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html/law01/073_002.htm" TargetMode="External"/><Relationship Id="rId4" Type="http://schemas.openxmlformats.org/officeDocument/2006/relationships/footnotes" Target="footnotes.xml"/><Relationship Id="rId9" Type="http://schemas.openxmlformats.org/officeDocument/2006/relationships/hyperlink" Target="http://www.nevo.co.il/links/psika/?link=&#1506;&#1508;%202083/96&amp;Pvol=&#1504;&#1489;"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1312</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7861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5111903</vt:i4>
      </vt:variant>
      <vt:variant>
        <vt:i4>15</vt:i4>
      </vt:variant>
      <vt:variant>
        <vt:i4>0</vt:i4>
      </vt:variant>
      <vt:variant>
        <vt:i4>5</vt:i4>
      </vt:variant>
      <vt:variant>
        <vt:lpwstr>http://www.nevo.co.il/law_html/law01/P230_001.htm</vt:lpwstr>
      </vt:variant>
      <vt:variant>
        <vt:lpwstr/>
      </vt:variant>
      <vt:variant>
        <vt:i4>3932214</vt:i4>
      </vt:variant>
      <vt:variant>
        <vt:i4>12</vt:i4>
      </vt:variant>
      <vt:variant>
        <vt:i4>0</vt:i4>
      </vt:variant>
      <vt:variant>
        <vt:i4>5</vt:i4>
      </vt:variant>
      <vt:variant>
        <vt:lpwstr>http://www.nevo.co.il/law_html/law01/073_002.htm</vt:lpwstr>
      </vt:variant>
      <vt:variant>
        <vt:lpwstr/>
      </vt:variant>
      <vt:variant>
        <vt:i4>1376363</vt:i4>
      </vt:variant>
      <vt:variant>
        <vt:i4>9</vt:i4>
      </vt:variant>
      <vt:variant>
        <vt:i4>0</vt:i4>
      </vt:variant>
      <vt:variant>
        <vt:i4>5</vt:i4>
      </vt:variant>
      <vt:variant>
        <vt:lpwstr>http://www.nevo.co.il/links/psika/?link=עפ 2083/96&amp;Pvol=נב</vt:lpwstr>
      </vt:variant>
      <vt:variant>
        <vt:lpwstr/>
      </vt:variant>
      <vt:variant>
        <vt:i4>3932214</vt:i4>
      </vt:variant>
      <vt:variant>
        <vt:i4>6</vt:i4>
      </vt:variant>
      <vt:variant>
        <vt:i4>0</vt:i4>
      </vt:variant>
      <vt:variant>
        <vt:i4>5</vt:i4>
      </vt:variant>
      <vt:variant>
        <vt:lpwstr>http://www.nevo.co.il/law_html/law01/073_002.htm</vt:lpwstr>
      </vt:variant>
      <vt:variant>
        <vt:lpwstr/>
      </vt:variant>
      <vt:variant>
        <vt:i4>94961711</vt:i4>
      </vt:variant>
      <vt:variant>
        <vt:i4>3</vt:i4>
      </vt:variant>
      <vt:variant>
        <vt:i4>0</vt:i4>
      </vt:variant>
      <vt:variant>
        <vt:i4>5</vt:i4>
      </vt:variant>
      <vt:variant>
        <vt:lpwstr>http://www.nevo.co.il/links/law/?link=תקנות התעבורה</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4051</vt:lpwstr>
  </property>
  <property fmtid="{D5CDD505-2E9C-101B-9397-08002B2CF9AE}" pid="6" name="NEWPARTB">
    <vt:lpwstr/>
  </property>
  <property fmtid="{D5CDD505-2E9C-101B-9397-08002B2CF9AE}" pid="7" name="NEWPARTC">
    <vt:lpwstr>09</vt:lpwstr>
  </property>
  <property fmtid="{D5CDD505-2E9C-101B-9397-08002B2CF9AE}" pid="8" name="PROCNUM">
    <vt:lpwstr>4051</vt:lpwstr>
  </property>
  <property fmtid="{D5CDD505-2E9C-101B-9397-08002B2CF9AE}" pid="9" name="PROCYEAR">
    <vt:lpwstr>09</vt:lpwstr>
  </property>
  <property fmtid="{D5CDD505-2E9C-101B-9397-08002B2CF9AE}" pid="10" name="APPELLANT">
    <vt:lpwstr>מ.י. מדור תביעות פלילי ת#א</vt:lpwstr>
  </property>
  <property fmtid="{D5CDD505-2E9C-101B-9397-08002B2CF9AE}" pid="11" name="APPELLEE">
    <vt:lpwstr>אברהם לוי</vt:lpwstr>
  </property>
  <property fmtid="{D5CDD505-2E9C-101B-9397-08002B2CF9AE}" pid="12" name="JUDGE">
    <vt:lpwstr>אביחי דורון</vt:lpwstr>
  </property>
  <property fmtid="{D5CDD505-2E9C-101B-9397-08002B2CF9AE}" pid="13" name="CITY">
    <vt:lpwstr>ת"א</vt:lpwstr>
  </property>
  <property fmtid="{D5CDD505-2E9C-101B-9397-08002B2CF9AE}" pid="14" name="DATE">
    <vt:lpwstr>20130319</vt:lpwstr>
  </property>
  <property fmtid="{D5CDD505-2E9C-101B-9397-08002B2CF9AE}" pid="15" name="TYPE_N_DATE">
    <vt:lpwstr>38020130319</vt:lpwstr>
  </property>
  <property fmtid="{D5CDD505-2E9C-101B-9397-08002B2CF9AE}" pid="16" name="WORDNUMPAGES">
    <vt:lpwstr>4</vt:lpwstr>
  </property>
  <property fmtid="{D5CDD505-2E9C-101B-9397-08002B2CF9AE}" pid="17" name="TYPE_ABS_DATE">
    <vt:lpwstr>380020130319</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