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3B4E44" w:rsidRPr="0000229A" w14:paraId="35CE5193" w14:textId="77777777">
        <w:trPr>
          <w:trHeight w:hRule="exact" w:val="418"/>
          <w:jc w:val="center"/>
        </w:trPr>
        <w:tc>
          <w:tcPr>
            <w:tcW w:w="8721" w:type="dxa"/>
            <w:gridSpan w:val="2"/>
          </w:tcPr>
          <w:p w14:paraId="6232114B" w14:textId="77777777" w:rsidR="003B4E44" w:rsidRPr="0000229A" w:rsidRDefault="0000229A">
            <w:pPr>
              <w:pStyle w:val="a3"/>
              <w:jc w:val="center"/>
              <w:rPr>
                <w:rFonts w:ascii="Tahoma" w:hAnsi="Tahoma" w:cs="Tahoma"/>
                <w:color w:val="000080"/>
                <w:rtl/>
              </w:rPr>
            </w:pPr>
            <w:bookmarkStart w:id="0" w:name="LastJudge"/>
            <w:r w:rsidRPr="0000229A">
              <w:rPr>
                <w:rFonts w:ascii="Tahoma" w:hAnsi="Tahoma" w:cs="Tahoma"/>
                <w:b/>
                <w:bCs/>
                <w:color w:val="000080"/>
                <w:rtl/>
              </w:rPr>
              <w:t>בית משפט השלום בירושלים</w:t>
            </w:r>
          </w:p>
        </w:tc>
      </w:tr>
      <w:tr w:rsidR="003B4E44" w:rsidRPr="0000229A" w14:paraId="51F62D14" w14:textId="77777777">
        <w:trPr>
          <w:trHeight w:val="337"/>
          <w:jc w:val="center"/>
        </w:trPr>
        <w:tc>
          <w:tcPr>
            <w:tcW w:w="5046" w:type="dxa"/>
          </w:tcPr>
          <w:p w14:paraId="471C3A63" w14:textId="77777777" w:rsidR="003B4E44" w:rsidRPr="0000229A" w:rsidRDefault="0000229A">
            <w:pPr>
              <w:rPr>
                <w:rFonts w:cs="FrankRuehl"/>
                <w:sz w:val="28"/>
                <w:szCs w:val="28"/>
                <w:rtl/>
              </w:rPr>
            </w:pPr>
            <w:r w:rsidRPr="0000229A">
              <w:rPr>
                <w:rFonts w:cs="FrankRuehl"/>
                <w:sz w:val="28"/>
                <w:szCs w:val="28"/>
                <w:rtl/>
              </w:rPr>
              <w:t>ת"פ</w:t>
            </w:r>
            <w:r w:rsidRPr="0000229A">
              <w:rPr>
                <w:rFonts w:cs="FrankRuehl" w:hint="cs"/>
                <w:sz w:val="28"/>
                <w:szCs w:val="28"/>
                <w:rtl/>
              </w:rPr>
              <w:t xml:space="preserve"> </w:t>
            </w:r>
            <w:r w:rsidRPr="0000229A">
              <w:rPr>
                <w:rFonts w:cs="FrankRuehl"/>
                <w:sz w:val="28"/>
                <w:szCs w:val="28"/>
                <w:rtl/>
              </w:rPr>
              <w:t>26434-03-11</w:t>
            </w:r>
            <w:r w:rsidRPr="0000229A">
              <w:rPr>
                <w:rFonts w:cs="FrankRuehl" w:hint="cs"/>
                <w:sz w:val="28"/>
                <w:szCs w:val="28"/>
                <w:rtl/>
              </w:rPr>
              <w:t xml:space="preserve"> </w:t>
            </w:r>
            <w:r w:rsidRPr="0000229A">
              <w:rPr>
                <w:rFonts w:cs="FrankRuehl"/>
                <w:sz w:val="28"/>
                <w:szCs w:val="28"/>
                <w:rtl/>
              </w:rPr>
              <w:t>מדינת ישראל נ' אטרש</w:t>
            </w:r>
          </w:p>
          <w:p w14:paraId="20F8B478" w14:textId="77777777" w:rsidR="003B4E44" w:rsidRPr="0000229A" w:rsidRDefault="003B4E44">
            <w:pPr>
              <w:pStyle w:val="a3"/>
              <w:rPr>
                <w:rFonts w:cs="FrankRuehl"/>
                <w:sz w:val="28"/>
                <w:szCs w:val="28"/>
                <w:rtl/>
              </w:rPr>
            </w:pPr>
          </w:p>
        </w:tc>
        <w:tc>
          <w:tcPr>
            <w:tcW w:w="3675" w:type="dxa"/>
          </w:tcPr>
          <w:p w14:paraId="00302488" w14:textId="77777777" w:rsidR="003B4E44" w:rsidRPr="0000229A" w:rsidRDefault="0000229A">
            <w:pPr>
              <w:pStyle w:val="a3"/>
              <w:jc w:val="right"/>
              <w:rPr>
                <w:rFonts w:cs="FrankRuehl"/>
                <w:sz w:val="28"/>
                <w:szCs w:val="28"/>
                <w:rtl/>
              </w:rPr>
            </w:pPr>
            <w:r w:rsidRPr="0000229A">
              <w:rPr>
                <w:rFonts w:cs="FrankRuehl"/>
                <w:sz w:val="28"/>
                <w:szCs w:val="28"/>
                <w:rtl/>
              </w:rPr>
              <w:t>11 ספטמבר 2013</w:t>
            </w:r>
          </w:p>
        </w:tc>
      </w:tr>
    </w:tbl>
    <w:p w14:paraId="6C2C3088" w14:textId="77777777" w:rsidR="003B4E44" w:rsidRPr="0000229A" w:rsidRDefault="0000229A">
      <w:pPr>
        <w:pStyle w:val="a3"/>
        <w:rPr>
          <w:rtl/>
        </w:rPr>
      </w:pPr>
      <w:r w:rsidRPr="0000229A">
        <w:rPr>
          <w:rFonts w:hint="cs"/>
          <w:rtl/>
        </w:rPr>
        <w:t xml:space="preserve"> </w:t>
      </w:r>
    </w:p>
    <w:p w14:paraId="764EB894" w14:textId="77777777" w:rsidR="003B4E44" w:rsidRPr="0000229A" w:rsidRDefault="0000229A">
      <w:pPr>
        <w:pStyle w:val="a3"/>
      </w:pPr>
      <w:r w:rsidRPr="0000229A">
        <w:rPr>
          <w:rFonts w:cs="Times New Roman" w:hint="cs"/>
          <w:b/>
          <w:bCs/>
          <w:sz w:val="26"/>
          <w:szCs w:val="28"/>
          <w:rtl/>
        </w:rPr>
        <w:t xml:space="preserve"> </w:t>
      </w:r>
    </w:p>
    <w:p w14:paraId="450C0A9D" w14:textId="77777777" w:rsidR="003B4E44" w:rsidRPr="0000229A" w:rsidRDefault="003B4E4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B4E44" w:rsidRPr="0000229A" w14:paraId="33D7870A" w14:textId="77777777">
        <w:trPr>
          <w:trHeight w:val="295"/>
          <w:jc w:val="center"/>
        </w:trPr>
        <w:tc>
          <w:tcPr>
            <w:tcW w:w="923" w:type="dxa"/>
            <w:tcBorders>
              <w:top w:val="nil"/>
              <w:left w:val="nil"/>
              <w:bottom w:val="nil"/>
              <w:right w:val="nil"/>
            </w:tcBorders>
          </w:tcPr>
          <w:p w14:paraId="7A0004D2" w14:textId="77777777" w:rsidR="003B4E44" w:rsidRPr="0000229A" w:rsidRDefault="0000229A">
            <w:pPr>
              <w:jc w:val="both"/>
              <w:rPr>
                <w:rFonts w:ascii="Arial" w:hAnsi="Arial" w:cs="FrankRuehl"/>
                <w:sz w:val="28"/>
                <w:szCs w:val="28"/>
              </w:rPr>
            </w:pPr>
            <w:bookmarkStart w:id="1" w:name="_GoBack"/>
            <w:bookmarkEnd w:id="1"/>
            <w:r w:rsidRPr="0000229A">
              <w:rPr>
                <w:rFonts w:ascii="Arial" w:hAnsi="Arial" w:cs="FrankRuehl" w:hint="cs"/>
                <w:sz w:val="28"/>
                <w:szCs w:val="28"/>
                <w:rtl/>
              </w:rPr>
              <w:t>ב</w:t>
            </w:r>
            <w:r w:rsidRPr="0000229A">
              <w:rPr>
                <w:rFonts w:ascii="Arial" w:hAnsi="Arial" w:cs="FrankRuehl"/>
                <w:sz w:val="28"/>
                <w:szCs w:val="28"/>
                <w:rtl/>
              </w:rPr>
              <w:t xml:space="preserve">פני </w:t>
            </w:r>
          </w:p>
        </w:tc>
        <w:tc>
          <w:tcPr>
            <w:tcW w:w="7897" w:type="dxa"/>
            <w:gridSpan w:val="2"/>
            <w:tcBorders>
              <w:top w:val="nil"/>
              <w:left w:val="nil"/>
              <w:bottom w:val="nil"/>
              <w:right w:val="nil"/>
            </w:tcBorders>
          </w:tcPr>
          <w:p w14:paraId="6DC5D9AF" w14:textId="77777777" w:rsidR="003B4E44" w:rsidRPr="0000229A" w:rsidRDefault="0000229A">
            <w:pPr>
              <w:rPr>
                <w:rFonts w:ascii="Arial" w:hAnsi="Arial"/>
                <w:b/>
                <w:bCs/>
                <w:rtl/>
              </w:rPr>
            </w:pPr>
            <w:r w:rsidRPr="0000229A">
              <w:rPr>
                <w:rFonts w:ascii="Arial" w:hAnsi="Arial" w:hint="cs"/>
                <w:b/>
                <w:bCs/>
                <w:rtl/>
              </w:rPr>
              <w:t>כב' ה</w:t>
            </w:r>
            <w:r w:rsidRPr="0000229A">
              <w:rPr>
                <w:rFonts w:hint="cs"/>
                <w:rtl/>
              </w:rPr>
              <w:t>שופטת</w:t>
            </w:r>
            <w:r w:rsidRPr="0000229A">
              <w:rPr>
                <w:rFonts w:ascii="Arial" w:hAnsi="Arial" w:hint="cs"/>
                <w:b/>
                <w:bCs/>
                <w:rtl/>
              </w:rPr>
              <w:t xml:space="preserve">  </w:t>
            </w:r>
            <w:r w:rsidRPr="0000229A">
              <w:rPr>
                <w:rFonts w:hint="cs"/>
                <w:rtl/>
              </w:rPr>
              <w:t>דנה כהן-לקח</w:t>
            </w:r>
          </w:p>
          <w:p w14:paraId="5A3CEFE8" w14:textId="77777777" w:rsidR="003B4E44" w:rsidRPr="0000229A" w:rsidRDefault="003B4E44">
            <w:pPr>
              <w:rPr>
                <w:rtl/>
              </w:rPr>
            </w:pPr>
          </w:p>
          <w:p w14:paraId="6ECC6F52" w14:textId="77777777" w:rsidR="003B4E44" w:rsidRPr="0000229A" w:rsidRDefault="003B4E44">
            <w:pPr>
              <w:jc w:val="both"/>
              <w:rPr>
                <w:rFonts w:ascii="Arial" w:hAnsi="Arial" w:cs="FrankRuehl"/>
                <w:sz w:val="28"/>
                <w:szCs w:val="28"/>
              </w:rPr>
            </w:pPr>
          </w:p>
        </w:tc>
      </w:tr>
      <w:tr w:rsidR="003B4E44" w:rsidRPr="0000229A" w14:paraId="6B8CB4D1" w14:textId="77777777">
        <w:trPr>
          <w:trHeight w:val="355"/>
          <w:jc w:val="center"/>
        </w:trPr>
        <w:tc>
          <w:tcPr>
            <w:tcW w:w="923" w:type="dxa"/>
            <w:tcBorders>
              <w:top w:val="nil"/>
              <w:left w:val="nil"/>
              <w:bottom w:val="nil"/>
              <w:right w:val="nil"/>
            </w:tcBorders>
          </w:tcPr>
          <w:p w14:paraId="6E6453FC" w14:textId="77777777" w:rsidR="003B4E44" w:rsidRPr="0000229A" w:rsidRDefault="003B4E44">
            <w:pPr>
              <w:jc w:val="both"/>
              <w:rPr>
                <w:rFonts w:ascii="Arial" w:hAnsi="Arial" w:cs="FrankRuehl"/>
                <w:sz w:val="28"/>
                <w:szCs w:val="28"/>
                <w:rtl/>
              </w:rPr>
            </w:pPr>
            <w:bookmarkStart w:id="2" w:name="FirstAppellant"/>
          </w:p>
          <w:p w14:paraId="19F6E415" w14:textId="77777777" w:rsidR="003B4E44" w:rsidRPr="0000229A" w:rsidRDefault="0000229A">
            <w:pPr>
              <w:jc w:val="both"/>
              <w:rPr>
                <w:rFonts w:ascii="Arial" w:hAnsi="Arial" w:cs="FrankRuehl"/>
                <w:sz w:val="28"/>
                <w:szCs w:val="28"/>
              </w:rPr>
            </w:pPr>
            <w:r w:rsidRPr="0000229A">
              <w:rPr>
                <w:rFonts w:ascii="Arial" w:hAnsi="Arial" w:cs="FrankRuehl" w:hint="cs"/>
                <w:sz w:val="28"/>
                <w:szCs w:val="28"/>
                <w:rtl/>
              </w:rPr>
              <w:t>בעניין:</w:t>
            </w:r>
          </w:p>
        </w:tc>
        <w:tc>
          <w:tcPr>
            <w:tcW w:w="4126" w:type="dxa"/>
            <w:tcBorders>
              <w:top w:val="nil"/>
              <w:left w:val="nil"/>
              <w:bottom w:val="nil"/>
              <w:right w:val="nil"/>
            </w:tcBorders>
          </w:tcPr>
          <w:p w14:paraId="2F98C515" w14:textId="77777777" w:rsidR="003B4E44" w:rsidRPr="0000229A" w:rsidRDefault="003B4E44">
            <w:pPr>
              <w:jc w:val="both"/>
              <w:rPr>
                <w:rFonts w:ascii="Arial" w:hAnsi="Arial" w:cs="FrankRuehl"/>
                <w:sz w:val="28"/>
                <w:szCs w:val="28"/>
                <w:rtl/>
              </w:rPr>
            </w:pPr>
          </w:p>
          <w:p w14:paraId="12CD8D19" w14:textId="77777777" w:rsidR="003B4E44" w:rsidRPr="0000229A" w:rsidRDefault="0000229A">
            <w:r w:rsidRPr="0000229A">
              <w:rPr>
                <w:rFonts w:hint="cs"/>
                <w:rtl/>
              </w:rPr>
              <w:t>מדינת ישראל</w:t>
            </w:r>
          </w:p>
          <w:p w14:paraId="72AAC315" w14:textId="77777777" w:rsidR="003B4E44" w:rsidRPr="0000229A" w:rsidRDefault="003B4E44">
            <w:pPr>
              <w:jc w:val="both"/>
              <w:rPr>
                <w:rFonts w:ascii="Arial" w:hAnsi="Arial" w:cs="FrankRuehl"/>
                <w:sz w:val="28"/>
                <w:szCs w:val="28"/>
              </w:rPr>
            </w:pPr>
          </w:p>
        </w:tc>
        <w:tc>
          <w:tcPr>
            <w:tcW w:w="3771" w:type="dxa"/>
            <w:tcBorders>
              <w:top w:val="nil"/>
              <w:left w:val="nil"/>
              <w:bottom w:val="nil"/>
              <w:right w:val="nil"/>
            </w:tcBorders>
          </w:tcPr>
          <w:p w14:paraId="1C0AF604" w14:textId="77777777" w:rsidR="003B4E44" w:rsidRPr="0000229A" w:rsidRDefault="003B4E44">
            <w:pPr>
              <w:jc w:val="both"/>
              <w:rPr>
                <w:rFonts w:ascii="Arial" w:hAnsi="Arial" w:cs="FrankRuehl"/>
                <w:sz w:val="28"/>
                <w:szCs w:val="28"/>
              </w:rPr>
            </w:pPr>
          </w:p>
        </w:tc>
      </w:tr>
      <w:bookmarkEnd w:id="2"/>
      <w:tr w:rsidR="003B4E44" w:rsidRPr="0000229A" w14:paraId="732D7D7D" w14:textId="77777777">
        <w:trPr>
          <w:trHeight w:val="355"/>
          <w:jc w:val="center"/>
        </w:trPr>
        <w:tc>
          <w:tcPr>
            <w:tcW w:w="923" w:type="dxa"/>
            <w:tcBorders>
              <w:top w:val="nil"/>
              <w:left w:val="nil"/>
              <w:bottom w:val="nil"/>
              <w:right w:val="nil"/>
            </w:tcBorders>
          </w:tcPr>
          <w:p w14:paraId="1001AD11" w14:textId="77777777" w:rsidR="003B4E44" w:rsidRPr="0000229A" w:rsidRDefault="003B4E44">
            <w:pPr>
              <w:jc w:val="both"/>
              <w:rPr>
                <w:rFonts w:ascii="Arial" w:hAnsi="Arial" w:cs="FrankRuehl"/>
                <w:sz w:val="28"/>
                <w:szCs w:val="28"/>
                <w:rtl/>
              </w:rPr>
            </w:pPr>
          </w:p>
        </w:tc>
        <w:tc>
          <w:tcPr>
            <w:tcW w:w="4126" w:type="dxa"/>
            <w:tcBorders>
              <w:top w:val="nil"/>
              <w:left w:val="nil"/>
              <w:bottom w:val="nil"/>
              <w:right w:val="nil"/>
            </w:tcBorders>
          </w:tcPr>
          <w:p w14:paraId="2B591176" w14:textId="77777777" w:rsidR="003B4E44" w:rsidRPr="0000229A" w:rsidRDefault="003B4E44">
            <w:pPr>
              <w:jc w:val="both"/>
              <w:rPr>
                <w:rtl/>
              </w:rPr>
            </w:pPr>
          </w:p>
        </w:tc>
        <w:tc>
          <w:tcPr>
            <w:tcW w:w="3771" w:type="dxa"/>
            <w:tcBorders>
              <w:top w:val="nil"/>
              <w:left w:val="nil"/>
              <w:bottom w:val="nil"/>
              <w:right w:val="nil"/>
            </w:tcBorders>
          </w:tcPr>
          <w:p w14:paraId="12FF9CC2" w14:textId="77777777" w:rsidR="003B4E44" w:rsidRPr="0000229A" w:rsidRDefault="0000229A">
            <w:pPr>
              <w:jc w:val="right"/>
              <w:rPr>
                <w:rFonts w:ascii="Arial" w:hAnsi="Arial" w:cs="FrankRuehl"/>
                <w:sz w:val="28"/>
                <w:szCs w:val="28"/>
                <w:rtl/>
              </w:rPr>
            </w:pPr>
            <w:r w:rsidRPr="0000229A">
              <w:rPr>
                <w:rFonts w:ascii="Arial" w:hAnsi="Arial" w:cs="FrankRuehl" w:hint="cs"/>
                <w:sz w:val="28"/>
                <w:szCs w:val="28"/>
                <w:rtl/>
              </w:rPr>
              <w:t>ה</w:t>
            </w:r>
            <w:r w:rsidRPr="0000229A">
              <w:rPr>
                <w:rFonts w:hint="cs"/>
                <w:rtl/>
              </w:rPr>
              <w:t>מאשימה</w:t>
            </w:r>
          </w:p>
        </w:tc>
      </w:tr>
      <w:tr w:rsidR="003B4E44" w:rsidRPr="0000229A" w14:paraId="537FA34D" w14:textId="77777777">
        <w:trPr>
          <w:trHeight w:val="355"/>
          <w:jc w:val="center"/>
        </w:trPr>
        <w:tc>
          <w:tcPr>
            <w:tcW w:w="923" w:type="dxa"/>
            <w:tcBorders>
              <w:top w:val="nil"/>
              <w:left w:val="nil"/>
              <w:bottom w:val="nil"/>
              <w:right w:val="nil"/>
            </w:tcBorders>
          </w:tcPr>
          <w:p w14:paraId="33341B66" w14:textId="77777777" w:rsidR="003B4E44" w:rsidRPr="0000229A" w:rsidRDefault="003B4E44">
            <w:pPr>
              <w:jc w:val="both"/>
              <w:rPr>
                <w:rFonts w:ascii="Arial" w:hAnsi="Arial" w:cs="FrankRuehl"/>
                <w:sz w:val="28"/>
                <w:szCs w:val="28"/>
                <w:rtl/>
              </w:rPr>
            </w:pPr>
          </w:p>
        </w:tc>
        <w:tc>
          <w:tcPr>
            <w:tcW w:w="7897" w:type="dxa"/>
            <w:gridSpan w:val="2"/>
            <w:tcBorders>
              <w:top w:val="nil"/>
              <w:left w:val="nil"/>
              <w:bottom w:val="nil"/>
              <w:right w:val="nil"/>
            </w:tcBorders>
          </w:tcPr>
          <w:p w14:paraId="710BDC9D" w14:textId="77777777" w:rsidR="003B4E44" w:rsidRPr="0000229A" w:rsidRDefault="003B4E44">
            <w:pPr>
              <w:jc w:val="center"/>
              <w:rPr>
                <w:rFonts w:ascii="Arial" w:hAnsi="Arial" w:cs="FrankRuehl"/>
                <w:b/>
                <w:bCs/>
                <w:sz w:val="28"/>
                <w:szCs w:val="28"/>
                <w:rtl/>
              </w:rPr>
            </w:pPr>
          </w:p>
          <w:p w14:paraId="6F1B5497" w14:textId="77777777" w:rsidR="003B4E44" w:rsidRPr="0000229A" w:rsidRDefault="0000229A">
            <w:pPr>
              <w:jc w:val="center"/>
              <w:rPr>
                <w:rFonts w:ascii="Arial" w:hAnsi="Arial" w:cs="FrankRuehl"/>
                <w:b/>
                <w:bCs/>
                <w:sz w:val="28"/>
                <w:szCs w:val="28"/>
                <w:rtl/>
              </w:rPr>
            </w:pPr>
            <w:r w:rsidRPr="0000229A">
              <w:rPr>
                <w:rFonts w:ascii="Arial" w:hAnsi="Arial" w:cs="FrankRuehl"/>
                <w:b/>
                <w:bCs/>
                <w:sz w:val="28"/>
                <w:szCs w:val="28"/>
                <w:rtl/>
              </w:rPr>
              <w:t>נגד</w:t>
            </w:r>
          </w:p>
          <w:p w14:paraId="068911E1" w14:textId="77777777" w:rsidR="003B4E44" w:rsidRPr="0000229A" w:rsidRDefault="003B4E44">
            <w:pPr>
              <w:jc w:val="both"/>
              <w:rPr>
                <w:rFonts w:ascii="Arial" w:hAnsi="Arial" w:cs="FrankRuehl"/>
                <w:sz w:val="28"/>
                <w:szCs w:val="28"/>
              </w:rPr>
            </w:pPr>
          </w:p>
        </w:tc>
      </w:tr>
      <w:tr w:rsidR="003B4E44" w:rsidRPr="0000229A" w14:paraId="411A3736" w14:textId="77777777">
        <w:trPr>
          <w:trHeight w:val="355"/>
          <w:jc w:val="center"/>
        </w:trPr>
        <w:tc>
          <w:tcPr>
            <w:tcW w:w="923" w:type="dxa"/>
            <w:tcBorders>
              <w:top w:val="nil"/>
              <w:left w:val="nil"/>
              <w:bottom w:val="nil"/>
              <w:right w:val="nil"/>
            </w:tcBorders>
          </w:tcPr>
          <w:p w14:paraId="62A8B483" w14:textId="77777777" w:rsidR="003B4E44" w:rsidRPr="0000229A" w:rsidRDefault="003B4E44">
            <w:pPr>
              <w:jc w:val="both"/>
              <w:rPr>
                <w:rFonts w:ascii="Arial" w:hAnsi="Arial" w:cs="FrankRuehl"/>
                <w:sz w:val="28"/>
                <w:szCs w:val="28"/>
                <w:rtl/>
              </w:rPr>
            </w:pPr>
          </w:p>
        </w:tc>
        <w:tc>
          <w:tcPr>
            <w:tcW w:w="4126" w:type="dxa"/>
            <w:tcBorders>
              <w:top w:val="nil"/>
              <w:left w:val="nil"/>
              <w:bottom w:val="nil"/>
              <w:right w:val="nil"/>
            </w:tcBorders>
          </w:tcPr>
          <w:p w14:paraId="7D21E2DF" w14:textId="77777777" w:rsidR="003B4E44" w:rsidRPr="0000229A" w:rsidRDefault="0000229A">
            <w:pPr>
              <w:jc w:val="both"/>
              <w:rPr>
                <w:rtl/>
              </w:rPr>
            </w:pPr>
            <w:r w:rsidRPr="0000229A">
              <w:rPr>
                <w:rFonts w:hint="cs"/>
                <w:rtl/>
              </w:rPr>
              <w:t>חמיס אטרש</w:t>
            </w:r>
          </w:p>
        </w:tc>
        <w:tc>
          <w:tcPr>
            <w:tcW w:w="3771" w:type="dxa"/>
            <w:tcBorders>
              <w:top w:val="nil"/>
              <w:left w:val="nil"/>
              <w:bottom w:val="nil"/>
              <w:right w:val="nil"/>
            </w:tcBorders>
          </w:tcPr>
          <w:p w14:paraId="18098AB0" w14:textId="77777777" w:rsidR="003B4E44" w:rsidRPr="0000229A" w:rsidRDefault="003B4E44">
            <w:pPr>
              <w:jc w:val="right"/>
              <w:rPr>
                <w:rFonts w:ascii="Arial" w:hAnsi="Arial" w:cs="FrankRuehl"/>
                <w:sz w:val="28"/>
                <w:szCs w:val="28"/>
              </w:rPr>
            </w:pPr>
          </w:p>
        </w:tc>
      </w:tr>
      <w:tr w:rsidR="003B4E44" w:rsidRPr="0000229A" w14:paraId="438BC118" w14:textId="77777777">
        <w:trPr>
          <w:trHeight w:val="355"/>
          <w:jc w:val="center"/>
        </w:trPr>
        <w:tc>
          <w:tcPr>
            <w:tcW w:w="923" w:type="dxa"/>
            <w:tcBorders>
              <w:top w:val="nil"/>
              <w:left w:val="nil"/>
              <w:bottom w:val="nil"/>
              <w:right w:val="nil"/>
            </w:tcBorders>
          </w:tcPr>
          <w:p w14:paraId="25C4F214" w14:textId="77777777" w:rsidR="003B4E44" w:rsidRPr="0000229A" w:rsidRDefault="003B4E44">
            <w:pPr>
              <w:jc w:val="both"/>
              <w:rPr>
                <w:rFonts w:ascii="Arial" w:hAnsi="Arial" w:cs="FrankRuehl"/>
                <w:sz w:val="28"/>
                <w:szCs w:val="28"/>
                <w:rtl/>
              </w:rPr>
            </w:pPr>
          </w:p>
        </w:tc>
        <w:tc>
          <w:tcPr>
            <w:tcW w:w="4126" w:type="dxa"/>
            <w:tcBorders>
              <w:top w:val="nil"/>
              <w:left w:val="nil"/>
              <w:bottom w:val="nil"/>
              <w:right w:val="nil"/>
            </w:tcBorders>
          </w:tcPr>
          <w:p w14:paraId="0F87AC7B" w14:textId="77777777" w:rsidR="003B4E44" w:rsidRPr="0000229A" w:rsidRDefault="003B4E44">
            <w:pPr>
              <w:jc w:val="both"/>
              <w:rPr>
                <w:rtl/>
              </w:rPr>
            </w:pPr>
          </w:p>
        </w:tc>
        <w:tc>
          <w:tcPr>
            <w:tcW w:w="3771" w:type="dxa"/>
            <w:tcBorders>
              <w:top w:val="nil"/>
              <w:left w:val="nil"/>
              <w:bottom w:val="nil"/>
              <w:right w:val="nil"/>
            </w:tcBorders>
          </w:tcPr>
          <w:p w14:paraId="62F09B89" w14:textId="77777777" w:rsidR="003B4E44" w:rsidRPr="0000229A" w:rsidRDefault="0000229A">
            <w:pPr>
              <w:jc w:val="right"/>
              <w:rPr>
                <w:rFonts w:ascii="Arial" w:hAnsi="Arial" w:cs="FrankRuehl"/>
                <w:sz w:val="28"/>
                <w:szCs w:val="28"/>
              </w:rPr>
            </w:pPr>
            <w:r w:rsidRPr="0000229A">
              <w:rPr>
                <w:rFonts w:ascii="Arial" w:hAnsi="Arial" w:cs="FrankRuehl" w:hint="cs"/>
                <w:sz w:val="28"/>
                <w:szCs w:val="28"/>
                <w:rtl/>
              </w:rPr>
              <w:t>ה</w:t>
            </w:r>
            <w:r w:rsidRPr="0000229A">
              <w:rPr>
                <w:rFonts w:hint="cs"/>
                <w:rtl/>
              </w:rPr>
              <w:t>נאשמים</w:t>
            </w:r>
          </w:p>
        </w:tc>
      </w:tr>
    </w:tbl>
    <w:p w14:paraId="637B85E4" w14:textId="77777777" w:rsidR="00CA4AAF" w:rsidRDefault="00CA4AAF">
      <w:pPr>
        <w:rPr>
          <w:rtl/>
        </w:rPr>
      </w:pPr>
      <w:bookmarkStart w:id="3" w:name="LawTable"/>
      <w:bookmarkEnd w:id="3"/>
    </w:p>
    <w:p w14:paraId="14CC634F" w14:textId="77777777" w:rsidR="00CA4AAF" w:rsidRPr="00CA4AAF" w:rsidRDefault="00CA4AAF" w:rsidP="00CA4AAF">
      <w:pPr>
        <w:spacing w:after="120" w:line="240" w:lineRule="exact"/>
        <w:ind w:left="283" w:hanging="283"/>
        <w:jc w:val="both"/>
        <w:rPr>
          <w:rFonts w:ascii="FrankRuehl" w:hAnsi="FrankRuehl" w:cs="FrankRuehl"/>
          <w:rtl/>
        </w:rPr>
      </w:pPr>
    </w:p>
    <w:p w14:paraId="000A7B43" w14:textId="77777777" w:rsidR="00CA4AAF" w:rsidRPr="00CA4AAF" w:rsidRDefault="00CA4AAF" w:rsidP="00CA4AAF">
      <w:pPr>
        <w:spacing w:after="120" w:line="240" w:lineRule="exact"/>
        <w:ind w:left="283" w:hanging="283"/>
        <w:jc w:val="both"/>
        <w:rPr>
          <w:rFonts w:ascii="FrankRuehl" w:hAnsi="FrankRuehl" w:cs="FrankRuehl"/>
          <w:rtl/>
        </w:rPr>
      </w:pPr>
      <w:r w:rsidRPr="00CA4AAF">
        <w:rPr>
          <w:rFonts w:ascii="FrankRuehl" w:hAnsi="FrankRuehl" w:cs="FrankRuehl"/>
          <w:rtl/>
        </w:rPr>
        <w:t xml:space="preserve">חקיקה שאוזכרה: </w:t>
      </w:r>
    </w:p>
    <w:p w14:paraId="2D27573D" w14:textId="77777777" w:rsidR="00CA4AAF" w:rsidRPr="00CA4AAF" w:rsidRDefault="00CA4AAF" w:rsidP="00CA4AAF">
      <w:pPr>
        <w:spacing w:after="120" w:line="240" w:lineRule="exact"/>
        <w:ind w:left="283" w:hanging="283"/>
        <w:jc w:val="both"/>
        <w:rPr>
          <w:rFonts w:ascii="FrankRuehl" w:hAnsi="FrankRuehl" w:cs="FrankRuehl"/>
          <w:rtl/>
        </w:rPr>
      </w:pPr>
      <w:hyperlink r:id="rId6" w:history="1">
        <w:r w:rsidRPr="00CA4AAF">
          <w:rPr>
            <w:rFonts w:ascii="FrankRuehl" w:hAnsi="FrankRuehl" w:cs="FrankRuehl"/>
            <w:color w:val="0000FF"/>
            <w:u w:val="single"/>
            <w:rtl/>
          </w:rPr>
          <w:t>חוק העונשין, תשל"ז-1977</w:t>
        </w:r>
      </w:hyperlink>
      <w:r w:rsidRPr="00CA4AAF">
        <w:rPr>
          <w:rFonts w:ascii="FrankRuehl" w:hAnsi="FrankRuehl" w:cs="FrankRuehl"/>
          <w:rtl/>
        </w:rPr>
        <w:t xml:space="preserve">: סע'  </w:t>
      </w:r>
      <w:hyperlink r:id="rId7" w:history="1">
        <w:r w:rsidRPr="00CA4AAF">
          <w:rPr>
            <w:rFonts w:ascii="FrankRuehl" w:hAnsi="FrankRuehl" w:cs="FrankRuehl"/>
            <w:color w:val="0000FF"/>
            <w:u w:val="single"/>
            <w:rtl/>
          </w:rPr>
          <w:t>40ג(א)</w:t>
        </w:r>
      </w:hyperlink>
      <w:r w:rsidRPr="00CA4AAF">
        <w:rPr>
          <w:rFonts w:ascii="FrankRuehl" w:hAnsi="FrankRuehl" w:cs="FrankRuehl"/>
          <w:rtl/>
        </w:rPr>
        <w:t xml:space="preserve">, </w:t>
      </w:r>
      <w:hyperlink r:id="rId8" w:history="1">
        <w:r w:rsidRPr="00CA4AAF">
          <w:rPr>
            <w:rFonts w:ascii="FrankRuehl" w:hAnsi="FrankRuehl" w:cs="FrankRuehl"/>
            <w:color w:val="0000FF"/>
            <w:u w:val="single"/>
            <w:rtl/>
          </w:rPr>
          <w:t>144</w:t>
        </w:r>
      </w:hyperlink>
      <w:r w:rsidRPr="00CA4AAF">
        <w:rPr>
          <w:rFonts w:ascii="FrankRuehl" w:hAnsi="FrankRuehl" w:cs="FrankRuehl"/>
          <w:rtl/>
        </w:rPr>
        <w:t xml:space="preserve">, </w:t>
      </w:r>
      <w:hyperlink r:id="rId9" w:history="1">
        <w:r w:rsidRPr="00CA4AAF">
          <w:rPr>
            <w:rFonts w:ascii="FrankRuehl" w:hAnsi="FrankRuehl" w:cs="FrankRuehl"/>
            <w:color w:val="0000FF"/>
            <w:u w:val="single"/>
            <w:rtl/>
          </w:rPr>
          <w:t>144(א)</w:t>
        </w:r>
      </w:hyperlink>
    </w:p>
    <w:p w14:paraId="594A84D8" w14:textId="77777777" w:rsidR="00CA4AAF" w:rsidRPr="00CA4AAF" w:rsidRDefault="00CA4AAF" w:rsidP="00CA4AAF">
      <w:pPr>
        <w:spacing w:after="120" w:line="240" w:lineRule="exact"/>
        <w:ind w:left="283" w:hanging="283"/>
        <w:jc w:val="both"/>
        <w:rPr>
          <w:rFonts w:ascii="FrankRuehl" w:hAnsi="FrankRuehl" w:cs="FrankRuehl"/>
          <w:rtl/>
        </w:rPr>
      </w:pPr>
    </w:p>
    <w:p w14:paraId="1AD7371A" w14:textId="77777777" w:rsidR="00CA4AAF" w:rsidRPr="00CA4AAF" w:rsidRDefault="00CA4AAF">
      <w:pPr>
        <w:rPr>
          <w:rtl/>
        </w:rPr>
      </w:pPr>
      <w:bookmarkStart w:id="4" w:name="LawTable_End"/>
      <w:bookmarkEnd w:id="4"/>
    </w:p>
    <w:p w14:paraId="4D6991BF" w14:textId="77777777" w:rsidR="000F042C" w:rsidRPr="000F042C" w:rsidRDefault="000F042C">
      <w:pPr>
        <w:rPr>
          <w:rtl/>
        </w:rPr>
      </w:pPr>
    </w:p>
    <w:p w14:paraId="66093A28" w14:textId="77777777" w:rsidR="000F042C" w:rsidRPr="000F042C" w:rsidRDefault="000F042C">
      <w:pPr>
        <w:rPr>
          <w:rtl/>
        </w:rPr>
      </w:pPr>
    </w:p>
    <w:p w14:paraId="0B08EE58" w14:textId="77777777" w:rsidR="003B4E44" w:rsidRPr="000F042C" w:rsidRDefault="003B4E44"/>
    <w:p w14:paraId="70AC6954" w14:textId="77777777" w:rsidR="0000229A" w:rsidRPr="0000229A" w:rsidRDefault="0000229A" w:rsidP="0000229A">
      <w:pPr>
        <w:spacing w:after="120" w:line="360" w:lineRule="auto"/>
        <w:jc w:val="center"/>
        <w:rPr>
          <w:rFonts w:cs="FrankRuehl"/>
          <w:b/>
          <w:bCs/>
          <w:sz w:val="32"/>
          <w:szCs w:val="32"/>
          <w:u w:val="single"/>
          <w:rtl/>
        </w:rPr>
      </w:pPr>
      <w:bookmarkStart w:id="5" w:name="PsakDin"/>
      <w:bookmarkEnd w:id="0"/>
      <w:r w:rsidRPr="0000229A">
        <w:rPr>
          <w:rFonts w:cs="FrankRuehl"/>
          <w:b/>
          <w:bCs/>
          <w:sz w:val="32"/>
          <w:szCs w:val="32"/>
          <w:u w:val="single"/>
          <w:rtl/>
        </w:rPr>
        <w:t>גזר דין</w:t>
      </w:r>
    </w:p>
    <w:bookmarkEnd w:id="5"/>
    <w:p w14:paraId="2151A0AC" w14:textId="77777777" w:rsidR="003B4E44" w:rsidRDefault="003B4E44">
      <w:pPr>
        <w:spacing w:after="120" w:line="360" w:lineRule="auto"/>
        <w:jc w:val="center"/>
        <w:rPr>
          <w:rFonts w:cs="FrankRuehl"/>
          <w:b/>
          <w:bCs/>
          <w:sz w:val="28"/>
          <w:szCs w:val="28"/>
          <w:u w:val="single"/>
        </w:rPr>
      </w:pPr>
    </w:p>
    <w:p w14:paraId="538DA25A" w14:textId="77777777" w:rsidR="003B4E44" w:rsidRDefault="0000229A">
      <w:pPr>
        <w:spacing w:after="120" w:line="360" w:lineRule="auto"/>
        <w:jc w:val="both"/>
        <w:rPr>
          <w:rFonts w:cs="FrankRuehl"/>
          <w:sz w:val="28"/>
          <w:szCs w:val="28"/>
          <w:u w:val="single"/>
          <w:rtl/>
        </w:rPr>
      </w:pPr>
      <w:r>
        <w:rPr>
          <w:rFonts w:cs="FrankRuehl" w:hint="cs"/>
          <w:sz w:val="28"/>
          <w:szCs w:val="28"/>
          <w:u w:val="single"/>
          <w:rtl/>
        </w:rPr>
        <w:t>רקע והסדר הטיעון בין הצדדים</w:t>
      </w:r>
    </w:p>
    <w:p w14:paraId="7B9A358D" w14:textId="77777777" w:rsidR="003B4E44" w:rsidRDefault="0000229A">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6" w:name="ABSTRACT_START"/>
      <w:bookmarkEnd w:id="6"/>
      <w:r>
        <w:rPr>
          <w:rFonts w:cs="FrankRuehl" w:hint="cs"/>
          <w:sz w:val="28"/>
          <w:szCs w:val="28"/>
          <w:rtl/>
        </w:rPr>
        <w:t xml:space="preserve">ביום 12.5.2013 הורשע הנאשם, על-פי הודאתו שניתנה במסגרת הסדר טיעון, בעבירה שיוחסה לו בכתב-האישום של החזקת חלקי נשק ותחמושת שלא כדין לפי </w:t>
      </w:r>
      <w:hyperlink r:id="rId10" w:history="1">
        <w:r w:rsidR="00CA4AAF" w:rsidRPr="00CA4AAF">
          <w:rPr>
            <w:rFonts w:cs="FrankRuehl"/>
            <w:color w:val="0000FF"/>
            <w:sz w:val="28"/>
            <w:szCs w:val="28"/>
            <w:u w:val="single"/>
            <w:rtl/>
          </w:rPr>
          <w:t>סעיף 144(א)</w:t>
        </w:r>
      </w:hyperlink>
      <w:r>
        <w:rPr>
          <w:rFonts w:cs="FrankRuehl" w:hint="cs"/>
          <w:sz w:val="28"/>
          <w:szCs w:val="28"/>
          <w:rtl/>
        </w:rPr>
        <w:t xml:space="preserve"> סיפא ל</w:t>
      </w:r>
      <w:hyperlink r:id="rId11" w:history="1">
        <w:r w:rsidR="000F042C" w:rsidRPr="000F042C">
          <w:rPr>
            <w:rStyle w:val="Hyperlink"/>
            <w:rFonts w:cs="FrankRuehl"/>
            <w:sz w:val="28"/>
            <w:szCs w:val="28"/>
            <w:rtl/>
          </w:rPr>
          <w:t>חוק העונשין</w:t>
        </w:r>
      </w:hyperlink>
      <w:r>
        <w:rPr>
          <w:rFonts w:cs="FrankRuehl" w:hint="cs"/>
          <w:sz w:val="28"/>
          <w:szCs w:val="28"/>
          <w:rtl/>
        </w:rPr>
        <w:t xml:space="preserve">, התשל"ז-1977 (להלן: </w:t>
      </w:r>
      <w:r>
        <w:rPr>
          <w:rFonts w:cs="Miriam" w:hint="cs"/>
          <w:rtl/>
        </w:rPr>
        <w:t>חוק העונשין</w:t>
      </w:r>
      <w:r>
        <w:rPr>
          <w:rFonts w:cs="FrankRuehl" w:hint="cs"/>
          <w:sz w:val="28"/>
          <w:szCs w:val="28"/>
          <w:rtl/>
        </w:rPr>
        <w:t xml:space="preserve"> או </w:t>
      </w:r>
      <w:r>
        <w:rPr>
          <w:rFonts w:cs="Miriam" w:hint="cs"/>
          <w:rtl/>
        </w:rPr>
        <w:t>החוק</w:t>
      </w:r>
      <w:r>
        <w:rPr>
          <w:rFonts w:cs="FrankRuehl" w:hint="cs"/>
          <w:sz w:val="28"/>
          <w:szCs w:val="28"/>
          <w:rtl/>
        </w:rPr>
        <w:t>). על-פי עובדות כתב-האישום בהן הודה הנאשם, ביום 21.7.2009 בשכונת ענאתא בירושלים, הוא החזיק במוסך שבבעלותו תת-מקלע מאולתר, הכולל צינור מתכתי המשמש כקנה ובית בליעה לתחמושת מסוג 5.56</w:t>
      </w:r>
      <w:r>
        <w:rPr>
          <w:rFonts w:cs="FrankRuehl" w:hint="cs"/>
          <w:sz w:val="28"/>
          <w:szCs w:val="28"/>
        </w:rPr>
        <w:t>x</w:t>
      </w:r>
      <w:r>
        <w:rPr>
          <w:rFonts w:cs="FrankRuehl" w:hint="cs"/>
          <w:sz w:val="28"/>
          <w:szCs w:val="28"/>
          <w:rtl/>
        </w:rPr>
        <w:t xml:space="preserve">45 מ"מ, מנגנון הדק, חפץ מתכתי המשמש כסדן, מוט מתכתי המשמש כנוקר ומנגנון המשמש כתפס </w:t>
      </w:r>
      <w:r>
        <w:rPr>
          <w:rFonts w:cs="FrankRuehl" w:hint="cs"/>
          <w:sz w:val="28"/>
          <w:szCs w:val="28"/>
          <w:rtl/>
        </w:rPr>
        <w:lastRenderedPageBreak/>
        <w:t xml:space="preserve">מחסנית. כמו-כן, החזיק הנאשם מחסנית ריקה המתאימה לרובה-סער מסוג "גליל". במעשיו אלה, החזיק הנאשם בחלקי נשק ללא אישור כדין לעשות כן. </w:t>
      </w:r>
    </w:p>
    <w:p w14:paraId="660560C6" w14:textId="77777777" w:rsidR="003B4E44" w:rsidRDefault="003B4E44">
      <w:pPr>
        <w:spacing w:after="120" w:line="360" w:lineRule="auto"/>
        <w:ind w:firstLine="720"/>
        <w:jc w:val="both"/>
        <w:rPr>
          <w:rFonts w:cs="FrankRuehl"/>
          <w:sz w:val="28"/>
          <w:szCs w:val="28"/>
          <w:rtl/>
        </w:rPr>
      </w:pPr>
      <w:bookmarkStart w:id="7" w:name="ABSTRACT_END"/>
      <w:bookmarkEnd w:id="7"/>
    </w:p>
    <w:p w14:paraId="775E8430" w14:textId="77777777" w:rsidR="003B4E44" w:rsidRDefault="0000229A">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במסגרת הסדר הטיעון בין הצדדים, הוסכם כי ככל שהנאשם ימצא כשיר לביצוע עבודות שירות, ייגזר עליו עונש מאסר שירוצה בעבודות שירות, כאשר הצדדים יטענו באופן חופשי באשר למשך תקופת המאסר בעבודות השירות, וכן ייגזר עונש מאסר מותנה לפי שיקול-דעת בית-המשפט. עוד הוסכם כי במידה והנאשם לא יימצא כשיר לביצוע עבודות שירות, תעתור המאשימה לעונש מאסר בפועל קצר, ואילו ההגנה תהיה חופשית בטיעוניה. </w:t>
      </w:r>
    </w:p>
    <w:p w14:paraId="000213BC" w14:textId="77777777" w:rsidR="003B4E44" w:rsidRDefault="003B4E44">
      <w:pPr>
        <w:spacing w:after="120" w:line="360" w:lineRule="auto"/>
        <w:jc w:val="both"/>
        <w:rPr>
          <w:rFonts w:cs="FrankRuehl"/>
          <w:sz w:val="28"/>
          <w:szCs w:val="28"/>
          <w:rtl/>
        </w:rPr>
      </w:pPr>
    </w:p>
    <w:p w14:paraId="6ABBD528" w14:textId="77777777" w:rsidR="003B4E44" w:rsidRDefault="0000229A">
      <w:pPr>
        <w:spacing w:after="120" w:line="360" w:lineRule="auto"/>
        <w:jc w:val="both"/>
        <w:rPr>
          <w:rFonts w:cs="FrankRuehl"/>
          <w:sz w:val="28"/>
          <w:szCs w:val="28"/>
          <w:u w:val="single"/>
          <w:rtl/>
        </w:rPr>
      </w:pPr>
      <w:r>
        <w:rPr>
          <w:rFonts w:cs="FrankRuehl" w:hint="cs"/>
          <w:sz w:val="28"/>
          <w:szCs w:val="28"/>
          <w:u w:val="single"/>
          <w:rtl/>
        </w:rPr>
        <w:t>חוות-דעת ממונה על עבודות השירות</w:t>
      </w:r>
    </w:p>
    <w:p w14:paraId="42ED52C6" w14:textId="77777777" w:rsidR="003B4E44" w:rsidRDefault="0000229A">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בהתאם לחוות-דעת ממונה מיום 21.7.2013, הנאשם נמצא כשיר לביצוע עבודות שירות, על-אף מגבלותיו הרפואיות. בחוות-הדעת נכתב כי לאחר מאמץ, נמצא עבור הנאשם מקום עבודה שיהלום את צרכיו הרפואיים בתוך ירושלים.</w:t>
      </w:r>
    </w:p>
    <w:p w14:paraId="258D4535" w14:textId="77777777" w:rsidR="003B4E44" w:rsidRDefault="003B4E44">
      <w:pPr>
        <w:spacing w:after="120" w:line="360" w:lineRule="auto"/>
        <w:jc w:val="both"/>
        <w:rPr>
          <w:rFonts w:cs="FrankRuehl"/>
          <w:sz w:val="28"/>
          <w:szCs w:val="28"/>
          <w:rtl/>
        </w:rPr>
      </w:pPr>
    </w:p>
    <w:p w14:paraId="37A4BC79" w14:textId="77777777" w:rsidR="003B4E44" w:rsidRDefault="0000229A">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45DF4CF7" w14:textId="77777777" w:rsidR="003B4E44" w:rsidRDefault="0000229A">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המאשימה עמדה בטיעוניה על חומרת העבירה של החזקת נשק שלא כדין. עוד עמדה המאשימה על עברו הפלילי המכביד של הנאשם ועל כך שהוא כולל הרשעות בעבירות חמורות. לקולא, ציינה המאשימה את ההודאה, את חלוף הזמן ואת הנסיבות הרפואיות של הנאשם. בהתחשב בהסדר הטיעון בין הצדדים, עתרה המאשימה להטלת מאסר בעבודות שירות למשך 6 חודשים. מנגד, בא-כוח הנאשם פרס בפני בית-המשפט את מכלול הנסיבות לקולא, לרבות מצבו הבריאותי של הנאשם שעבר התקף לב ואירוע מוחי. בנסיבות אלה, ביקש הסנגור להסתפק בעונש מאסר של שלושה חודשי עבודות שירות. </w:t>
      </w:r>
    </w:p>
    <w:p w14:paraId="229885DC" w14:textId="77777777" w:rsidR="003B4E44" w:rsidRDefault="003B4E44">
      <w:pPr>
        <w:spacing w:after="120" w:line="360" w:lineRule="auto"/>
        <w:jc w:val="both"/>
        <w:rPr>
          <w:rFonts w:cs="FrankRuehl"/>
          <w:sz w:val="28"/>
          <w:szCs w:val="28"/>
          <w:u w:val="single"/>
          <w:rtl/>
        </w:rPr>
      </w:pPr>
    </w:p>
    <w:p w14:paraId="50541280" w14:textId="77777777" w:rsidR="003B4E44" w:rsidRDefault="0000229A">
      <w:pPr>
        <w:spacing w:after="120" w:line="360" w:lineRule="auto"/>
        <w:jc w:val="both"/>
        <w:rPr>
          <w:rFonts w:cs="FrankRuehl"/>
          <w:sz w:val="28"/>
          <w:szCs w:val="28"/>
          <w:u w:val="single"/>
          <w:rtl/>
        </w:rPr>
      </w:pPr>
      <w:r>
        <w:rPr>
          <w:rFonts w:cs="FrankRuehl" w:hint="cs"/>
          <w:sz w:val="28"/>
          <w:szCs w:val="28"/>
          <w:u w:val="single"/>
          <w:rtl/>
        </w:rPr>
        <w:t>מתחם העונש ההולם</w:t>
      </w:r>
    </w:p>
    <w:p w14:paraId="4456A093" w14:textId="77777777" w:rsidR="003B4E44" w:rsidRDefault="0000229A">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על-פי </w:t>
      </w:r>
      <w:hyperlink r:id="rId12" w:history="1">
        <w:r w:rsidR="00CA4AAF" w:rsidRPr="00CA4AAF">
          <w:rPr>
            <w:rFonts w:cs="FrankRuehl"/>
            <w:color w:val="0000FF"/>
            <w:sz w:val="28"/>
            <w:szCs w:val="28"/>
            <w:u w:val="single"/>
            <w:rtl/>
          </w:rPr>
          <w:t>סעיף 40ג(א)</w:t>
        </w:r>
      </w:hyperlink>
      <w:r>
        <w:rPr>
          <w:rFonts w:cs="FrankRuehl" w:hint="cs"/>
          <w:sz w:val="28"/>
          <w:szCs w:val="28"/>
          <w:rtl/>
        </w:rPr>
        <w:t xml:space="preserve"> ל</w:t>
      </w:r>
      <w:hyperlink r:id="rId13" w:history="1">
        <w:r w:rsidR="000F042C" w:rsidRPr="000F042C">
          <w:rPr>
            <w:rStyle w:val="Hyperlink"/>
            <w:rFonts w:cs="FrankRuehl"/>
            <w:sz w:val="28"/>
            <w:szCs w:val="28"/>
            <w:rtl/>
          </w:rPr>
          <w:t>חוק העונשין</w:t>
        </w:r>
      </w:hyperlink>
      <w:r>
        <w:rPr>
          <w:rFonts w:cs="FrankRuehl" w:hint="cs"/>
          <w:sz w:val="28"/>
          <w:szCs w:val="28"/>
          <w:rtl/>
        </w:rPr>
        <w:t xml:space="preserve"> יש לקבוע את מתחם העונש ההולם את מעשי העבירה, בהתאם לעקרון ההלימה, תוך התחשבות בערך החברתי שנפגע, במידת הפגיעה בו, בנסיבות הקשורות בביצוע העבירה ובמדיניות הענישה הנהוגה.</w:t>
      </w:r>
    </w:p>
    <w:p w14:paraId="4A5B0CB5" w14:textId="77777777" w:rsidR="003B4E44" w:rsidRDefault="003B4E44">
      <w:pPr>
        <w:spacing w:after="120" w:line="360" w:lineRule="auto"/>
        <w:ind w:firstLine="720"/>
        <w:jc w:val="both"/>
        <w:rPr>
          <w:rFonts w:cs="FrankRuehl"/>
          <w:b/>
          <w:bCs/>
          <w:sz w:val="28"/>
          <w:szCs w:val="28"/>
          <w:rtl/>
        </w:rPr>
      </w:pPr>
    </w:p>
    <w:p w14:paraId="22034569" w14:textId="77777777" w:rsidR="003B4E44" w:rsidRDefault="0000229A">
      <w:pPr>
        <w:spacing w:after="120" w:line="360" w:lineRule="auto"/>
        <w:ind w:firstLine="720"/>
        <w:jc w:val="both"/>
        <w:rPr>
          <w:rFonts w:cs="FrankRuehl"/>
          <w:sz w:val="28"/>
          <w:szCs w:val="28"/>
          <w:rtl/>
        </w:rPr>
      </w:pPr>
      <w:r>
        <w:rPr>
          <w:rFonts w:cs="FrankRuehl" w:hint="cs"/>
          <w:b/>
          <w:bCs/>
          <w:sz w:val="28"/>
          <w:szCs w:val="28"/>
          <w:rtl/>
        </w:rPr>
        <w:t>הערכים החברתיים הנפגעים</w:t>
      </w:r>
      <w:r>
        <w:rPr>
          <w:rFonts w:cs="FrankRuehl" w:hint="cs"/>
          <w:sz w:val="28"/>
          <w:szCs w:val="28"/>
          <w:rtl/>
        </w:rPr>
        <w:t xml:space="preserve"> בגין עבירה של החזקת חלק נשק ותחמושת שלא כדין עניינם בהגנה על סדרי חברה ומשטר תקינים שנועדו להבטיח את תחושת הביטחון האישי, וכן בהגנה על שלום הציבור מפני שימוש לא מבוקר בחלקי הנשק. יצוין כי בהחזקת חלקי נשק שלא כדין גלום סיכון רב, הן נוכח החשש מפני השימוש בחלקי הנשק על-ידי המחזיק עצמו והן נוכח החשש מגלגולם של חלקי הנשק לידיים עברייניות או לאומניות. </w:t>
      </w:r>
      <w:r>
        <w:rPr>
          <w:rFonts w:cs="FrankRuehl" w:hint="cs"/>
          <w:b/>
          <w:bCs/>
          <w:sz w:val="28"/>
          <w:szCs w:val="28"/>
          <w:rtl/>
        </w:rPr>
        <w:t>מנסיבות ביצוע העבירה</w:t>
      </w:r>
      <w:r>
        <w:rPr>
          <w:rFonts w:cs="FrankRuehl" w:hint="cs"/>
          <w:sz w:val="28"/>
          <w:szCs w:val="28"/>
          <w:rtl/>
        </w:rPr>
        <w:t xml:space="preserve"> </w:t>
      </w:r>
      <w:r>
        <w:rPr>
          <w:rFonts w:cs="FrankRuehl" w:hint="cs"/>
          <w:b/>
          <w:bCs/>
          <w:sz w:val="28"/>
          <w:szCs w:val="28"/>
          <w:rtl/>
        </w:rPr>
        <w:t>במקרה דנן</w:t>
      </w:r>
      <w:r>
        <w:rPr>
          <w:rFonts w:cs="FrankRuehl" w:hint="cs"/>
          <w:sz w:val="28"/>
          <w:szCs w:val="28"/>
          <w:rtl/>
        </w:rPr>
        <w:t xml:space="preserve"> עולה כי הנאשם החזיק במוסך בבעלותו תת-מקלע מאולתר הכולל חלקי נשק כמפורט בכתב-האישום, וכן מחסנית ריקה לרובה-סער מסוג "גליל". מכתב-האישום עצמו לא ברור כיצד חלקי הנשק הגיעו לידיו של הנאשם, ומה היתה מטרת החזקתם. יחד עם זאת, ברי כי מדובר במספר חלקי נשק שהוחזקו שלא כדין במחסן. החוּמרה והסיכון הנלווים לכך ברורים. יחד עם זאת, ראוי לציין כי במסגרת החלופות הקבועות </w:t>
      </w:r>
      <w:hyperlink r:id="rId14" w:history="1">
        <w:r w:rsidR="00CA4AAF" w:rsidRPr="00CA4AAF">
          <w:rPr>
            <w:rFonts w:cs="FrankRuehl"/>
            <w:color w:val="0000FF"/>
            <w:sz w:val="28"/>
            <w:szCs w:val="28"/>
            <w:u w:val="single"/>
            <w:rtl/>
          </w:rPr>
          <w:t>בסעיף 144(א)</w:t>
        </w:r>
      </w:hyperlink>
      <w:r>
        <w:rPr>
          <w:rFonts w:cs="FrankRuehl" w:hint="cs"/>
          <w:sz w:val="28"/>
          <w:szCs w:val="28"/>
          <w:rtl/>
        </w:rPr>
        <w:t xml:space="preserve"> ל</w:t>
      </w:r>
      <w:hyperlink r:id="rId15" w:history="1">
        <w:r w:rsidR="000F042C" w:rsidRPr="000F042C">
          <w:rPr>
            <w:rStyle w:val="Hyperlink"/>
            <w:rFonts w:cs="FrankRuehl"/>
            <w:sz w:val="28"/>
            <w:szCs w:val="28"/>
            <w:rtl/>
          </w:rPr>
          <w:t>חוק העונשין</w:t>
        </w:r>
      </w:hyperlink>
      <w:r>
        <w:rPr>
          <w:rFonts w:cs="FrankRuehl" w:hint="cs"/>
          <w:sz w:val="28"/>
          <w:szCs w:val="28"/>
          <w:rtl/>
        </w:rPr>
        <w:t xml:space="preserve">, אין עסקינן בהחזקת </w:t>
      </w:r>
      <w:r>
        <w:rPr>
          <w:rFonts w:cs="Miriam" w:hint="cs"/>
          <w:rtl/>
        </w:rPr>
        <w:t>נשק</w:t>
      </w:r>
      <w:r>
        <w:rPr>
          <w:rFonts w:cs="FrankRuehl" w:hint="cs"/>
          <w:sz w:val="28"/>
          <w:szCs w:val="28"/>
          <w:rtl/>
        </w:rPr>
        <w:t xml:space="preserve"> שלא כדין לפי </w:t>
      </w:r>
      <w:hyperlink r:id="rId16" w:history="1">
        <w:r w:rsidR="00CA4AAF" w:rsidRPr="00CA4AAF">
          <w:rPr>
            <w:rFonts w:cs="FrankRuehl"/>
            <w:color w:val="0000FF"/>
            <w:sz w:val="28"/>
            <w:szCs w:val="28"/>
            <w:u w:val="single"/>
            <w:rtl/>
          </w:rPr>
          <w:t>סעיף 144(א)</w:t>
        </w:r>
      </w:hyperlink>
      <w:r>
        <w:rPr>
          <w:rFonts w:cs="FrankRuehl" w:hint="cs"/>
          <w:sz w:val="28"/>
          <w:szCs w:val="28"/>
          <w:rtl/>
        </w:rPr>
        <w:t xml:space="preserve"> רישא לחוק (העונש המקסימאלי הקבוע בצד חלופה זו הוא 7 שנים); אלא עסקינן בחלופה של החזקת </w:t>
      </w:r>
      <w:r>
        <w:rPr>
          <w:rFonts w:cs="Miriam" w:hint="cs"/>
          <w:rtl/>
        </w:rPr>
        <w:t>חלקי</w:t>
      </w:r>
      <w:r>
        <w:rPr>
          <w:rFonts w:cs="FrankRuehl" w:hint="cs"/>
          <w:sz w:val="28"/>
          <w:szCs w:val="28"/>
          <w:rtl/>
        </w:rPr>
        <w:t xml:space="preserve"> נשק שלא כדין לפי </w:t>
      </w:r>
      <w:hyperlink r:id="rId17" w:history="1">
        <w:r w:rsidR="00CA4AAF" w:rsidRPr="00CA4AAF">
          <w:rPr>
            <w:rFonts w:cs="FrankRuehl"/>
            <w:color w:val="0000FF"/>
            <w:sz w:val="28"/>
            <w:szCs w:val="28"/>
            <w:u w:val="single"/>
            <w:rtl/>
          </w:rPr>
          <w:t>סעיף 144(א)</w:t>
        </w:r>
      </w:hyperlink>
      <w:r>
        <w:rPr>
          <w:rFonts w:cs="FrankRuehl" w:hint="cs"/>
          <w:sz w:val="28"/>
          <w:szCs w:val="28"/>
          <w:rtl/>
        </w:rPr>
        <w:t xml:space="preserve"> סיפא לחוק (שהיא חלופה מקלה יותר שהעונש המקסימאלי הקבוע בצידה הוא 3 שנים). בחינת </w:t>
      </w:r>
      <w:r>
        <w:rPr>
          <w:rFonts w:cs="FrankRuehl" w:hint="cs"/>
          <w:b/>
          <w:bCs/>
          <w:sz w:val="28"/>
          <w:szCs w:val="28"/>
          <w:rtl/>
        </w:rPr>
        <w:t>הענישה הנוהגת</w:t>
      </w:r>
      <w:r>
        <w:rPr>
          <w:rFonts w:cs="FrankRuehl" w:hint="cs"/>
          <w:sz w:val="28"/>
          <w:szCs w:val="28"/>
          <w:rtl/>
        </w:rPr>
        <w:t xml:space="preserve"> מלמדת כי בגין הרשעה בעבירה הנדונה מוטלים מגוון רחב של עונשים בהתאם לנסיבות המעשה ולנסיבות העושה - מעונשים שאינם כוללים רכיב של מאסר בפועל; דרך מאסר בפועל לריצוי בדרך של עבודות שירות; ועד עונשי מאסר בפועל לריצוי מאחורי סורג ובריח. </w:t>
      </w:r>
    </w:p>
    <w:p w14:paraId="728A95D2" w14:textId="77777777" w:rsidR="003B4E44" w:rsidRDefault="003B4E44">
      <w:pPr>
        <w:spacing w:after="120" w:line="360" w:lineRule="auto"/>
        <w:jc w:val="both"/>
        <w:rPr>
          <w:rFonts w:cs="FrankRuehl"/>
          <w:sz w:val="28"/>
          <w:szCs w:val="28"/>
          <w:rtl/>
        </w:rPr>
      </w:pPr>
    </w:p>
    <w:p w14:paraId="49A2A0D6" w14:textId="77777777" w:rsidR="003B4E44" w:rsidRDefault="0000229A">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בנסיבות המקרה שלפניי, </w:t>
      </w:r>
      <w:r>
        <w:rPr>
          <w:rFonts w:cs="FrankRuehl" w:hint="cs"/>
          <w:b/>
          <w:bCs/>
          <w:sz w:val="28"/>
          <w:szCs w:val="28"/>
          <w:rtl/>
        </w:rPr>
        <w:t>מתחם העונש ההולם</w:t>
      </w:r>
      <w:r>
        <w:rPr>
          <w:rFonts w:cs="FrankRuehl" w:hint="cs"/>
          <w:sz w:val="28"/>
          <w:szCs w:val="28"/>
          <w:rtl/>
        </w:rPr>
        <w:t xml:space="preserve"> נקבע בהסכמה על-ידי הצדדים והוא נע בין מאסר קצר בעבודות שירות, לבין תקופת מאסר בעבודות שירות של עד שישה חודשים. בהתחשב בערכים שנפגעו; בעוצמת הפגיעה בערכים אלה; בנסיבות ביצוע העבירה; במדיניות הענישה הנוהגת; ובעקרון ההלימה; הרי על אף שהמתחם נוטה לקולא, לא ראיתי להתערב בו בשים לב להסדר הטיעון אליו הגיעו הצדדים. </w:t>
      </w:r>
    </w:p>
    <w:p w14:paraId="7F00FBD8" w14:textId="77777777" w:rsidR="003B4E44" w:rsidRDefault="003B4E44">
      <w:pPr>
        <w:spacing w:after="120" w:line="360" w:lineRule="auto"/>
        <w:jc w:val="both"/>
        <w:rPr>
          <w:rFonts w:cs="FrankRuehl"/>
          <w:sz w:val="28"/>
          <w:szCs w:val="28"/>
          <w:rtl/>
        </w:rPr>
      </w:pPr>
    </w:p>
    <w:p w14:paraId="63CA7FF5" w14:textId="77777777" w:rsidR="003B4E44" w:rsidRDefault="0000229A">
      <w:pPr>
        <w:spacing w:after="120" w:line="360" w:lineRule="auto"/>
        <w:jc w:val="both"/>
        <w:rPr>
          <w:rFonts w:cs="FrankRuehl"/>
          <w:sz w:val="28"/>
          <w:szCs w:val="28"/>
          <w:u w:val="single"/>
          <w:rtl/>
        </w:rPr>
      </w:pPr>
      <w:r>
        <w:rPr>
          <w:rFonts w:cs="FrankRuehl" w:hint="cs"/>
          <w:sz w:val="28"/>
          <w:szCs w:val="28"/>
          <w:u w:val="single"/>
          <w:rtl/>
        </w:rPr>
        <w:t>העונש המתאים</w:t>
      </w:r>
    </w:p>
    <w:p w14:paraId="6A9BC8D2" w14:textId="77777777" w:rsidR="003B4E44" w:rsidRDefault="0000229A">
      <w:pPr>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t>אשר לגזירת עונשו של הנאשם בתוך המתחם – ל</w:t>
      </w:r>
      <w:r>
        <w:rPr>
          <w:rFonts w:cs="FrankRuehl" w:hint="cs"/>
          <w:b/>
          <w:bCs/>
          <w:sz w:val="28"/>
          <w:szCs w:val="28"/>
          <w:rtl/>
        </w:rPr>
        <w:t>קולא</w:t>
      </w:r>
      <w:r>
        <w:rPr>
          <w:rFonts w:cs="FrankRuehl" w:hint="cs"/>
          <w:sz w:val="28"/>
          <w:szCs w:val="28"/>
          <w:rtl/>
        </w:rPr>
        <w:t xml:space="preserve"> שקלתי את הודאתו של הנאשם בעובדות כתב-האישום; האחריות שלקח על מעשיו; הנסיבות הבריאותיות והאישיות עליהן עמד הסנגור; וכן את הזמן שחלף מאז ביצוע העבירה לפני כארבע שנים, במהלכם לא הורשע הנאשם בעבירות נוספות. ל</w:t>
      </w:r>
      <w:r>
        <w:rPr>
          <w:rFonts w:cs="FrankRuehl" w:hint="cs"/>
          <w:b/>
          <w:bCs/>
          <w:sz w:val="28"/>
          <w:szCs w:val="28"/>
          <w:rtl/>
        </w:rPr>
        <w:t>חומרה</w:t>
      </w:r>
      <w:r>
        <w:rPr>
          <w:rFonts w:cs="FrankRuehl" w:hint="cs"/>
          <w:sz w:val="28"/>
          <w:szCs w:val="28"/>
          <w:rtl/>
        </w:rPr>
        <w:t xml:space="preserve">, שקלתי את העובדה שהנאשם החזיק במספר חלקי נשק שלא כדין, את הסיכון הגלום בכך ואת הצורך בענישה ממשית על-מנת להרתיע את היחיד ואת הרבים מפני ביצועה. עוד שקלתי את עברו הפלילי המכביד של הנאשם, הכולל מספר עבירות חמורות בגינן ריצה שנות מאסר ארוכות. לא נעלם מעיניי כי הרשעתו האחרונה של הנאשם היא משנת 2001 בגין עבירת איומים משנת 1999. עם זאת, לא ניתן להתעלם מכך שעברו הפלילי של הנאשם כולל הרשעה בעבירה של חטיפה לשם רצח (משנת 1997) בגינה ריצה 10 שנות מאסר בפועל; וכן הרשעה בעבירות נשק (משנת 1989) בגינן ריצה 7 וחצי שנות מאסר בפועל. </w:t>
      </w:r>
    </w:p>
    <w:p w14:paraId="757412ED" w14:textId="77777777" w:rsidR="003B4E44" w:rsidRDefault="003B4E44">
      <w:pPr>
        <w:spacing w:after="120" w:line="360" w:lineRule="auto"/>
        <w:ind w:firstLine="720"/>
        <w:jc w:val="both"/>
        <w:rPr>
          <w:rFonts w:cs="FrankRuehl"/>
          <w:sz w:val="28"/>
          <w:szCs w:val="28"/>
          <w:rtl/>
        </w:rPr>
      </w:pPr>
    </w:p>
    <w:p w14:paraId="01070ADC" w14:textId="77777777" w:rsidR="003B4E44" w:rsidRDefault="0000229A">
      <w:pPr>
        <w:spacing w:after="120" w:line="360" w:lineRule="auto"/>
        <w:ind w:firstLine="720"/>
        <w:jc w:val="both"/>
        <w:rPr>
          <w:rFonts w:cs="FrankRuehl"/>
          <w:sz w:val="28"/>
          <w:szCs w:val="28"/>
          <w:rtl/>
        </w:rPr>
      </w:pPr>
      <w:r>
        <w:rPr>
          <w:rFonts w:cs="FrankRuehl" w:hint="cs"/>
          <w:sz w:val="28"/>
          <w:szCs w:val="28"/>
          <w:rtl/>
        </w:rPr>
        <w:t xml:space="preserve">בהתחשב בכל אלה, אני סבורה כי העונש לו עתרה המאשימה של שישה חודשי מאסר לריצוי בעבודות שירות נותן משקל מספק למכלול הנסיבות לקולא – לרבות ההודאה, חלוף הזמן והמצב האישי והבריאותי של הנאשם. אעיר כי אלמלא נסיבות אלה, הרי נוכח חומרת העבירה והסיכון הגלום בה, ונוכח עברו הפלילי של הנאשם עליו עמדתי לעיל, היה מקום להטלת עונש מאסר לריצוי מאחורי סורג ובריח. בהתחשב בכך, אינני רואה להסתפק בעונש שמשכו קצר מהתקופה המקסימאלית הקבועה בחוק לריצוי מאסר בעבודות שירות. </w:t>
      </w:r>
    </w:p>
    <w:p w14:paraId="063837AC" w14:textId="77777777" w:rsidR="003B4E44" w:rsidRDefault="0000229A">
      <w:pPr>
        <w:spacing w:after="120" w:line="360" w:lineRule="auto"/>
        <w:jc w:val="both"/>
        <w:rPr>
          <w:rFonts w:cs="FrankRuehl"/>
          <w:sz w:val="28"/>
          <w:szCs w:val="28"/>
          <w:rtl/>
        </w:rPr>
      </w:pPr>
      <w:r>
        <w:rPr>
          <w:rFonts w:cs="FrankRuehl" w:hint="cs"/>
          <w:sz w:val="28"/>
          <w:szCs w:val="28"/>
          <w:rtl/>
        </w:rPr>
        <w:tab/>
      </w:r>
    </w:p>
    <w:p w14:paraId="35BC793C" w14:textId="77777777" w:rsidR="003B4E44" w:rsidRDefault="0000229A">
      <w:pPr>
        <w:spacing w:after="120" w:line="360" w:lineRule="auto"/>
        <w:jc w:val="both"/>
        <w:rPr>
          <w:rFonts w:cs="FrankRuehl"/>
          <w:sz w:val="28"/>
          <w:szCs w:val="28"/>
          <w:u w:val="single"/>
          <w:rtl/>
        </w:rPr>
      </w:pPr>
      <w:r>
        <w:rPr>
          <w:rFonts w:cs="FrankRuehl" w:hint="cs"/>
          <w:sz w:val="28"/>
          <w:szCs w:val="28"/>
          <w:u w:val="single"/>
          <w:rtl/>
        </w:rPr>
        <w:t>סוף דבר</w:t>
      </w:r>
    </w:p>
    <w:p w14:paraId="1A83B72B" w14:textId="77777777" w:rsidR="003B4E44" w:rsidRDefault="0000229A">
      <w:pPr>
        <w:pStyle w:val="Ruller40"/>
        <w:rPr>
          <w:rFonts w:ascii="Times New Roman" w:hAnsi="Times New Roman"/>
          <w:spacing w:val="0"/>
          <w:rtl/>
        </w:rPr>
      </w:pPr>
      <w:r>
        <w:rPr>
          <w:rFonts w:hint="cs"/>
          <w:rtl/>
        </w:rPr>
        <w:t>8.</w:t>
      </w:r>
      <w:r>
        <w:rPr>
          <w:rFonts w:hint="cs"/>
          <w:rtl/>
        </w:rPr>
        <w:tab/>
      </w:r>
      <w:r>
        <w:rPr>
          <w:rFonts w:ascii="Times New Roman" w:hAnsi="Times New Roman" w:hint="cs"/>
          <w:spacing w:val="0"/>
          <w:rtl/>
        </w:rPr>
        <w:t>אשר על כן, ונוכח מכלול הטעמים האמורים, אני רואה לגזור על הנאשם כדלקמן:</w:t>
      </w:r>
    </w:p>
    <w:p w14:paraId="4A16A1F8" w14:textId="77777777" w:rsidR="003B4E44" w:rsidRDefault="003B4E44">
      <w:pPr>
        <w:pStyle w:val="Ruller40"/>
        <w:rPr>
          <w:rtl/>
        </w:rPr>
      </w:pPr>
    </w:p>
    <w:p w14:paraId="61508D85" w14:textId="77777777" w:rsidR="003B4E44" w:rsidRDefault="0000229A">
      <w:pPr>
        <w:pStyle w:val="Ruller40"/>
        <w:rPr>
          <w:rFonts w:ascii="Times New Roman" w:hAnsi="Times New Roman"/>
          <w:spacing w:val="0"/>
          <w:rtl/>
        </w:rPr>
      </w:pPr>
      <w:r>
        <w:rPr>
          <w:rFonts w:hint="cs"/>
          <w:rtl/>
        </w:rPr>
        <w:t>א.</w:t>
      </w:r>
      <w:r>
        <w:rPr>
          <w:rFonts w:hint="cs"/>
          <w:rtl/>
        </w:rPr>
        <w:tab/>
      </w:r>
      <w:r>
        <w:rPr>
          <w:rFonts w:ascii="Times New Roman" w:hAnsi="Times New Roman" w:hint="cs"/>
          <w:spacing w:val="0"/>
          <w:rtl/>
        </w:rPr>
        <w:t>6 חודשי מאסר בפועל, אותם יוכל הנאשם לרצות בעבודות שירות כפי שקבע הממונה על עבודות השירות בחוות-דעתו.</w:t>
      </w:r>
    </w:p>
    <w:p w14:paraId="6A520CC4" w14:textId="77777777" w:rsidR="003B4E44" w:rsidRDefault="0000229A">
      <w:pPr>
        <w:pStyle w:val="Ruller40"/>
        <w:rPr>
          <w:rFonts w:ascii="Times New Roman" w:hAnsi="Times New Roman"/>
          <w:spacing w:val="0"/>
          <w:rtl/>
        </w:rPr>
      </w:pPr>
      <w:r>
        <w:rPr>
          <w:rFonts w:ascii="Times New Roman" w:hAnsi="Times New Roman" w:hint="cs"/>
          <w:spacing w:val="0"/>
          <w:rtl/>
        </w:rPr>
        <w:t xml:space="preserve">על הנאשם להתייצב לריצוי עונשו ביום 12.11.2013 עד השעה 10:00 במפקדת מחוז דרום, יחידת עבודות שירות, ליד כלא באר-שבע. </w:t>
      </w:r>
    </w:p>
    <w:p w14:paraId="68C0B928" w14:textId="77777777" w:rsidR="003B4E44" w:rsidRDefault="0000229A">
      <w:pPr>
        <w:pStyle w:val="Ruller40"/>
        <w:rPr>
          <w:rFonts w:ascii="Times New Roman" w:hAnsi="Times New Roman"/>
          <w:b/>
          <w:bCs/>
          <w:spacing w:val="0"/>
          <w:rtl/>
        </w:rPr>
      </w:pPr>
      <w:r>
        <w:rPr>
          <w:rFonts w:ascii="Times New Roman" w:hAnsi="Times New Roman" w:hint="cs"/>
          <w:b/>
          <w:bCs/>
          <w:spacing w:val="0"/>
          <w:rtl/>
        </w:rPr>
        <w:t xml:space="preserve">מובהר כי על הנאשם לעדכן את משרד הממונה בכל שינוי, אם יחול, בכתובת מגוריו. כמו כן, מוזהר הנאשם כי עליו לעמוד בתנאי הפיקוח ובביקורות הפתע, וכי כל הפרה בתנאי עבודות השירות עלולה להביא להפסקה מנהלית ולריצוי העונש במאסר בין כותלי בית הכלא. </w:t>
      </w:r>
    </w:p>
    <w:p w14:paraId="448C1A55" w14:textId="77777777" w:rsidR="003B4E44" w:rsidRDefault="003B4E44">
      <w:pPr>
        <w:pStyle w:val="Ruller40"/>
        <w:rPr>
          <w:rFonts w:ascii="Times New Roman" w:hAnsi="Times New Roman"/>
          <w:spacing w:val="0"/>
          <w:rtl/>
        </w:rPr>
      </w:pPr>
    </w:p>
    <w:p w14:paraId="4DDB10CF" w14:textId="77777777" w:rsidR="003B4E44" w:rsidRDefault="0000229A">
      <w:pPr>
        <w:pStyle w:val="Ruller40"/>
        <w:rPr>
          <w:rFonts w:ascii="Times New Roman" w:hAnsi="Times New Roman"/>
          <w:spacing w:val="0"/>
          <w:rtl/>
        </w:rPr>
      </w:pPr>
      <w:r>
        <w:rPr>
          <w:rFonts w:ascii="Times New Roman" w:hAnsi="Times New Roman" w:hint="cs"/>
          <w:spacing w:val="0"/>
          <w:rtl/>
        </w:rPr>
        <w:t>ב.</w:t>
      </w:r>
      <w:r>
        <w:rPr>
          <w:rFonts w:ascii="Times New Roman" w:hAnsi="Times New Roman" w:hint="cs"/>
          <w:spacing w:val="0"/>
          <w:rtl/>
        </w:rPr>
        <w:tab/>
        <w:t xml:space="preserve">מאסר על תנאי לתקופה של 5 חודשים למשך שנתיים מהיום. התנאי הוא שהנאשם לא יעבור עבירות לפי </w:t>
      </w:r>
      <w:hyperlink r:id="rId18" w:history="1">
        <w:r w:rsidR="00CA4AAF" w:rsidRPr="00CA4AAF">
          <w:rPr>
            <w:rFonts w:ascii="Times New Roman" w:hAnsi="Times New Roman"/>
            <w:color w:val="0000FF"/>
            <w:spacing w:val="0"/>
            <w:u w:val="single"/>
            <w:rtl/>
          </w:rPr>
          <w:t>סעיף 144</w:t>
        </w:r>
      </w:hyperlink>
      <w:r>
        <w:rPr>
          <w:rFonts w:ascii="Times New Roman" w:hAnsi="Times New Roman" w:hint="cs"/>
          <w:spacing w:val="0"/>
          <w:rtl/>
        </w:rPr>
        <w:t xml:space="preserve"> ל</w:t>
      </w:r>
      <w:hyperlink r:id="rId19" w:history="1">
        <w:r w:rsidR="000F042C" w:rsidRPr="000F042C">
          <w:rPr>
            <w:rStyle w:val="Hyperlink"/>
            <w:rFonts w:ascii="Times New Roman" w:hAnsi="Times New Roman"/>
            <w:spacing w:val="0"/>
            <w:rtl/>
          </w:rPr>
          <w:t>חוק העונשין</w:t>
        </w:r>
      </w:hyperlink>
      <w:r>
        <w:rPr>
          <w:rFonts w:ascii="Times New Roman" w:hAnsi="Times New Roman" w:hint="cs"/>
          <w:spacing w:val="0"/>
          <w:rtl/>
        </w:rPr>
        <w:t>.</w:t>
      </w:r>
    </w:p>
    <w:p w14:paraId="6820BE8C" w14:textId="77777777" w:rsidR="003B4E44" w:rsidRDefault="003B4E44">
      <w:pPr>
        <w:pStyle w:val="Ruller40"/>
        <w:ind w:left="720"/>
        <w:rPr>
          <w:rtl/>
        </w:rPr>
      </w:pPr>
    </w:p>
    <w:p w14:paraId="4B3AE989" w14:textId="77777777" w:rsidR="003B4E44" w:rsidRDefault="0000229A">
      <w:pPr>
        <w:pStyle w:val="Ruller40"/>
        <w:rPr>
          <w:rtl/>
        </w:rPr>
      </w:pPr>
      <w:r>
        <w:rPr>
          <w:rFonts w:hint="cs"/>
          <w:rtl/>
        </w:rPr>
        <w:tab/>
        <w:t>זכות ערעור לבית-המשפט המחוזי בתוך 45 ימים מהיום.</w:t>
      </w:r>
    </w:p>
    <w:p w14:paraId="2E1DFD18" w14:textId="77777777" w:rsidR="003B4E44" w:rsidRDefault="003B4E44">
      <w:pPr>
        <w:spacing w:after="120" w:line="360" w:lineRule="auto"/>
        <w:rPr>
          <w:rFonts w:cs="FrankRuehl"/>
          <w:b/>
          <w:bCs/>
          <w:sz w:val="28"/>
          <w:szCs w:val="28"/>
          <w:highlight w:val="yellow"/>
          <w:u w:val="single"/>
          <w:rtl/>
        </w:rPr>
      </w:pPr>
    </w:p>
    <w:p w14:paraId="4F8350C4" w14:textId="77777777" w:rsidR="003B4E44" w:rsidRDefault="0000229A">
      <w:pPr>
        <w:spacing w:after="120" w:line="360" w:lineRule="auto"/>
        <w:ind w:firstLine="720"/>
        <w:rPr>
          <w:rFonts w:cs="FrankRuehl"/>
          <w:b/>
          <w:bCs/>
          <w:sz w:val="28"/>
          <w:szCs w:val="28"/>
          <w:rtl/>
        </w:rPr>
      </w:pPr>
      <w:r>
        <w:rPr>
          <w:rFonts w:cs="FrankRuehl" w:hint="cs"/>
          <w:b/>
          <w:bCs/>
          <w:sz w:val="28"/>
          <w:szCs w:val="28"/>
          <w:rtl/>
        </w:rPr>
        <w:t xml:space="preserve">המזכירות תשלח העתק גזר-הדין ליחידת הממונה על עבודות השירות. </w:t>
      </w:r>
    </w:p>
    <w:p w14:paraId="7BBE613E" w14:textId="77777777" w:rsidR="003B4E44" w:rsidRPr="0000229A" w:rsidRDefault="0000229A">
      <w:pPr>
        <w:rPr>
          <w:rFonts w:cs="FrankRuehl"/>
          <w:color w:val="FFFFFF"/>
          <w:sz w:val="2"/>
          <w:szCs w:val="2"/>
          <w:rtl/>
        </w:rPr>
      </w:pPr>
      <w:r w:rsidRPr="0000229A">
        <w:rPr>
          <w:rFonts w:cs="FrankRuehl"/>
          <w:color w:val="FFFFFF"/>
          <w:sz w:val="2"/>
          <w:szCs w:val="2"/>
          <w:rtl/>
        </w:rPr>
        <w:t>5129371</w:t>
      </w:r>
    </w:p>
    <w:p w14:paraId="51A572E5" w14:textId="77777777" w:rsidR="003B4E44" w:rsidRDefault="0000229A">
      <w:pPr>
        <w:rPr>
          <w:rFonts w:cs="FrankRuehl"/>
          <w:sz w:val="28"/>
          <w:szCs w:val="28"/>
          <w:rtl/>
        </w:rPr>
      </w:pPr>
      <w:r w:rsidRPr="0000229A">
        <w:rPr>
          <w:rFonts w:ascii="Arial" w:hAnsi="Arial" w:cs="FrankRuehl"/>
          <w:color w:val="FFFFFF"/>
          <w:sz w:val="2"/>
          <w:szCs w:val="2"/>
          <w:rtl/>
        </w:rPr>
        <w:t>54678313</w:t>
      </w:r>
      <w:r>
        <w:rPr>
          <w:rFonts w:ascii="Arial" w:hAnsi="Arial" w:cs="FrankRuehl"/>
          <w:sz w:val="28"/>
          <w:szCs w:val="28"/>
          <w:rtl/>
        </w:rPr>
        <w:t xml:space="preserve">ניתן היום,  ז' תשרי תשע"ד, 11 ספטמבר 2013, בהעדר הצדדים. </w:t>
      </w:r>
    </w:p>
    <w:p w14:paraId="5335A045" w14:textId="77777777" w:rsidR="003B4E44" w:rsidRDefault="003B4E44">
      <w:pPr>
        <w:jc w:val="right"/>
      </w:pPr>
    </w:p>
    <w:p w14:paraId="4B52522E" w14:textId="77777777" w:rsidR="003B4E44" w:rsidRDefault="003B4E44">
      <w:pPr>
        <w:jc w:val="right"/>
        <w:rPr>
          <w:rFonts w:ascii="Arial" w:hAnsi="Arial" w:cs="FrankRuehl"/>
          <w:sz w:val="28"/>
          <w:szCs w:val="28"/>
          <w:rtl/>
        </w:rPr>
      </w:pPr>
    </w:p>
    <w:p w14:paraId="302783C1" w14:textId="77777777" w:rsidR="003B4E44" w:rsidRDefault="003B4E44">
      <w:pPr>
        <w:rPr>
          <w:rFonts w:cs="FrankRuehl"/>
          <w:sz w:val="28"/>
          <w:szCs w:val="28"/>
          <w:rtl/>
        </w:rPr>
      </w:pPr>
    </w:p>
    <w:p w14:paraId="76F6632B" w14:textId="77777777" w:rsidR="003B4E44" w:rsidRDefault="003B4E44">
      <w:pPr>
        <w:pStyle w:val="a3"/>
        <w:jc w:val="center"/>
        <w:rPr>
          <w:rtl/>
        </w:rPr>
      </w:pPr>
    </w:p>
    <w:p w14:paraId="65476394" w14:textId="77777777" w:rsidR="0000229A" w:rsidRPr="0000229A" w:rsidRDefault="0000229A" w:rsidP="0000229A">
      <w:pPr>
        <w:keepNext/>
        <w:rPr>
          <w:rFonts w:ascii="David" w:hAnsi="David"/>
          <w:color w:val="000000"/>
          <w:sz w:val="22"/>
          <w:szCs w:val="22"/>
          <w:rtl/>
        </w:rPr>
      </w:pPr>
    </w:p>
    <w:p w14:paraId="7EC40173" w14:textId="77777777" w:rsidR="0000229A" w:rsidRPr="0000229A" w:rsidRDefault="0000229A" w:rsidP="0000229A">
      <w:pPr>
        <w:keepNext/>
        <w:rPr>
          <w:rFonts w:ascii="David" w:hAnsi="David"/>
          <w:color w:val="000000"/>
          <w:sz w:val="22"/>
          <w:szCs w:val="22"/>
          <w:rtl/>
        </w:rPr>
      </w:pPr>
      <w:r w:rsidRPr="0000229A">
        <w:rPr>
          <w:rFonts w:ascii="David" w:hAnsi="David"/>
          <w:color w:val="000000"/>
          <w:sz w:val="22"/>
          <w:szCs w:val="22"/>
          <w:rtl/>
        </w:rPr>
        <w:t>דנה כהן לקח 54678313</w:t>
      </w:r>
    </w:p>
    <w:p w14:paraId="40788D11" w14:textId="77777777" w:rsidR="0000229A" w:rsidRDefault="0000229A" w:rsidP="0000229A">
      <w:r w:rsidRPr="0000229A">
        <w:rPr>
          <w:color w:val="000000"/>
          <w:rtl/>
        </w:rPr>
        <w:t>נוסח מסמך זה כפוף לשינויי ניסוח ועריכה</w:t>
      </w:r>
    </w:p>
    <w:p w14:paraId="6BC89B6A" w14:textId="77777777" w:rsidR="0000229A" w:rsidRDefault="0000229A" w:rsidP="0000229A">
      <w:pPr>
        <w:rPr>
          <w:rtl/>
        </w:rPr>
      </w:pPr>
    </w:p>
    <w:p w14:paraId="09FF3456" w14:textId="77777777" w:rsidR="0000229A" w:rsidRDefault="0000229A" w:rsidP="0000229A">
      <w:pPr>
        <w:jc w:val="center"/>
        <w:rPr>
          <w:color w:val="0000FF"/>
          <w:u w:val="single"/>
        </w:rPr>
      </w:pPr>
      <w:r w:rsidRPr="0098069E">
        <w:rPr>
          <w:color w:val="000000"/>
          <w:rtl/>
        </w:rPr>
        <w:t>בעניין עריכה ושינויים במסמכי פסיקה, חקיקה ועוד באתר נבו – הקש כאן</w:t>
      </w:r>
    </w:p>
    <w:p w14:paraId="1E87806A" w14:textId="77777777" w:rsidR="003B4E44" w:rsidRPr="0000229A" w:rsidRDefault="003B4E44" w:rsidP="0000229A">
      <w:pPr>
        <w:jc w:val="center"/>
        <w:rPr>
          <w:color w:val="0000FF"/>
          <w:u w:val="single"/>
        </w:rPr>
      </w:pPr>
    </w:p>
    <w:sectPr w:rsidR="003B4E44" w:rsidRPr="0000229A" w:rsidSect="0000229A">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4901B" w14:textId="77777777" w:rsidR="00F66B26" w:rsidRPr="002B62E5" w:rsidRDefault="00F66B26">
      <w:pPr>
        <w:rPr>
          <w:rFonts w:cs="Arial"/>
          <w:szCs w:val="20"/>
        </w:rPr>
      </w:pPr>
      <w:r>
        <w:separator/>
      </w:r>
    </w:p>
  </w:endnote>
  <w:endnote w:type="continuationSeparator" w:id="0">
    <w:p w14:paraId="7AE33E8E" w14:textId="77777777" w:rsidR="00F66B26" w:rsidRPr="002B62E5" w:rsidRDefault="00F66B2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97B25" w14:textId="77777777" w:rsidR="0011668C" w:rsidRDefault="0011668C" w:rsidP="0000229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4EB5E753" w14:textId="77777777" w:rsidR="0011668C" w:rsidRPr="0000229A" w:rsidRDefault="0011668C" w:rsidP="0000229A">
    <w:pPr>
      <w:pStyle w:val="a4"/>
      <w:pBdr>
        <w:top w:val="single" w:sz="4" w:space="1" w:color="auto"/>
        <w:between w:val="single" w:sz="4" w:space="0" w:color="auto"/>
      </w:pBdr>
      <w:spacing w:after="60"/>
      <w:jc w:val="center"/>
      <w:rPr>
        <w:rFonts w:ascii="FrankRuehl" w:hAnsi="FrankRuehl" w:cs="FrankRuehl"/>
        <w:color w:val="000000"/>
      </w:rPr>
    </w:pPr>
    <w:r w:rsidRPr="000022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37302" w14:textId="77777777" w:rsidR="0011668C" w:rsidRDefault="0011668C" w:rsidP="0000229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7EFD">
      <w:rPr>
        <w:rFonts w:ascii="FrankRuehl" w:hAnsi="FrankRuehl" w:cs="FrankRuehl"/>
        <w:noProof/>
        <w:rtl/>
      </w:rPr>
      <w:t>1</w:t>
    </w:r>
    <w:r>
      <w:rPr>
        <w:rFonts w:ascii="FrankRuehl" w:hAnsi="FrankRuehl" w:cs="FrankRuehl"/>
        <w:rtl/>
      </w:rPr>
      <w:fldChar w:fldCharType="end"/>
    </w:r>
  </w:p>
  <w:p w14:paraId="7C0FE758" w14:textId="77777777" w:rsidR="0011668C" w:rsidRPr="0000229A" w:rsidRDefault="0011668C" w:rsidP="0000229A">
    <w:pPr>
      <w:pStyle w:val="a4"/>
      <w:pBdr>
        <w:top w:val="single" w:sz="4" w:space="1" w:color="auto"/>
        <w:between w:val="single" w:sz="4" w:space="0" w:color="auto"/>
      </w:pBdr>
      <w:spacing w:after="60"/>
      <w:jc w:val="center"/>
      <w:rPr>
        <w:rFonts w:ascii="FrankRuehl" w:hAnsi="FrankRuehl" w:cs="FrankRuehl"/>
        <w:color w:val="000000"/>
      </w:rPr>
    </w:pPr>
    <w:r w:rsidRPr="0000229A">
      <w:rPr>
        <w:rFonts w:ascii="FrankRuehl" w:hAnsi="FrankRuehl" w:cs="FrankRuehl"/>
        <w:color w:val="000000"/>
      </w:rPr>
      <w:pict w14:anchorId="3CDE0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D2F09" w14:textId="77777777" w:rsidR="00F66B26" w:rsidRPr="002B62E5" w:rsidRDefault="00F66B26">
      <w:pPr>
        <w:rPr>
          <w:rFonts w:cs="Arial"/>
          <w:szCs w:val="20"/>
        </w:rPr>
      </w:pPr>
      <w:r>
        <w:separator/>
      </w:r>
    </w:p>
  </w:footnote>
  <w:footnote w:type="continuationSeparator" w:id="0">
    <w:p w14:paraId="7A0F76F5" w14:textId="77777777" w:rsidR="00F66B26" w:rsidRPr="002B62E5" w:rsidRDefault="00F66B2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16383" w14:textId="77777777" w:rsidR="0011668C" w:rsidRPr="0000229A" w:rsidRDefault="0011668C" w:rsidP="000022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26434-03-11</w:t>
    </w:r>
    <w:r>
      <w:rPr>
        <w:rFonts w:ascii="David" w:hAnsi="David"/>
        <w:color w:val="000000"/>
        <w:sz w:val="22"/>
        <w:szCs w:val="22"/>
        <w:rtl/>
      </w:rPr>
      <w:tab/>
      <w:t xml:space="preserve"> מדינת ישראל נ' חמיס אטרש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5417" w14:textId="77777777" w:rsidR="0011668C" w:rsidRPr="0000229A" w:rsidRDefault="0011668C" w:rsidP="000022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26434-03-11</w:t>
    </w:r>
    <w:r>
      <w:rPr>
        <w:rFonts w:ascii="David" w:hAnsi="David"/>
        <w:color w:val="000000"/>
        <w:sz w:val="22"/>
        <w:szCs w:val="22"/>
        <w:rtl/>
      </w:rPr>
      <w:tab/>
      <w:t xml:space="preserve"> מדינת ישראל נ' חמיס אטרש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4E44"/>
    <w:rsid w:val="0000229A"/>
    <w:rsid w:val="000563E4"/>
    <w:rsid w:val="000F042C"/>
    <w:rsid w:val="0011668C"/>
    <w:rsid w:val="001A27E4"/>
    <w:rsid w:val="002744F1"/>
    <w:rsid w:val="0034373E"/>
    <w:rsid w:val="00357EFD"/>
    <w:rsid w:val="003B4E44"/>
    <w:rsid w:val="004A66ED"/>
    <w:rsid w:val="0098069E"/>
    <w:rsid w:val="00BA186A"/>
    <w:rsid w:val="00CA4AAF"/>
    <w:rsid w:val="00F66B26"/>
    <w:rsid w:val="00FB01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43FF36"/>
  <w15:chartTrackingRefBased/>
  <w15:docId w15:val="{841477BB-406B-4CFF-8DF9-CB9B6C19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4E4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B4E44"/>
    <w:pPr>
      <w:tabs>
        <w:tab w:val="center" w:pos="4153"/>
        <w:tab w:val="right" w:pos="8306"/>
      </w:tabs>
    </w:pPr>
  </w:style>
  <w:style w:type="paragraph" w:styleId="a4">
    <w:name w:val="footer"/>
    <w:basedOn w:val="a"/>
    <w:rsid w:val="003B4E44"/>
    <w:pPr>
      <w:tabs>
        <w:tab w:val="center" w:pos="4153"/>
        <w:tab w:val="right" w:pos="8306"/>
      </w:tabs>
    </w:pPr>
  </w:style>
  <w:style w:type="character" w:styleId="a5">
    <w:name w:val="page number"/>
    <w:basedOn w:val="a0"/>
    <w:rsid w:val="003B4E44"/>
  </w:style>
  <w:style w:type="character" w:customStyle="1" w:styleId="Ruller4">
    <w:name w:val="Ruller4 תו"/>
    <w:link w:val="Ruller40"/>
    <w:locked/>
    <w:rsid w:val="003B4E44"/>
    <w:rPr>
      <w:rFonts w:ascii="Arial TUR" w:hAnsi="Arial TUR"/>
      <w:spacing w:val="10"/>
      <w:sz w:val="28"/>
      <w:szCs w:val="28"/>
      <w:lang w:bidi="he-IL"/>
    </w:rPr>
  </w:style>
  <w:style w:type="paragraph" w:customStyle="1" w:styleId="Ruller40">
    <w:name w:val="Ruller4"/>
    <w:basedOn w:val="a"/>
    <w:link w:val="Ruller4"/>
    <w:rsid w:val="003B4E44"/>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styleId="Hyperlink">
    <w:name w:val="Hyperlink"/>
    <w:rsid w:val="00002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144"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c.a"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70301/144.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5703</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6830</CharactersWithSpaces>
  <SharedDoc>false</SharedDoc>
  <HLinks>
    <vt:vector size="84" baseType="variant">
      <vt:variant>
        <vt:i4>7995492</vt:i4>
      </vt:variant>
      <vt:variant>
        <vt:i4>39</vt:i4>
      </vt:variant>
      <vt:variant>
        <vt:i4>0</vt:i4>
      </vt:variant>
      <vt:variant>
        <vt:i4>5</vt:i4>
      </vt:variant>
      <vt:variant>
        <vt:lpwstr>http://www.nevo.co.il/law/70301</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2025-01-19T17:29:00Z</dcterms:created>
  <dcterms:modified xsi:type="dcterms:W3CDTF">2025-01-19T17:29:00Z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26434</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חמיס אטרש</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20130911</vt:lpwstr>
  </property>
  <property fmtid="{D5CDD505-2E9C-101B-9397-08002B2CF9AE}" pid="13" name="TYPE_N_DATE">
    <vt:lpwstr>38020130911</vt:lpwstr>
  </property>
  <property fmtid="{D5CDD505-2E9C-101B-9397-08002B2CF9AE}" pid="14" name="WORDNUMPAGES">
    <vt:lpwstr>5</vt:lpwstr>
  </property>
  <property fmtid="{D5CDD505-2E9C-101B-9397-08002B2CF9AE}" pid="15" name="TYPE_ABS_DATE">
    <vt:lpwstr>380020130911</vt:lpwstr>
  </property>
  <property fmtid="{D5CDD505-2E9C-101B-9397-08002B2CF9AE}" pid="16" name="ISABSTRACT">
    <vt:lpwstr>Y</vt:lpwstr>
  </property>
  <property fmtid="{D5CDD505-2E9C-101B-9397-08002B2CF9AE}" pid="17" name="LAWLISTTMP1">
    <vt:lpwstr>70301/144.a:4;040c.a;144</vt:lpwstr>
  </property>
</Properties>
</file>