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8"/>
        <w:gridCol w:w="3673"/>
      </w:tblGrid>
      <w:tr w:rsidR="00B109A1" w:rsidRPr="00A06786" w14:paraId="05ECC7D4" w14:textId="77777777">
        <w:trPr>
          <w:trHeight w:hRule="exact" w:val="418"/>
          <w:jc w:val="center"/>
        </w:trPr>
        <w:tc>
          <w:tcPr>
            <w:tcW w:w="8721" w:type="dxa"/>
            <w:gridSpan w:val="2"/>
          </w:tcPr>
          <w:p w14:paraId="60BB20F9" w14:textId="77777777" w:rsidR="00B109A1" w:rsidRPr="00A06786" w:rsidRDefault="00A06786">
            <w:pPr>
              <w:pStyle w:val="a3"/>
              <w:jc w:val="center"/>
              <w:rPr>
                <w:rFonts w:ascii="Tahoma" w:hAnsi="Tahoma" w:cs="Tahoma"/>
                <w:color w:val="000080"/>
                <w:rtl/>
              </w:rPr>
            </w:pPr>
            <w:bookmarkStart w:id="0" w:name="FirstLawyer"/>
            <w:bookmarkStart w:id="1" w:name="LastJudge"/>
            <w:r w:rsidRPr="00A06786">
              <w:rPr>
                <w:rFonts w:ascii="Tahoma" w:hAnsi="Tahoma" w:cs="Tahoma"/>
                <w:b/>
                <w:bCs/>
                <w:color w:val="000080"/>
                <w:rtl/>
              </w:rPr>
              <w:t>בית משפט השלום בכפר סבא</w:t>
            </w:r>
          </w:p>
        </w:tc>
      </w:tr>
      <w:tr w:rsidR="00B109A1" w:rsidRPr="00A06786" w14:paraId="349C8475" w14:textId="77777777">
        <w:trPr>
          <w:trHeight w:val="337"/>
          <w:jc w:val="center"/>
        </w:trPr>
        <w:tc>
          <w:tcPr>
            <w:tcW w:w="5048" w:type="dxa"/>
          </w:tcPr>
          <w:p w14:paraId="67BABB8C" w14:textId="77777777" w:rsidR="00B109A1" w:rsidRPr="00A06786" w:rsidRDefault="00A06786">
            <w:pPr>
              <w:rPr>
                <w:rFonts w:cs="FrankRuehl"/>
                <w:b/>
                <w:bCs/>
                <w:sz w:val="28"/>
                <w:szCs w:val="28"/>
                <w:rtl/>
              </w:rPr>
            </w:pPr>
            <w:r w:rsidRPr="00A06786">
              <w:rPr>
                <w:rFonts w:cs="FrankRuehl"/>
                <w:b/>
                <w:bCs/>
                <w:sz w:val="28"/>
                <w:szCs w:val="28"/>
                <w:rtl/>
              </w:rPr>
              <w:t>ת"פ</w:t>
            </w:r>
            <w:r w:rsidRPr="00A06786">
              <w:rPr>
                <w:rFonts w:cs="FrankRuehl" w:hint="cs"/>
                <w:b/>
                <w:bCs/>
                <w:sz w:val="28"/>
                <w:szCs w:val="28"/>
                <w:rtl/>
              </w:rPr>
              <w:t xml:space="preserve"> </w:t>
            </w:r>
            <w:r w:rsidRPr="00A06786">
              <w:rPr>
                <w:rFonts w:cs="FrankRuehl"/>
                <w:b/>
                <w:bCs/>
                <w:sz w:val="28"/>
                <w:szCs w:val="28"/>
                <w:rtl/>
              </w:rPr>
              <w:t>16868-06-11</w:t>
            </w:r>
            <w:r w:rsidRPr="00A06786">
              <w:rPr>
                <w:rFonts w:cs="FrankRuehl" w:hint="cs"/>
                <w:b/>
                <w:bCs/>
                <w:sz w:val="28"/>
                <w:szCs w:val="28"/>
                <w:rtl/>
              </w:rPr>
              <w:t xml:space="preserve"> </w:t>
            </w:r>
            <w:r w:rsidRPr="00A06786">
              <w:rPr>
                <w:rFonts w:cs="FrankRuehl"/>
                <w:b/>
                <w:bCs/>
                <w:sz w:val="28"/>
                <w:szCs w:val="28"/>
                <w:rtl/>
              </w:rPr>
              <w:t>מדינת ישראל נ' מסארווה</w:t>
            </w:r>
          </w:p>
          <w:p w14:paraId="01B9D828" w14:textId="77777777" w:rsidR="00B109A1" w:rsidRPr="00A06786" w:rsidRDefault="00B109A1">
            <w:pPr>
              <w:pStyle w:val="a3"/>
              <w:rPr>
                <w:rFonts w:cs="FrankRuehl"/>
                <w:b/>
                <w:bCs/>
                <w:sz w:val="28"/>
                <w:szCs w:val="28"/>
                <w:rtl/>
              </w:rPr>
            </w:pPr>
          </w:p>
          <w:p w14:paraId="51A63864" w14:textId="77777777" w:rsidR="00B109A1" w:rsidRPr="00A06786" w:rsidRDefault="00B109A1">
            <w:pPr>
              <w:rPr>
                <w:b/>
                <w:bCs/>
              </w:rPr>
            </w:pPr>
          </w:p>
        </w:tc>
        <w:tc>
          <w:tcPr>
            <w:tcW w:w="3673" w:type="dxa"/>
          </w:tcPr>
          <w:p w14:paraId="70CE4791" w14:textId="77777777" w:rsidR="00B109A1" w:rsidRPr="00A06786" w:rsidRDefault="00A06786">
            <w:pPr>
              <w:pStyle w:val="a3"/>
              <w:jc w:val="right"/>
              <w:rPr>
                <w:rFonts w:cs="FrankRuehl"/>
                <w:sz w:val="28"/>
                <w:szCs w:val="28"/>
                <w:rtl/>
              </w:rPr>
            </w:pPr>
            <w:r w:rsidRPr="00A06786">
              <w:rPr>
                <w:rFonts w:cs="FrankRuehl" w:hint="cs"/>
                <w:sz w:val="28"/>
                <w:szCs w:val="28"/>
                <w:rtl/>
              </w:rPr>
              <w:t>20</w:t>
            </w:r>
            <w:r w:rsidRPr="00A06786">
              <w:rPr>
                <w:rFonts w:cs="FrankRuehl"/>
                <w:sz w:val="28"/>
                <w:szCs w:val="28"/>
                <w:rtl/>
              </w:rPr>
              <w:t xml:space="preserve"> פברואר 2013</w:t>
            </w:r>
          </w:p>
        </w:tc>
      </w:tr>
    </w:tbl>
    <w:p w14:paraId="73923CDD" w14:textId="77777777" w:rsidR="00B109A1" w:rsidRPr="00A06786" w:rsidRDefault="00B109A1">
      <w:pPr>
        <w:pStyle w:val="a3"/>
        <w:tabs>
          <w:tab w:val="clear" w:pos="4153"/>
          <w:tab w:val="clear" w:pos="8306"/>
          <w:tab w:val="left" w:pos="2670"/>
        </w:tabs>
      </w:pPr>
    </w:p>
    <w:p w14:paraId="4C35EB9C" w14:textId="77777777" w:rsidR="00B109A1" w:rsidRPr="00A06786" w:rsidRDefault="00B109A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109A1" w:rsidRPr="00A06786" w14:paraId="39D648B1" w14:textId="77777777">
        <w:trPr>
          <w:trHeight w:val="295"/>
          <w:jc w:val="center"/>
        </w:trPr>
        <w:tc>
          <w:tcPr>
            <w:tcW w:w="923" w:type="dxa"/>
            <w:tcBorders>
              <w:top w:val="nil"/>
              <w:left w:val="nil"/>
              <w:bottom w:val="nil"/>
              <w:right w:val="nil"/>
            </w:tcBorders>
          </w:tcPr>
          <w:p w14:paraId="4B9CAD4B" w14:textId="77777777" w:rsidR="00B109A1" w:rsidRPr="00A06786" w:rsidRDefault="00A06786">
            <w:pPr>
              <w:jc w:val="both"/>
              <w:rPr>
                <w:rFonts w:ascii="Arial" w:hAnsi="Arial" w:cs="FrankRuehl"/>
                <w:sz w:val="28"/>
                <w:szCs w:val="28"/>
              </w:rPr>
            </w:pPr>
            <w:r w:rsidRPr="00A06786">
              <w:rPr>
                <w:rFonts w:ascii="Arial" w:hAnsi="Arial" w:cs="FrankRuehl" w:hint="cs"/>
                <w:sz w:val="28"/>
                <w:szCs w:val="28"/>
                <w:rtl/>
              </w:rPr>
              <w:t>ב</w:t>
            </w:r>
            <w:r w:rsidRPr="00A06786">
              <w:rPr>
                <w:rFonts w:ascii="Arial" w:hAnsi="Arial" w:cs="FrankRuehl"/>
                <w:sz w:val="28"/>
                <w:szCs w:val="28"/>
                <w:rtl/>
              </w:rPr>
              <w:t xml:space="preserve">פני </w:t>
            </w:r>
          </w:p>
        </w:tc>
        <w:tc>
          <w:tcPr>
            <w:tcW w:w="7897" w:type="dxa"/>
            <w:gridSpan w:val="2"/>
            <w:tcBorders>
              <w:top w:val="nil"/>
              <w:left w:val="nil"/>
              <w:bottom w:val="nil"/>
              <w:right w:val="nil"/>
            </w:tcBorders>
          </w:tcPr>
          <w:p w14:paraId="54B0E61E" w14:textId="77777777" w:rsidR="00B109A1" w:rsidRPr="00A06786" w:rsidRDefault="00A06786">
            <w:pPr>
              <w:rPr>
                <w:rFonts w:ascii="Arial" w:hAnsi="Arial"/>
                <w:b/>
                <w:bCs/>
                <w:rtl/>
              </w:rPr>
            </w:pPr>
            <w:r w:rsidRPr="00A06786">
              <w:rPr>
                <w:rFonts w:ascii="Arial" w:hAnsi="Arial" w:hint="cs"/>
                <w:b/>
                <w:bCs/>
                <w:rtl/>
              </w:rPr>
              <w:t>כב' ה</w:t>
            </w:r>
            <w:r w:rsidRPr="00A06786">
              <w:rPr>
                <w:rFonts w:hint="cs"/>
                <w:rtl/>
              </w:rPr>
              <w:t>שופטת</w:t>
            </w:r>
            <w:r w:rsidRPr="00A06786">
              <w:rPr>
                <w:rFonts w:ascii="Arial" w:hAnsi="Arial" w:hint="cs"/>
                <w:b/>
                <w:bCs/>
                <w:rtl/>
              </w:rPr>
              <w:t xml:space="preserve">  </w:t>
            </w:r>
            <w:r w:rsidRPr="00A06786">
              <w:rPr>
                <w:rFonts w:hint="cs"/>
                <w:rtl/>
              </w:rPr>
              <w:t>דנה מרשק מרום</w:t>
            </w:r>
          </w:p>
          <w:p w14:paraId="2178FEDE" w14:textId="77777777" w:rsidR="00B109A1" w:rsidRPr="00A06786" w:rsidRDefault="00B109A1">
            <w:pPr>
              <w:jc w:val="both"/>
              <w:rPr>
                <w:rFonts w:ascii="Arial" w:hAnsi="Arial" w:cs="FrankRuehl"/>
                <w:sz w:val="28"/>
                <w:szCs w:val="28"/>
              </w:rPr>
            </w:pPr>
          </w:p>
        </w:tc>
      </w:tr>
      <w:tr w:rsidR="00B109A1" w:rsidRPr="00A06786" w14:paraId="7BDF8F8D" w14:textId="77777777">
        <w:trPr>
          <w:trHeight w:val="355"/>
          <w:jc w:val="center"/>
        </w:trPr>
        <w:tc>
          <w:tcPr>
            <w:tcW w:w="923" w:type="dxa"/>
            <w:tcBorders>
              <w:top w:val="nil"/>
              <w:left w:val="nil"/>
              <w:bottom w:val="nil"/>
              <w:right w:val="nil"/>
            </w:tcBorders>
          </w:tcPr>
          <w:p w14:paraId="6CAF710F" w14:textId="77777777" w:rsidR="00B109A1" w:rsidRPr="00A06786" w:rsidRDefault="00B109A1">
            <w:pPr>
              <w:jc w:val="both"/>
              <w:rPr>
                <w:rFonts w:ascii="Arial" w:hAnsi="Arial" w:cs="FrankRuehl"/>
                <w:sz w:val="28"/>
                <w:szCs w:val="28"/>
                <w:rtl/>
              </w:rPr>
            </w:pPr>
            <w:bookmarkStart w:id="2" w:name="FirstAppellant"/>
          </w:p>
          <w:p w14:paraId="21914696" w14:textId="77777777" w:rsidR="00B109A1" w:rsidRPr="00A06786" w:rsidRDefault="00A06786">
            <w:pPr>
              <w:jc w:val="both"/>
              <w:rPr>
                <w:rFonts w:ascii="Arial" w:hAnsi="Arial" w:cs="FrankRuehl"/>
                <w:sz w:val="28"/>
                <w:szCs w:val="28"/>
              </w:rPr>
            </w:pPr>
            <w:r w:rsidRPr="00A06786">
              <w:rPr>
                <w:rFonts w:ascii="Arial" w:hAnsi="Arial" w:cs="FrankRuehl" w:hint="cs"/>
                <w:sz w:val="28"/>
                <w:szCs w:val="28"/>
                <w:rtl/>
              </w:rPr>
              <w:t>בעניין:</w:t>
            </w:r>
          </w:p>
        </w:tc>
        <w:tc>
          <w:tcPr>
            <w:tcW w:w="4126" w:type="dxa"/>
            <w:tcBorders>
              <w:top w:val="nil"/>
              <w:left w:val="nil"/>
              <w:bottom w:val="nil"/>
              <w:right w:val="nil"/>
            </w:tcBorders>
          </w:tcPr>
          <w:p w14:paraId="5D4D9EF7" w14:textId="77777777" w:rsidR="00B109A1" w:rsidRPr="00A06786" w:rsidRDefault="00B109A1">
            <w:pPr>
              <w:jc w:val="both"/>
              <w:rPr>
                <w:rFonts w:ascii="Arial" w:hAnsi="Arial" w:cs="FrankRuehl"/>
                <w:sz w:val="28"/>
                <w:szCs w:val="28"/>
                <w:rtl/>
              </w:rPr>
            </w:pPr>
          </w:p>
          <w:p w14:paraId="05D84599" w14:textId="77777777" w:rsidR="00B109A1" w:rsidRPr="00A06786" w:rsidRDefault="00A06786">
            <w:r w:rsidRPr="00A06786">
              <w:rPr>
                <w:rFonts w:hint="cs"/>
                <w:rtl/>
              </w:rPr>
              <w:t>מדינת ישראל ע"י עו"ד צדיק וינוביץ'</w:t>
            </w:r>
          </w:p>
        </w:tc>
        <w:tc>
          <w:tcPr>
            <w:tcW w:w="3771" w:type="dxa"/>
            <w:tcBorders>
              <w:top w:val="nil"/>
              <w:left w:val="nil"/>
              <w:bottom w:val="nil"/>
              <w:right w:val="nil"/>
            </w:tcBorders>
          </w:tcPr>
          <w:p w14:paraId="54F2A638" w14:textId="77777777" w:rsidR="00B109A1" w:rsidRPr="00A06786" w:rsidRDefault="00B109A1">
            <w:pPr>
              <w:jc w:val="both"/>
              <w:rPr>
                <w:rFonts w:ascii="Arial" w:hAnsi="Arial" w:cs="FrankRuehl"/>
                <w:sz w:val="28"/>
                <w:szCs w:val="28"/>
              </w:rPr>
            </w:pPr>
          </w:p>
        </w:tc>
      </w:tr>
      <w:bookmarkEnd w:id="2"/>
      <w:tr w:rsidR="00B109A1" w:rsidRPr="00A06786" w14:paraId="5128EF90" w14:textId="77777777">
        <w:trPr>
          <w:trHeight w:val="355"/>
          <w:jc w:val="center"/>
        </w:trPr>
        <w:tc>
          <w:tcPr>
            <w:tcW w:w="923" w:type="dxa"/>
            <w:tcBorders>
              <w:top w:val="nil"/>
              <w:left w:val="nil"/>
              <w:bottom w:val="nil"/>
              <w:right w:val="nil"/>
            </w:tcBorders>
          </w:tcPr>
          <w:p w14:paraId="4A9312ED" w14:textId="77777777" w:rsidR="00B109A1" w:rsidRPr="00A06786" w:rsidRDefault="00B109A1">
            <w:pPr>
              <w:jc w:val="both"/>
              <w:rPr>
                <w:rFonts w:ascii="Arial" w:hAnsi="Arial" w:cs="FrankRuehl"/>
                <w:sz w:val="28"/>
                <w:szCs w:val="28"/>
                <w:rtl/>
              </w:rPr>
            </w:pPr>
          </w:p>
        </w:tc>
        <w:tc>
          <w:tcPr>
            <w:tcW w:w="4126" w:type="dxa"/>
            <w:tcBorders>
              <w:top w:val="nil"/>
              <w:left w:val="nil"/>
              <w:bottom w:val="nil"/>
              <w:right w:val="nil"/>
            </w:tcBorders>
          </w:tcPr>
          <w:p w14:paraId="0749EDEF" w14:textId="77777777" w:rsidR="00B109A1" w:rsidRPr="00A06786" w:rsidRDefault="00B109A1">
            <w:pPr>
              <w:jc w:val="both"/>
              <w:rPr>
                <w:rtl/>
              </w:rPr>
            </w:pPr>
          </w:p>
        </w:tc>
        <w:tc>
          <w:tcPr>
            <w:tcW w:w="3771" w:type="dxa"/>
            <w:tcBorders>
              <w:top w:val="nil"/>
              <w:left w:val="nil"/>
              <w:bottom w:val="nil"/>
              <w:right w:val="nil"/>
            </w:tcBorders>
          </w:tcPr>
          <w:p w14:paraId="3A39A984" w14:textId="77777777" w:rsidR="00B109A1" w:rsidRPr="00A06786" w:rsidRDefault="00A06786">
            <w:pPr>
              <w:jc w:val="right"/>
              <w:rPr>
                <w:rFonts w:ascii="Arial" w:hAnsi="Arial" w:cs="FrankRuehl"/>
                <w:sz w:val="28"/>
                <w:szCs w:val="28"/>
                <w:rtl/>
              </w:rPr>
            </w:pPr>
            <w:r w:rsidRPr="00A06786">
              <w:rPr>
                <w:rFonts w:ascii="Arial" w:hAnsi="Arial" w:cs="FrankRuehl" w:hint="cs"/>
                <w:sz w:val="28"/>
                <w:szCs w:val="28"/>
                <w:rtl/>
              </w:rPr>
              <w:t>ה</w:t>
            </w:r>
            <w:r w:rsidRPr="00A06786">
              <w:rPr>
                <w:rFonts w:hint="cs"/>
                <w:rtl/>
              </w:rPr>
              <w:t>מאשימה</w:t>
            </w:r>
          </w:p>
        </w:tc>
      </w:tr>
      <w:tr w:rsidR="00B109A1" w:rsidRPr="00A06786" w14:paraId="1E794DF2" w14:textId="77777777">
        <w:trPr>
          <w:trHeight w:val="355"/>
          <w:jc w:val="center"/>
        </w:trPr>
        <w:tc>
          <w:tcPr>
            <w:tcW w:w="923" w:type="dxa"/>
            <w:tcBorders>
              <w:top w:val="nil"/>
              <w:left w:val="nil"/>
              <w:bottom w:val="nil"/>
              <w:right w:val="nil"/>
            </w:tcBorders>
          </w:tcPr>
          <w:p w14:paraId="2A7B5383" w14:textId="77777777" w:rsidR="00B109A1" w:rsidRPr="00A06786" w:rsidRDefault="00B109A1">
            <w:pPr>
              <w:jc w:val="both"/>
              <w:rPr>
                <w:rFonts w:ascii="Arial" w:hAnsi="Arial" w:cs="FrankRuehl"/>
                <w:sz w:val="28"/>
                <w:szCs w:val="28"/>
                <w:rtl/>
              </w:rPr>
            </w:pPr>
          </w:p>
        </w:tc>
        <w:tc>
          <w:tcPr>
            <w:tcW w:w="7897" w:type="dxa"/>
            <w:gridSpan w:val="2"/>
            <w:tcBorders>
              <w:top w:val="nil"/>
              <w:left w:val="nil"/>
              <w:bottom w:val="nil"/>
              <w:right w:val="nil"/>
            </w:tcBorders>
          </w:tcPr>
          <w:p w14:paraId="583F8727" w14:textId="77777777" w:rsidR="00B109A1" w:rsidRPr="00A06786" w:rsidRDefault="00B109A1">
            <w:pPr>
              <w:jc w:val="center"/>
              <w:rPr>
                <w:rFonts w:ascii="Arial" w:hAnsi="Arial" w:cs="FrankRuehl"/>
                <w:b/>
                <w:bCs/>
                <w:sz w:val="28"/>
                <w:szCs w:val="28"/>
                <w:rtl/>
              </w:rPr>
            </w:pPr>
          </w:p>
          <w:p w14:paraId="1830D6B6" w14:textId="77777777" w:rsidR="00B109A1" w:rsidRPr="00A06786" w:rsidRDefault="00A06786">
            <w:pPr>
              <w:jc w:val="center"/>
              <w:rPr>
                <w:rFonts w:ascii="Arial" w:hAnsi="Arial" w:cs="FrankRuehl"/>
                <w:b/>
                <w:bCs/>
                <w:sz w:val="28"/>
                <w:szCs w:val="28"/>
                <w:rtl/>
              </w:rPr>
            </w:pPr>
            <w:r w:rsidRPr="00A06786">
              <w:rPr>
                <w:rFonts w:ascii="Arial" w:hAnsi="Arial" w:cs="FrankRuehl"/>
                <w:b/>
                <w:bCs/>
                <w:sz w:val="28"/>
                <w:szCs w:val="28"/>
                <w:rtl/>
              </w:rPr>
              <w:t>נגד</w:t>
            </w:r>
          </w:p>
          <w:p w14:paraId="24A9BB0B" w14:textId="77777777" w:rsidR="00B109A1" w:rsidRPr="00A06786" w:rsidRDefault="00B109A1">
            <w:pPr>
              <w:jc w:val="both"/>
              <w:rPr>
                <w:rFonts w:ascii="Arial" w:hAnsi="Arial" w:cs="FrankRuehl"/>
                <w:sz w:val="28"/>
                <w:szCs w:val="28"/>
              </w:rPr>
            </w:pPr>
          </w:p>
        </w:tc>
      </w:tr>
      <w:tr w:rsidR="00B109A1" w:rsidRPr="00A06786" w14:paraId="54FE926B" w14:textId="77777777">
        <w:trPr>
          <w:trHeight w:val="355"/>
          <w:jc w:val="center"/>
        </w:trPr>
        <w:tc>
          <w:tcPr>
            <w:tcW w:w="923" w:type="dxa"/>
            <w:tcBorders>
              <w:top w:val="nil"/>
              <w:left w:val="nil"/>
              <w:bottom w:val="nil"/>
              <w:right w:val="nil"/>
            </w:tcBorders>
          </w:tcPr>
          <w:p w14:paraId="2EAFF231" w14:textId="77777777" w:rsidR="00B109A1" w:rsidRPr="00A06786" w:rsidRDefault="00B109A1">
            <w:pPr>
              <w:jc w:val="both"/>
              <w:rPr>
                <w:rFonts w:ascii="Arial" w:hAnsi="Arial" w:cs="FrankRuehl"/>
                <w:sz w:val="28"/>
                <w:szCs w:val="28"/>
                <w:rtl/>
              </w:rPr>
            </w:pPr>
          </w:p>
        </w:tc>
        <w:tc>
          <w:tcPr>
            <w:tcW w:w="4126" w:type="dxa"/>
            <w:tcBorders>
              <w:top w:val="nil"/>
              <w:left w:val="nil"/>
              <w:bottom w:val="nil"/>
              <w:right w:val="nil"/>
            </w:tcBorders>
          </w:tcPr>
          <w:p w14:paraId="2EEAFAE6" w14:textId="77777777" w:rsidR="00B109A1" w:rsidRPr="00A06786" w:rsidRDefault="00A06786">
            <w:pPr>
              <w:jc w:val="both"/>
              <w:rPr>
                <w:rtl/>
              </w:rPr>
            </w:pPr>
            <w:r w:rsidRPr="00A06786">
              <w:rPr>
                <w:rFonts w:hint="cs"/>
                <w:rtl/>
              </w:rPr>
              <w:t>רמזי מסארווה בעצמו וע"י עו"ד מצארווה וג'די</w:t>
            </w:r>
          </w:p>
        </w:tc>
        <w:tc>
          <w:tcPr>
            <w:tcW w:w="3771" w:type="dxa"/>
            <w:tcBorders>
              <w:top w:val="nil"/>
              <w:left w:val="nil"/>
              <w:bottom w:val="nil"/>
              <w:right w:val="nil"/>
            </w:tcBorders>
          </w:tcPr>
          <w:p w14:paraId="07A80CC5" w14:textId="77777777" w:rsidR="00B109A1" w:rsidRPr="00A06786" w:rsidRDefault="00B109A1">
            <w:pPr>
              <w:jc w:val="right"/>
              <w:rPr>
                <w:rFonts w:ascii="Arial" w:hAnsi="Arial" w:cs="FrankRuehl"/>
                <w:sz w:val="28"/>
                <w:szCs w:val="28"/>
              </w:rPr>
            </w:pPr>
          </w:p>
        </w:tc>
      </w:tr>
      <w:tr w:rsidR="00B109A1" w:rsidRPr="00A06786" w14:paraId="3905F7C4" w14:textId="77777777">
        <w:trPr>
          <w:trHeight w:val="355"/>
          <w:jc w:val="center"/>
        </w:trPr>
        <w:tc>
          <w:tcPr>
            <w:tcW w:w="923" w:type="dxa"/>
            <w:tcBorders>
              <w:top w:val="nil"/>
              <w:left w:val="nil"/>
              <w:bottom w:val="nil"/>
              <w:right w:val="nil"/>
            </w:tcBorders>
          </w:tcPr>
          <w:p w14:paraId="4543FD32" w14:textId="77777777" w:rsidR="00B109A1" w:rsidRPr="00A06786" w:rsidRDefault="00B109A1">
            <w:pPr>
              <w:jc w:val="both"/>
              <w:rPr>
                <w:rFonts w:ascii="Arial" w:hAnsi="Arial" w:cs="FrankRuehl"/>
                <w:sz w:val="28"/>
                <w:szCs w:val="28"/>
                <w:rtl/>
              </w:rPr>
            </w:pPr>
          </w:p>
        </w:tc>
        <w:tc>
          <w:tcPr>
            <w:tcW w:w="4126" w:type="dxa"/>
            <w:tcBorders>
              <w:top w:val="nil"/>
              <w:left w:val="nil"/>
              <w:bottom w:val="nil"/>
              <w:right w:val="nil"/>
            </w:tcBorders>
          </w:tcPr>
          <w:p w14:paraId="5C553756" w14:textId="77777777" w:rsidR="00B109A1" w:rsidRPr="00A06786" w:rsidRDefault="00B109A1">
            <w:pPr>
              <w:jc w:val="both"/>
              <w:rPr>
                <w:rtl/>
              </w:rPr>
            </w:pPr>
          </w:p>
        </w:tc>
        <w:tc>
          <w:tcPr>
            <w:tcW w:w="3771" w:type="dxa"/>
            <w:tcBorders>
              <w:top w:val="nil"/>
              <w:left w:val="nil"/>
              <w:bottom w:val="nil"/>
              <w:right w:val="nil"/>
            </w:tcBorders>
          </w:tcPr>
          <w:p w14:paraId="4C38C5B8" w14:textId="77777777" w:rsidR="00B109A1" w:rsidRPr="00A06786" w:rsidRDefault="00A06786">
            <w:pPr>
              <w:jc w:val="right"/>
              <w:rPr>
                <w:rFonts w:ascii="Arial" w:hAnsi="Arial" w:cs="FrankRuehl"/>
                <w:sz w:val="28"/>
                <w:szCs w:val="28"/>
              </w:rPr>
            </w:pPr>
            <w:r w:rsidRPr="00A06786">
              <w:rPr>
                <w:rFonts w:ascii="Arial" w:hAnsi="Arial" w:cs="FrankRuehl" w:hint="cs"/>
                <w:sz w:val="28"/>
                <w:szCs w:val="28"/>
                <w:rtl/>
              </w:rPr>
              <w:t>ה</w:t>
            </w:r>
            <w:r w:rsidRPr="00A06786">
              <w:rPr>
                <w:rFonts w:hint="cs"/>
                <w:rtl/>
              </w:rPr>
              <w:t>נאשם</w:t>
            </w:r>
          </w:p>
        </w:tc>
      </w:tr>
    </w:tbl>
    <w:p w14:paraId="34FEDE77" w14:textId="77777777" w:rsidR="00B109A1" w:rsidRPr="00A06786" w:rsidRDefault="00B109A1"/>
    <w:p w14:paraId="30A940EA" w14:textId="77777777" w:rsidR="00A06786" w:rsidRPr="00A06786" w:rsidRDefault="00A06786">
      <w:pPr>
        <w:spacing w:before="100" w:beforeAutospacing="1" w:after="100" w:afterAutospacing="1" w:line="360" w:lineRule="auto"/>
        <w:ind w:left="720" w:hanging="720"/>
        <w:jc w:val="center"/>
        <w:rPr>
          <w:b/>
          <w:bCs/>
          <w:sz w:val="26"/>
          <w:szCs w:val="26"/>
          <w:rtl/>
        </w:rPr>
      </w:pPr>
    </w:p>
    <w:p w14:paraId="682C27FF" w14:textId="77777777" w:rsidR="00A06786" w:rsidRPr="00A06786" w:rsidRDefault="00A06786" w:rsidP="00A06786">
      <w:pPr>
        <w:spacing w:before="100" w:beforeAutospacing="1" w:after="100" w:afterAutospacing="1" w:line="360" w:lineRule="auto"/>
        <w:ind w:left="720" w:hanging="720"/>
        <w:jc w:val="center"/>
        <w:rPr>
          <w:b/>
          <w:bCs/>
          <w:sz w:val="26"/>
          <w:szCs w:val="26"/>
          <w:u w:val="single"/>
          <w:rtl/>
        </w:rPr>
      </w:pPr>
      <w:bookmarkStart w:id="3" w:name="PsakDin"/>
      <w:bookmarkEnd w:id="0"/>
      <w:bookmarkEnd w:id="1"/>
      <w:r w:rsidRPr="00A06786">
        <w:rPr>
          <w:b/>
          <w:bCs/>
          <w:sz w:val="26"/>
          <w:szCs w:val="26"/>
          <w:u w:val="single"/>
          <w:rtl/>
        </w:rPr>
        <w:t>גזר-דין</w:t>
      </w:r>
    </w:p>
    <w:bookmarkEnd w:id="3"/>
    <w:p w14:paraId="01075D6C" w14:textId="77777777" w:rsidR="00B109A1" w:rsidRDefault="00A06786">
      <w:pPr>
        <w:spacing w:before="100" w:beforeAutospacing="1" w:after="100" w:afterAutospacing="1" w:line="360" w:lineRule="auto"/>
        <w:ind w:left="720" w:hanging="720"/>
        <w:jc w:val="both"/>
        <w:rPr>
          <w:rtl/>
        </w:rPr>
      </w:pPr>
      <w:r>
        <w:rPr>
          <w:rFonts w:hint="cs"/>
          <w:rtl/>
        </w:rPr>
        <w:t>1.</w:t>
      </w:r>
      <w:r>
        <w:rPr>
          <w:rFonts w:hint="cs"/>
          <w:rtl/>
        </w:rPr>
        <w:tab/>
      </w:r>
      <w:bookmarkStart w:id="4" w:name="ABSTRACT_START"/>
      <w:bookmarkEnd w:id="4"/>
      <w:r>
        <w:rPr>
          <w:rFonts w:hint="cs"/>
          <w:rtl/>
        </w:rPr>
        <w:t>הנאשם הורשע על יסוד הודאתו בעובדות כתב-אישום מתוקן, במסגרת הסדר טיעון חלקי, בביצוע עבירה של החזקת תחמושת שלא כדין, לפי סעיף 144(א) סיפא ל</w:t>
      </w:r>
      <w:hyperlink r:id="rId6" w:history="1">
        <w:r w:rsidRPr="00A06786">
          <w:rPr>
            <w:color w:val="0000FF"/>
            <w:u w:val="single"/>
            <w:rtl/>
          </w:rPr>
          <w:t>חוק העונשין</w:t>
        </w:r>
      </w:hyperlink>
      <w:r>
        <w:rPr>
          <w:rFonts w:hint="cs"/>
          <w:rtl/>
        </w:rPr>
        <w:t xml:space="preserve">, התשל"ז – 1977 (להלן: חוק העונשין; כשבטעות צויין בכתב-האישום ובהכרעת-הדין סעיף 144 לחוק העונשין בלבד). </w:t>
      </w:r>
    </w:p>
    <w:p w14:paraId="1297AE69" w14:textId="77777777" w:rsidR="00B109A1" w:rsidRDefault="00A06786">
      <w:pPr>
        <w:spacing w:before="100" w:beforeAutospacing="1" w:after="100" w:afterAutospacing="1" w:line="360" w:lineRule="auto"/>
        <w:ind w:left="720"/>
        <w:jc w:val="both"/>
        <w:rPr>
          <w:rFonts w:cs="Times New Roman"/>
          <w:rtl/>
        </w:rPr>
      </w:pPr>
      <w:bookmarkStart w:id="5" w:name="ABSTRACT_END"/>
      <w:bookmarkEnd w:id="5"/>
      <w:r>
        <w:rPr>
          <w:rFonts w:hint="cs"/>
          <w:rtl/>
        </w:rPr>
        <w:t xml:space="preserve">על-פי עובדות כתב-האישום המתוקן, ביום 19.9.10, עת הגיעו שוטרים לדירתו של הנאשם על-מנת לעכבו לחקירה, נמצא הנאשם מחזיק בדירתו בטירה ב- 107 כדורי אקדח </w:t>
      </w:r>
      <w:smartTag w:uri="urn:schemas-microsoft-com:office:smarttags" w:element="metricconverter">
        <w:smartTagPr>
          <w:attr w:name="ProductID" w:val="9 מ&quot;מ"/>
        </w:smartTagPr>
        <w:r>
          <w:rPr>
            <w:rFonts w:hint="cs"/>
            <w:rtl/>
          </w:rPr>
          <w:t>9 מ"מ</w:t>
        </w:r>
      </w:smartTag>
      <w:r>
        <w:rPr>
          <w:rFonts w:hint="cs"/>
          <w:rtl/>
        </w:rPr>
        <w:t xml:space="preserve">.  </w:t>
      </w:r>
    </w:p>
    <w:p w14:paraId="600AB222" w14:textId="77777777" w:rsidR="00B109A1" w:rsidRDefault="00A06786">
      <w:pPr>
        <w:spacing w:before="100" w:beforeAutospacing="1" w:after="100" w:afterAutospacing="1" w:line="360" w:lineRule="auto"/>
        <w:ind w:left="720" w:hanging="720"/>
        <w:jc w:val="both"/>
        <w:rPr>
          <w:rtl/>
        </w:rPr>
      </w:pPr>
      <w:r>
        <w:rPr>
          <w:rFonts w:hint="cs"/>
          <w:rtl/>
        </w:rPr>
        <w:t>2.</w:t>
      </w:r>
      <w:r>
        <w:rPr>
          <w:rFonts w:hint="cs"/>
          <w:rtl/>
        </w:rPr>
        <w:tab/>
        <w:t xml:space="preserve">במסגרת ההסדר, הוסכם כי הנאשם ישלח לקבלת תסקיר שירות מבחן בעניינו, כאשר התביעה הבהירה כי עמדתה למאסר. בסופו של יום, לאחר הידברות נוספת, הגבילה עצמה התביעה לעתירה של 6 חודשי מאסר שירוצו על דרך של עבודות שירות, מאסר על תנאי וקנס גבוה. </w:t>
      </w:r>
    </w:p>
    <w:p w14:paraId="1560AC57" w14:textId="77777777" w:rsidR="00B109A1" w:rsidRDefault="00A06786">
      <w:pPr>
        <w:spacing w:before="100" w:beforeAutospacing="1" w:after="100" w:afterAutospacing="1" w:line="360" w:lineRule="auto"/>
        <w:ind w:left="720" w:hanging="720"/>
        <w:jc w:val="both"/>
        <w:rPr>
          <w:rtl/>
        </w:rPr>
      </w:pPr>
      <w:r>
        <w:rPr>
          <w:rFonts w:hint="cs"/>
          <w:rtl/>
        </w:rPr>
        <w:t>3.</w:t>
      </w:r>
      <w:r>
        <w:rPr>
          <w:rFonts w:hint="cs"/>
          <w:rtl/>
        </w:rPr>
        <w:tab/>
        <w:t xml:space="preserve">מתסקיר שירות המבחן למדתי אודות נסיבותיו האישיות והמשפחתיות של הנאשם, שהינו בחור צעיר בן 26 שנה, אשר נאלץ לנשור מבית-הספר לאחר 10 שנות לימוד על-מנת לצאת לעבודה ולסייע בפרנסת המשפחה. במהלך שנת 2008 נדון הנאשם למאסר לתקופה של 21 חודשים. מסר, כי לאחר שחרורו ניתק קשריו השוליים, משקיע מאמצים לתפקד באורח נורמטיבי כשבשנת 2010 פתח מרכול במקום מגוריו אותו מתאר כמסגרת משמעותית עבורו. באשר לעיבוד העבירה, חזר הנאשם והודה במעורבותו, אך להערכת קצינת המבחן </w:t>
      </w:r>
      <w:r>
        <w:rPr>
          <w:rFonts w:hint="cs"/>
          <w:rtl/>
        </w:rPr>
        <w:lastRenderedPageBreak/>
        <w:t xml:space="preserve">התקשה לקחת אחריות רגשית על התנהגותו ולהתמודד באופן ישיר עם המניעים שעמדו בבסיסה והרקע לה, כשבנוסף שלל כל בעייתיות במצבו. להתרשמות קצינת המבחן, הנאשם מתקשה להכיר בדפוסיו הבעייתיים, שולל כל נזקקות טיפולית, ועל כן אין המלצה בעניינו. </w:t>
      </w:r>
    </w:p>
    <w:p w14:paraId="38C049A4" w14:textId="77777777" w:rsidR="00B109A1" w:rsidRDefault="00A06786">
      <w:pPr>
        <w:spacing w:before="100" w:beforeAutospacing="1" w:after="100" w:afterAutospacing="1" w:line="360" w:lineRule="auto"/>
        <w:ind w:left="720" w:hanging="720"/>
        <w:jc w:val="both"/>
        <w:rPr>
          <w:color w:val="FF0000"/>
          <w:rtl/>
        </w:rPr>
      </w:pPr>
      <w:r>
        <w:rPr>
          <w:rFonts w:hint="cs"/>
          <w:rtl/>
        </w:rPr>
        <w:t>4.</w:t>
      </w:r>
      <w:r>
        <w:rPr>
          <w:rFonts w:hint="cs"/>
          <w:rtl/>
        </w:rPr>
        <w:tab/>
        <w:t xml:space="preserve">ב"כ המאשימה הפנתה לעברו הפלילי של הנאשם, אשר כולל שתי הרשעות קודמות, וכן לאמור בתסקיר בדבר אי-לקיחת אחריות והבנת חומרת העבירה. הדגישה את הסיכון הפוטנציאלי לבטחון הציבור, ונפיצות התופעה של החזקת תחמושת; עם זאת ציינה, כי המאשימה לקחה בחשבון את הודאתו של הנאשם במיוחס לו, ואת העובדה שמאז לא נפתחו כנגדו תיקים נוספים, כששקלול הנתונים הביא אותה לעתירה מתונה של מאסר שירוצה בדרך של עבודות שירות, אך למלוא התקופה. </w:t>
      </w:r>
    </w:p>
    <w:p w14:paraId="43D5EFB8" w14:textId="77777777" w:rsidR="00B109A1" w:rsidRDefault="00A06786">
      <w:pPr>
        <w:spacing w:before="100" w:beforeAutospacing="1" w:after="100" w:afterAutospacing="1" w:line="360" w:lineRule="auto"/>
        <w:ind w:left="720" w:hanging="720"/>
        <w:jc w:val="both"/>
        <w:rPr>
          <w:rFonts w:cs="Times New Roman"/>
          <w:rtl/>
        </w:rPr>
      </w:pPr>
      <w:r>
        <w:rPr>
          <w:rFonts w:hint="cs"/>
          <w:rtl/>
        </w:rPr>
        <w:t>5.</w:t>
      </w:r>
      <w:r>
        <w:rPr>
          <w:rFonts w:hint="cs"/>
          <w:rtl/>
        </w:rPr>
        <w:tab/>
        <w:t xml:space="preserve">הסנגור הדגיש את נסיבותיו האישיות והמשפחתיות של הנאשם, אשר הביאו לחבירתו לחברה שולית ולהסתבכויותיו בפלילים בעבר. הדגיש את התיקון לקולא בכתב-האישום, לקיחת האחריות של הנאשם בפני בית-המשפט ואת גילו הצעיר של הנאשם. הרחיב באשר למאמציו של הנאשם לעלות על דרך הישר בכך שפתח עסק ממנו מפרנס את בני משפחתו (נ/1) הואיל ואביו אינו עובד מזה שנים (נ/2), למצב הכלכלי הקשה של משפחתו ולחובות שצברו בין היתר למל"ל (נ/3).  על כן, עותא הוא להתחשב בנאשם ולהשית עליו מאסר על תנאי על-מנת שלא תיפגע פרנסתו וקנס; לחילופין, עתר להשית מאסר לתקופה קצרה אשר ירוצה בדרך של עבודות שירות. </w:t>
      </w:r>
    </w:p>
    <w:p w14:paraId="015A4934" w14:textId="77777777" w:rsidR="00B109A1" w:rsidRDefault="00A06786">
      <w:pPr>
        <w:spacing w:before="100" w:beforeAutospacing="1" w:after="100" w:afterAutospacing="1" w:line="360" w:lineRule="auto"/>
        <w:ind w:left="720" w:hanging="720"/>
        <w:jc w:val="both"/>
        <w:rPr>
          <w:color w:val="FF0000"/>
          <w:rtl/>
        </w:rPr>
      </w:pPr>
      <w:r>
        <w:rPr>
          <w:rFonts w:hint="cs"/>
          <w:rtl/>
        </w:rPr>
        <w:t>6.</w:t>
      </w:r>
      <w:r>
        <w:rPr>
          <w:rFonts w:hint="cs"/>
          <w:rtl/>
        </w:rPr>
        <w:tab/>
        <w:t xml:space="preserve">בדברו לבית-המשפט, הביע הנאשם צער על הסתבכותו, תיאר את מאמציו לחיות "חיים חדשים" ואת שעות העבודה הרבות במכולת שפתח, וביקש את רחמי בית-המשפט. </w:t>
      </w:r>
    </w:p>
    <w:p w14:paraId="7FB6FDD1" w14:textId="77777777" w:rsidR="00B109A1" w:rsidRDefault="00A06786">
      <w:pPr>
        <w:spacing w:before="100" w:beforeAutospacing="1" w:after="100" w:afterAutospacing="1" w:line="360" w:lineRule="auto"/>
        <w:ind w:left="720" w:hanging="720"/>
        <w:jc w:val="both"/>
        <w:rPr>
          <w:rFonts w:cs="Times New Roman"/>
          <w:rtl/>
        </w:rPr>
      </w:pPr>
      <w:r>
        <w:rPr>
          <w:rFonts w:hint="cs"/>
          <w:rtl/>
        </w:rPr>
        <w:t>7.</w:t>
      </w:r>
      <w:r>
        <w:rPr>
          <w:rFonts w:hint="cs"/>
          <w:rtl/>
        </w:rPr>
        <w:tab/>
        <w:t>הצדק עם ב"כ המאשימה, כי נפיצות התופעה של החזקת תחמושת באזורנו והמסוכנות הגלומה בה מחייבים השתת ענישה מוחשית על-מנת להרתיע את הנאשם ואחרים שכמותו. הדברים נכונים במיוחד לגבי הנאשם שבפניי, שהחזיק בכמות גדולה של כדורי אקדח, אשר הגיעו לידיו באופן שאינו ידוע עד היום, כשלא נתן כל הסבר אמין ומספק להתנהגותו בפני בית-המשפט או קצינת המבחן. לכך יש להוסיף, כי עסקינן בנאשם בעל עבר פלילי (בעיקר בעבירות רכוש), אשר ריצה עונש מאסר בפועל ממושך, ולמרות זאת הסתבך שוב בפלילים זמן קצר לאחר שחרורו.</w:t>
      </w:r>
    </w:p>
    <w:p w14:paraId="2A344865" w14:textId="77777777" w:rsidR="00B109A1" w:rsidRDefault="00A06786">
      <w:pPr>
        <w:spacing w:before="100" w:beforeAutospacing="1" w:after="100" w:afterAutospacing="1" w:line="360" w:lineRule="auto"/>
        <w:ind w:left="720" w:hanging="720"/>
        <w:jc w:val="both"/>
        <w:rPr>
          <w:rtl/>
        </w:rPr>
      </w:pPr>
      <w:r>
        <w:rPr>
          <w:rFonts w:hint="cs"/>
          <w:rtl/>
        </w:rPr>
        <w:tab/>
        <w:t>על כן, נסיבות העבירה ועיתוי ביצועה לצד עברו הפלילי של הנאשם אינם מאפשרים להעביר מסר סלחני בדמות ענישה צופה פני עתיד בלבד.</w:t>
      </w:r>
    </w:p>
    <w:p w14:paraId="32CA074F" w14:textId="77777777" w:rsidR="00B109A1" w:rsidRDefault="00A06786">
      <w:pPr>
        <w:spacing w:before="100" w:beforeAutospacing="1" w:after="100" w:afterAutospacing="1" w:line="360" w:lineRule="auto"/>
        <w:ind w:left="720" w:hanging="720"/>
        <w:jc w:val="both"/>
        <w:rPr>
          <w:rtl/>
        </w:rPr>
      </w:pPr>
      <w:r>
        <w:rPr>
          <w:rFonts w:hint="cs"/>
          <w:rtl/>
        </w:rPr>
        <w:t>8.</w:t>
      </w:r>
      <w:r>
        <w:rPr>
          <w:rFonts w:hint="cs"/>
          <w:rtl/>
        </w:rPr>
        <w:tab/>
        <w:t xml:space="preserve">עם זאת, קיימים אכן שיקולים לקולא המביאים לכך, שראוי להשית על הנאשם ענישה מתונה בדמות מאסר קצר שירוצה על דרך עבודות שירות. עסקינן בנאשם אשר הודה בכתב-אישום שתוקן לקולא, כאשר מאז האירוע בספטמבר 2010 לא הסתבך שוב בפלילים. נראה, כי אכן הוא משקיע מאמצים לתפקד באופן נורמטיבי בעיקר במסגרת תעסוקתית, </w:t>
      </w:r>
      <w:r>
        <w:rPr>
          <w:rFonts w:hint="cs"/>
          <w:rtl/>
        </w:rPr>
        <w:lastRenderedPageBreak/>
        <w:t>נאלץ לתמוך כלכלית בבני משפחתו, כשנתתי דעתי לכך, שריצוי מאסר בעבודות שירות אכן יביא לפגיעה בפרנסתו ובמשפחתו.</w:t>
      </w:r>
    </w:p>
    <w:p w14:paraId="0B873985" w14:textId="77777777" w:rsidR="00B109A1" w:rsidRDefault="00A06786">
      <w:pPr>
        <w:spacing w:before="100" w:beforeAutospacing="1" w:after="100" w:afterAutospacing="1" w:line="360" w:lineRule="auto"/>
        <w:ind w:left="720" w:hanging="720"/>
        <w:jc w:val="both"/>
        <w:rPr>
          <w:rtl/>
        </w:rPr>
      </w:pPr>
      <w:r>
        <w:rPr>
          <w:rFonts w:hint="cs"/>
          <w:rtl/>
        </w:rPr>
        <w:t>9.</w:t>
      </w:r>
      <w:r>
        <w:rPr>
          <w:rFonts w:hint="cs"/>
          <w:rtl/>
        </w:rPr>
        <w:tab/>
        <w:t>לאור האמור לעיל, אני גוזרת על הנאשם את העונשים הבאים:</w:t>
      </w:r>
    </w:p>
    <w:p w14:paraId="5DB6524C" w14:textId="77777777" w:rsidR="00B109A1" w:rsidRDefault="00A06786">
      <w:pPr>
        <w:spacing w:before="100" w:beforeAutospacing="1" w:after="100" w:afterAutospacing="1" w:line="360" w:lineRule="auto"/>
        <w:ind w:left="720" w:hanging="720"/>
        <w:jc w:val="both"/>
        <w:rPr>
          <w:rFonts w:cs="Times New Roman"/>
          <w:rtl/>
        </w:rPr>
      </w:pPr>
      <w:r>
        <w:rPr>
          <w:rFonts w:hint="cs"/>
          <w:rtl/>
        </w:rPr>
        <w:tab/>
        <w:t>מאסר בפועל של 3 חודשים אשר ירוצה בדרך של עבודות שירות.</w:t>
      </w:r>
    </w:p>
    <w:p w14:paraId="3680032E" w14:textId="77777777" w:rsidR="00B109A1" w:rsidRDefault="00A06786">
      <w:pPr>
        <w:spacing w:before="100" w:beforeAutospacing="1" w:after="100" w:afterAutospacing="1" w:line="360" w:lineRule="auto"/>
        <w:ind w:left="720" w:hanging="720"/>
        <w:jc w:val="both"/>
        <w:rPr>
          <w:rtl/>
        </w:rPr>
      </w:pPr>
      <w:r>
        <w:rPr>
          <w:rFonts w:hint="cs"/>
          <w:rtl/>
        </w:rPr>
        <w:tab/>
        <w:t>עבודות השירות יבוצעו בחברה קדישא, כפר-סבא, בימים ובשעות המפורטים בחוות-הדעת מיום 5.2.2013 והחל מיום 12.3.13. במועד זה, על הנאשם להתייצב עד השעה 8:00 במפקדת מחוז מרכז, יחידת עבודות השירות.</w:t>
      </w:r>
    </w:p>
    <w:p w14:paraId="6806BFD2" w14:textId="77777777" w:rsidR="00B109A1" w:rsidRDefault="00A06786">
      <w:pPr>
        <w:spacing w:before="100" w:beforeAutospacing="1" w:after="100" w:afterAutospacing="1" w:line="360" w:lineRule="auto"/>
        <w:ind w:left="720" w:hanging="720"/>
        <w:jc w:val="both"/>
        <w:rPr>
          <w:rtl/>
        </w:rPr>
      </w:pPr>
      <w:r>
        <w:rPr>
          <w:rFonts w:hint="cs"/>
          <w:rtl/>
        </w:rPr>
        <w:tab/>
        <w:t>מובהר לנאשם, כי עליו לעדכן את משרד הממונה בכל שינוי, אם יחול, בכתובת מגוריו. כמו-כן, עליו לעמוד בתנאי הפיקוח ובביקורות הפתע. מובהר, כי כל הפרה בעבודות השירות תביא להפסקה מנהלית וריצוי העונש במאסר ממש.</w:t>
      </w:r>
    </w:p>
    <w:p w14:paraId="65F9B966" w14:textId="77777777" w:rsidR="00B109A1" w:rsidRDefault="00A06786">
      <w:pPr>
        <w:spacing w:before="100" w:beforeAutospacing="1" w:after="100" w:afterAutospacing="1" w:line="360" w:lineRule="auto"/>
        <w:ind w:left="720" w:hanging="720"/>
        <w:jc w:val="both"/>
        <w:rPr>
          <w:rtl/>
        </w:rPr>
      </w:pPr>
      <w:r>
        <w:rPr>
          <w:rFonts w:hint="cs"/>
          <w:rtl/>
        </w:rPr>
        <w:tab/>
        <w:t>מאסר על תנאי של 8 חודשים למשך 3 שנים מהיום, שלא יעבור עבירות בנשק לפי סעיף 144 ל</w:t>
      </w:r>
      <w:hyperlink r:id="rId7" w:history="1">
        <w:r w:rsidRPr="00A06786">
          <w:rPr>
            <w:color w:val="0000FF"/>
            <w:u w:val="single"/>
            <w:rtl/>
          </w:rPr>
          <w:t>חוק העונשין</w:t>
        </w:r>
      </w:hyperlink>
      <w:r>
        <w:rPr>
          <w:rFonts w:hint="cs"/>
          <w:rtl/>
        </w:rPr>
        <w:t>.</w:t>
      </w:r>
    </w:p>
    <w:p w14:paraId="384A5D4A" w14:textId="77777777" w:rsidR="00B109A1" w:rsidRDefault="00A06786">
      <w:pPr>
        <w:spacing w:before="100" w:beforeAutospacing="1" w:after="100" w:afterAutospacing="1" w:line="360" w:lineRule="auto"/>
        <w:ind w:left="720"/>
        <w:jc w:val="both"/>
        <w:rPr>
          <w:rtl/>
        </w:rPr>
      </w:pPr>
      <w:r>
        <w:rPr>
          <w:rFonts w:hint="cs"/>
          <w:rtl/>
        </w:rPr>
        <w:t xml:space="preserve">קנס בסך 4,000 ₪ או 40 ימי מאסר תמורתו, אשר ישולם ב – 5 תשלומים חודשיים, שווים ורצופים של 800 ₪ כל אחד, החל מיום 1.4.13 ובכל ראשון לחודש שלאחריו; לא שולם תשלום אחד במועדו, תעמוד כל היתרה לפרעון מיידי. </w:t>
      </w:r>
    </w:p>
    <w:p w14:paraId="17E9B48E" w14:textId="77777777" w:rsidR="00B109A1" w:rsidRDefault="00A06786">
      <w:pPr>
        <w:spacing w:before="100" w:beforeAutospacing="1" w:after="100" w:afterAutospacing="1" w:line="360" w:lineRule="auto"/>
        <w:ind w:left="720" w:hanging="720"/>
        <w:jc w:val="both"/>
        <w:rPr>
          <w:b/>
          <w:bCs/>
          <w:rtl/>
        </w:rPr>
      </w:pPr>
      <w:r>
        <w:rPr>
          <w:rFonts w:hint="cs"/>
          <w:rtl/>
        </w:rPr>
        <w:tab/>
        <w:t>ניתן צו להשמדת המוצגים.</w:t>
      </w:r>
    </w:p>
    <w:p w14:paraId="7BC068CD" w14:textId="77777777" w:rsidR="00B109A1" w:rsidRDefault="00A06786">
      <w:pPr>
        <w:tabs>
          <w:tab w:val="left" w:pos="566"/>
        </w:tabs>
        <w:spacing w:line="360" w:lineRule="auto"/>
        <w:ind w:left="567" w:hanging="567"/>
        <w:jc w:val="both"/>
        <w:rPr>
          <w:rtl/>
        </w:rPr>
      </w:pPr>
      <w:r>
        <w:rPr>
          <w:rFonts w:hint="cs"/>
          <w:rtl/>
        </w:rPr>
        <w:tab/>
        <w:t xml:space="preserve">משום עיכוב ביצוע המאסר (בעבודות שירות) ועל מנת להבטיח את התייצבות הנאשם לריצוין והשלמתן </w:t>
      </w:r>
      <w:r>
        <w:rPr>
          <w:rtl/>
        </w:rPr>
        <w:t>–</w:t>
      </w:r>
      <w:r>
        <w:rPr>
          <w:rFonts w:hint="cs"/>
          <w:rtl/>
        </w:rPr>
        <w:t xml:space="preserve"> תיאסר יציאת הנאשם מהארץ עד לתום ביצוע העבודות ותיחתם ערבות עצמית על סך  5,000 ₪.</w:t>
      </w:r>
    </w:p>
    <w:p w14:paraId="1F8169AD" w14:textId="77777777" w:rsidR="00B109A1" w:rsidRDefault="00A06786">
      <w:pPr>
        <w:spacing w:before="100" w:beforeAutospacing="1" w:after="100" w:afterAutospacing="1" w:line="360" w:lineRule="auto"/>
        <w:ind w:left="720" w:hanging="720"/>
        <w:jc w:val="both"/>
        <w:rPr>
          <w:b/>
          <w:bCs/>
          <w:rtl/>
        </w:rPr>
      </w:pPr>
      <w:bookmarkStart w:id="6" w:name="_GoBack"/>
      <w:bookmarkEnd w:id="6"/>
      <w:r>
        <w:rPr>
          <w:rFonts w:hint="cs"/>
          <w:b/>
          <w:bCs/>
          <w:rtl/>
        </w:rPr>
        <w:t>המזכירות תעביר העתק מגזר-הדין לממונה על עבודות השירות.</w:t>
      </w:r>
    </w:p>
    <w:p w14:paraId="42BFC639" w14:textId="77777777" w:rsidR="00B109A1" w:rsidRDefault="00A06786">
      <w:pPr>
        <w:spacing w:before="100" w:beforeAutospacing="1" w:after="100" w:afterAutospacing="1" w:line="360" w:lineRule="auto"/>
        <w:ind w:left="720" w:hanging="720"/>
        <w:jc w:val="both"/>
        <w:rPr>
          <w:rFonts w:cs="Times New Roman"/>
          <w:u w:val="single"/>
          <w:rtl/>
        </w:rPr>
      </w:pPr>
      <w:r>
        <w:rPr>
          <w:rFonts w:hint="cs"/>
          <w:b/>
          <w:bCs/>
          <w:u w:val="single"/>
          <w:rtl/>
        </w:rPr>
        <w:t>הודעה זכות ערעור לבית-המשפט המחוזי בתוך 45 יום.</w:t>
      </w:r>
    </w:p>
    <w:p w14:paraId="52245146" w14:textId="77777777" w:rsidR="00B109A1" w:rsidRDefault="00A06786">
      <w:pPr>
        <w:spacing w:line="360" w:lineRule="auto"/>
        <w:jc w:val="both"/>
        <w:rPr>
          <w:rFonts w:ascii="Arial" w:hAnsi="Arial"/>
        </w:rPr>
      </w:pPr>
      <w:r w:rsidRPr="00A06786">
        <w:rPr>
          <w:rFonts w:ascii="Arial" w:hAnsi="Arial"/>
          <w:color w:val="FFFFFF"/>
          <w:sz w:val="2"/>
          <w:szCs w:val="2"/>
          <w:rtl/>
        </w:rPr>
        <w:t>5129371</w:t>
      </w:r>
      <w:r>
        <w:rPr>
          <w:rFonts w:ascii="Arial" w:hAnsi="Arial"/>
          <w:rtl/>
        </w:rPr>
        <w:t xml:space="preserve">ניתן היום,  20 בפברואר 2013, במעמד הנוכחים. </w:t>
      </w:r>
    </w:p>
    <w:p w14:paraId="564EB8BB" w14:textId="77777777" w:rsidR="00B109A1" w:rsidRPr="00A06786" w:rsidRDefault="00A06786">
      <w:pPr>
        <w:rPr>
          <w:rFonts w:cs="FrankRuehl"/>
          <w:color w:val="FFFFFF"/>
          <w:sz w:val="2"/>
          <w:szCs w:val="2"/>
          <w:rtl/>
        </w:rPr>
      </w:pPr>
      <w:r w:rsidRPr="00A06786">
        <w:rPr>
          <w:rFonts w:cs="FrankRuehl"/>
          <w:color w:val="FFFFFF"/>
          <w:sz w:val="2"/>
          <w:szCs w:val="2"/>
          <w:rtl/>
        </w:rPr>
        <w:t>54678313</w:t>
      </w:r>
    </w:p>
    <w:p w14:paraId="2511B0A8" w14:textId="77777777" w:rsidR="00A06786" w:rsidRPr="00A06786" w:rsidRDefault="00A06786" w:rsidP="00A06786">
      <w:pPr>
        <w:keepNext/>
        <w:rPr>
          <w:rFonts w:ascii="David" w:hAnsi="David"/>
          <w:color w:val="000000"/>
          <w:sz w:val="22"/>
          <w:szCs w:val="22"/>
          <w:rtl/>
        </w:rPr>
      </w:pPr>
    </w:p>
    <w:p w14:paraId="32B2E4E3" w14:textId="77777777" w:rsidR="00A06786" w:rsidRPr="00A06786" w:rsidRDefault="00A06786" w:rsidP="00A06786">
      <w:pPr>
        <w:keepNext/>
        <w:rPr>
          <w:rFonts w:ascii="David" w:hAnsi="David"/>
          <w:color w:val="000000"/>
          <w:sz w:val="22"/>
          <w:szCs w:val="22"/>
          <w:rtl/>
        </w:rPr>
      </w:pPr>
      <w:r w:rsidRPr="00A06786">
        <w:rPr>
          <w:rFonts w:ascii="David" w:hAnsi="David"/>
          <w:color w:val="000000"/>
          <w:sz w:val="22"/>
          <w:szCs w:val="22"/>
          <w:rtl/>
        </w:rPr>
        <w:t>דנה מרשק מרום 54678313</w:t>
      </w:r>
    </w:p>
    <w:p w14:paraId="1403B9BA" w14:textId="77777777" w:rsidR="00A06786" w:rsidRDefault="00A06786" w:rsidP="00A06786">
      <w:r w:rsidRPr="00A06786">
        <w:rPr>
          <w:color w:val="000000"/>
          <w:rtl/>
        </w:rPr>
        <w:t>נוסח מסמך זה כפוף לשינויי ניסוח ועריכה</w:t>
      </w:r>
    </w:p>
    <w:p w14:paraId="6DF8BF34" w14:textId="77777777" w:rsidR="00A06786" w:rsidRDefault="00A06786" w:rsidP="00A06786">
      <w:pPr>
        <w:rPr>
          <w:rtl/>
        </w:rPr>
      </w:pPr>
    </w:p>
    <w:p w14:paraId="7ACC154A" w14:textId="77777777" w:rsidR="00A06786" w:rsidRDefault="00A06786" w:rsidP="00A06786">
      <w:pPr>
        <w:jc w:val="center"/>
        <w:rPr>
          <w:color w:val="0000FF"/>
          <w:u w:val="single"/>
        </w:rPr>
      </w:pPr>
      <w:hyperlink r:id="rId8" w:history="1">
        <w:r>
          <w:rPr>
            <w:color w:val="0000FF"/>
            <w:u w:val="single"/>
            <w:rtl/>
          </w:rPr>
          <w:t>בעניין עריכה ושינויים במסמכי פסיקה, חקיקה ועוד באתר נבו – הקש כאן</w:t>
        </w:r>
      </w:hyperlink>
    </w:p>
    <w:p w14:paraId="0259AB34" w14:textId="77777777" w:rsidR="00B109A1" w:rsidRPr="00A06786" w:rsidRDefault="00B109A1" w:rsidP="00A06786">
      <w:pPr>
        <w:jc w:val="center"/>
        <w:rPr>
          <w:color w:val="0000FF"/>
          <w:u w:val="single"/>
        </w:rPr>
      </w:pPr>
    </w:p>
    <w:sectPr w:rsidR="00B109A1" w:rsidRPr="00A06786" w:rsidSect="00A06786">
      <w:headerReference w:type="even" r:id="rId9"/>
      <w:headerReference w:type="default" r:id="rId10"/>
      <w:footerReference w:type="even" r:id="rId11"/>
      <w:footerReference w:type="default" r:id="rId12"/>
      <w:pgSz w:w="11907" w:h="16840" w:code="9"/>
      <w:pgMar w:top="1701" w:right="1701" w:bottom="1701"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9218DC" w14:textId="77777777" w:rsidR="00536E95" w:rsidRDefault="00536E95">
      <w:r>
        <w:separator/>
      </w:r>
    </w:p>
  </w:endnote>
  <w:endnote w:type="continuationSeparator" w:id="0">
    <w:p w14:paraId="0803EE71" w14:textId="77777777" w:rsidR="00536E95" w:rsidRDefault="00536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F161F" w14:textId="77777777" w:rsidR="00A06786" w:rsidRDefault="00A06786" w:rsidP="00A0678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w:t>
    </w:r>
    <w:r>
      <w:rPr>
        <w:rFonts w:ascii="FrankRuehl" w:hAnsi="FrankRuehl" w:cs="FrankRuehl"/>
        <w:rtl/>
      </w:rPr>
      <w:fldChar w:fldCharType="end"/>
    </w:r>
  </w:p>
  <w:p w14:paraId="7FC07FDF" w14:textId="77777777" w:rsidR="00B109A1" w:rsidRPr="00A06786" w:rsidRDefault="00A06786" w:rsidP="00A06786">
    <w:pPr>
      <w:pStyle w:val="a4"/>
      <w:pBdr>
        <w:top w:val="single" w:sz="4" w:space="1" w:color="auto"/>
        <w:between w:val="single" w:sz="4" w:space="0" w:color="auto"/>
      </w:pBdr>
      <w:spacing w:after="60"/>
      <w:jc w:val="center"/>
      <w:rPr>
        <w:rFonts w:ascii="FrankRuehl" w:hAnsi="FrankRuehl" w:cs="FrankRuehl"/>
        <w:color w:val="000000"/>
      </w:rPr>
    </w:pPr>
    <w:r w:rsidRPr="00A0678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E64652" w14:textId="77777777" w:rsidR="00A06786" w:rsidRDefault="00A06786" w:rsidP="00A0678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E5874">
      <w:rPr>
        <w:rFonts w:ascii="FrankRuehl" w:hAnsi="FrankRuehl" w:cs="FrankRuehl"/>
        <w:noProof/>
        <w:rtl/>
      </w:rPr>
      <w:t>1</w:t>
    </w:r>
    <w:r>
      <w:rPr>
        <w:rFonts w:ascii="FrankRuehl" w:hAnsi="FrankRuehl" w:cs="FrankRuehl"/>
        <w:rtl/>
      </w:rPr>
      <w:fldChar w:fldCharType="end"/>
    </w:r>
  </w:p>
  <w:p w14:paraId="0524747C" w14:textId="77777777" w:rsidR="00B109A1" w:rsidRPr="00A06786" w:rsidRDefault="00A06786" w:rsidP="00A06786">
    <w:pPr>
      <w:pStyle w:val="a4"/>
      <w:pBdr>
        <w:top w:val="single" w:sz="4" w:space="1" w:color="auto"/>
        <w:between w:val="single" w:sz="4" w:space="0" w:color="auto"/>
      </w:pBdr>
      <w:spacing w:after="60"/>
      <w:jc w:val="center"/>
      <w:rPr>
        <w:rFonts w:ascii="FrankRuehl" w:hAnsi="FrankRuehl" w:cs="FrankRuehl"/>
        <w:color w:val="000000"/>
      </w:rPr>
    </w:pPr>
    <w:r w:rsidRPr="00A06786">
      <w:rPr>
        <w:rFonts w:ascii="FrankRuehl" w:hAnsi="FrankRuehl" w:cs="FrankRuehl"/>
        <w:color w:val="000000"/>
      </w:rPr>
      <w:pict w14:anchorId="1266FC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4C0ED4" w14:textId="77777777" w:rsidR="00536E95" w:rsidRDefault="00536E95">
      <w:r>
        <w:separator/>
      </w:r>
    </w:p>
  </w:footnote>
  <w:footnote w:type="continuationSeparator" w:id="0">
    <w:p w14:paraId="551287B1" w14:textId="77777777" w:rsidR="00536E95" w:rsidRDefault="00536E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3DC7E1" w14:textId="77777777" w:rsidR="00A06786" w:rsidRPr="00A06786" w:rsidRDefault="00A06786" w:rsidP="00A0678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16868-06-11</w:t>
    </w:r>
    <w:r>
      <w:rPr>
        <w:rFonts w:ascii="David" w:hAnsi="David"/>
        <w:color w:val="000000"/>
        <w:sz w:val="22"/>
        <w:szCs w:val="22"/>
        <w:rtl/>
      </w:rPr>
      <w:tab/>
      <w:t xml:space="preserve"> מדינת ישראל נ' רמזי מסארווה 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710B75" w14:textId="77777777" w:rsidR="00A06786" w:rsidRPr="00A06786" w:rsidRDefault="00A06786" w:rsidP="00A0678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16868-06-11</w:t>
    </w:r>
    <w:r>
      <w:rPr>
        <w:rFonts w:ascii="David" w:hAnsi="David"/>
        <w:color w:val="000000"/>
        <w:sz w:val="22"/>
        <w:szCs w:val="22"/>
        <w:rtl/>
      </w:rPr>
      <w:tab/>
      <w:t xml:space="preserve"> מדינת ישראל נ' רמזי מסארווה 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109A1"/>
    <w:rsid w:val="00223457"/>
    <w:rsid w:val="00536E95"/>
    <w:rsid w:val="005E5874"/>
    <w:rsid w:val="0089507D"/>
    <w:rsid w:val="00981F5A"/>
    <w:rsid w:val="00A06786"/>
    <w:rsid w:val="00B109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54335873"/>
  <w15:chartTrackingRefBased/>
  <w15:docId w15:val="{E066C88E-C812-4457-AD8D-D25BFF3A4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109A1"/>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B109A1"/>
    <w:pPr>
      <w:tabs>
        <w:tab w:val="center" w:pos="4153"/>
        <w:tab w:val="right" w:pos="8306"/>
      </w:tabs>
    </w:pPr>
  </w:style>
  <w:style w:type="paragraph" w:styleId="a4">
    <w:name w:val="footer"/>
    <w:basedOn w:val="a"/>
    <w:rsid w:val="00B109A1"/>
    <w:pPr>
      <w:tabs>
        <w:tab w:val="center" w:pos="4153"/>
        <w:tab w:val="right" w:pos="8306"/>
      </w:tabs>
    </w:pPr>
  </w:style>
  <w:style w:type="character" w:styleId="a5">
    <w:name w:val="page number"/>
    <w:basedOn w:val="a0"/>
    <w:rsid w:val="00B109A1"/>
  </w:style>
  <w:style w:type="character" w:styleId="Hyperlink">
    <w:name w:val="Hyperlink"/>
    <w:basedOn w:val="a0"/>
    <w:rsid w:val="00A067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html/law01/073_002.htm"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html/law01/073_002.htm"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865</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5180</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3932214</vt:i4>
      </vt:variant>
      <vt:variant>
        <vt:i4>3</vt:i4>
      </vt:variant>
      <vt:variant>
        <vt:i4>0</vt:i4>
      </vt:variant>
      <vt:variant>
        <vt:i4>5</vt:i4>
      </vt:variant>
      <vt:variant>
        <vt:lpwstr>http://www.nevo.co.il/law_html/law01/073_002.htm</vt:lpwstr>
      </vt:variant>
      <vt:variant>
        <vt:lpwstr/>
      </vt:variant>
      <vt:variant>
        <vt:i4>3932214</vt:i4>
      </vt:variant>
      <vt:variant>
        <vt:i4>0</vt:i4>
      </vt:variant>
      <vt:variant>
        <vt:i4>0</vt:i4>
      </vt:variant>
      <vt:variant>
        <vt:i4>5</vt:i4>
      </vt:variant>
      <vt:variant>
        <vt:lpwstr>http://www.nevo.co.il/law_html/law01/073_002.htm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2025-04-25T11:04:00Z</dcterms:created>
  <dcterms:modified xsi:type="dcterms:W3CDTF">2025-04-25T11:04:00Z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16868</vt:lpwstr>
  </property>
  <property fmtid="{D5CDD505-2E9C-101B-9397-08002B2CF9AE}" pid="6" name="NEWPARTB">
    <vt:lpwstr>06</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רמזי מסארווה ו</vt:lpwstr>
  </property>
  <property fmtid="{D5CDD505-2E9C-101B-9397-08002B2CF9AE}" pid="10" name="LAWYER">
    <vt:lpwstr>;צדיק וינוביץ';מסארווה;מצארווה וג'די</vt:lpwstr>
  </property>
  <property fmtid="{D5CDD505-2E9C-101B-9397-08002B2CF9AE}" pid="11" name="JUDGE">
    <vt:lpwstr>דנה מרשק מרום</vt:lpwstr>
  </property>
  <property fmtid="{D5CDD505-2E9C-101B-9397-08002B2CF9AE}" pid="12" name="CITY">
    <vt:lpwstr>כ"ס</vt:lpwstr>
  </property>
  <property fmtid="{D5CDD505-2E9C-101B-9397-08002B2CF9AE}" pid="13" name="DATE">
    <vt:lpwstr>20130220</vt:lpwstr>
  </property>
  <property fmtid="{D5CDD505-2E9C-101B-9397-08002B2CF9AE}" pid="14" name="TYPE_N_DATE">
    <vt:lpwstr>38020130220</vt:lpwstr>
  </property>
  <property fmtid="{D5CDD505-2E9C-101B-9397-08002B2CF9AE}" pid="15" name="WORDNUMPAGES">
    <vt:lpwstr>3</vt:lpwstr>
  </property>
  <property fmtid="{D5CDD505-2E9C-101B-9397-08002B2CF9AE}" pid="16" name="TYPE_ABS_DATE">
    <vt:lpwstr>380020130220</vt:lpwstr>
  </property>
  <property fmtid="{D5CDD505-2E9C-101B-9397-08002B2CF9AE}" pid="17" name="ISABSTRACT">
    <vt:lpwstr>Y</vt:lpwstr>
  </property>
</Properties>
</file>