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8270E0" w:rsidRPr="00BB4512" w14:paraId="39063232" w14:textId="77777777">
        <w:trPr>
          <w:trHeight w:hRule="exact" w:val="418"/>
          <w:jc w:val="center"/>
        </w:trPr>
        <w:tc>
          <w:tcPr>
            <w:tcW w:w="8721" w:type="dxa"/>
            <w:gridSpan w:val="2"/>
          </w:tcPr>
          <w:p w14:paraId="1DDCC1DE" w14:textId="77777777" w:rsidR="008270E0" w:rsidRPr="00BB4512" w:rsidRDefault="00BB4512">
            <w:pPr>
              <w:pStyle w:val="a3"/>
              <w:jc w:val="center"/>
              <w:rPr>
                <w:rFonts w:ascii="Tahoma" w:hAnsi="Tahoma" w:cs="Tahoma"/>
                <w:color w:val="000080"/>
                <w:rtl/>
              </w:rPr>
            </w:pPr>
            <w:bookmarkStart w:id="0" w:name="LastJudge"/>
            <w:r w:rsidRPr="00BB4512">
              <w:rPr>
                <w:rFonts w:ascii="Tahoma" w:hAnsi="Tahoma" w:cs="Tahoma"/>
                <w:b/>
                <w:bCs/>
                <w:color w:val="000080"/>
                <w:rtl/>
              </w:rPr>
              <w:t>בית משפט השלום בירושלים</w:t>
            </w:r>
          </w:p>
        </w:tc>
      </w:tr>
      <w:tr w:rsidR="008270E0" w:rsidRPr="00BB4512" w14:paraId="6091D8FE" w14:textId="77777777">
        <w:trPr>
          <w:trHeight w:val="337"/>
          <w:jc w:val="center"/>
        </w:trPr>
        <w:tc>
          <w:tcPr>
            <w:tcW w:w="5057" w:type="dxa"/>
          </w:tcPr>
          <w:p w14:paraId="3DC08C1E" w14:textId="77777777" w:rsidR="008270E0" w:rsidRPr="00EA103F" w:rsidRDefault="00BB4512">
            <w:pPr>
              <w:rPr>
                <w:rFonts w:cs="FrankRuehl"/>
                <w:b/>
                <w:bCs/>
                <w:sz w:val="28"/>
                <w:szCs w:val="28"/>
                <w:rtl/>
              </w:rPr>
            </w:pPr>
            <w:r w:rsidRPr="00EA103F">
              <w:rPr>
                <w:rFonts w:cs="FrankRuehl"/>
                <w:b/>
                <w:bCs/>
                <w:sz w:val="28"/>
                <w:szCs w:val="28"/>
                <w:rtl/>
              </w:rPr>
              <w:t>ת"פ</w:t>
            </w:r>
            <w:r w:rsidRPr="00EA103F">
              <w:rPr>
                <w:rFonts w:cs="FrankRuehl" w:hint="cs"/>
                <w:b/>
                <w:bCs/>
                <w:sz w:val="28"/>
                <w:szCs w:val="28"/>
                <w:rtl/>
              </w:rPr>
              <w:t xml:space="preserve"> </w:t>
            </w:r>
            <w:r w:rsidRPr="00EA103F">
              <w:rPr>
                <w:rFonts w:cs="FrankRuehl"/>
                <w:b/>
                <w:bCs/>
                <w:sz w:val="28"/>
                <w:szCs w:val="28"/>
                <w:rtl/>
              </w:rPr>
              <w:t>35629-09-11</w:t>
            </w:r>
            <w:r w:rsidRPr="00EA103F">
              <w:rPr>
                <w:rFonts w:cs="FrankRuehl" w:hint="cs"/>
                <w:b/>
                <w:bCs/>
                <w:sz w:val="28"/>
                <w:szCs w:val="28"/>
                <w:rtl/>
              </w:rPr>
              <w:t xml:space="preserve"> </w:t>
            </w:r>
            <w:r w:rsidRPr="00EA103F">
              <w:rPr>
                <w:rFonts w:cs="FrankRuehl"/>
                <w:b/>
                <w:bCs/>
                <w:sz w:val="28"/>
                <w:szCs w:val="28"/>
                <w:rtl/>
              </w:rPr>
              <w:t>מדינת ישראל נ' סבירידונוב</w:t>
            </w:r>
          </w:p>
          <w:p w14:paraId="1ECC4094" w14:textId="77777777" w:rsidR="008270E0" w:rsidRPr="00BB4512" w:rsidRDefault="008270E0">
            <w:pPr>
              <w:pStyle w:val="a3"/>
              <w:rPr>
                <w:rFonts w:cs="FrankRuehl"/>
                <w:sz w:val="28"/>
                <w:szCs w:val="28"/>
                <w:rtl/>
              </w:rPr>
            </w:pPr>
          </w:p>
        </w:tc>
        <w:tc>
          <w:tcPr>
            <w:tcW w:w="3664" w:type="dxa"/>
          </w:tcPr>
          <w:p w14:paraId="1CD633E7" w14:textId="77777777" w:rsidR="008270E0" w:rsidRPr="00BB4512" w:rsidRDefault="008270E0">
            <w:pPr>
              <w:pStyle w:val="a3"/>
              <w:jc w:val="right"/>
              <w:rPr>
                <w:rFonts w:cs="FrankRuehl"/>
                <w:sz w:val="28"/>
                <w:szCs w:val="28"/>
                <w:rtl/>
              </w:rPr>
            </w:pPr>
          </w:p>
        </w:tc>
      </w:tr>
    </w:tbl>
    <w:p w14:paraId="563E6B54" w14:textId="77777777" w:rsidR="008270E0" w:rsidRPr="00BB4512" w:rsidRDefault="00BB4512">
      <w:pPr>
        <w:pStyle w:val="a3"/>
        <w:rPr>
          <w:rtl/>
        </w:rPr>
      </w:pPr>
      <w:r w:rsidRPr="00BB451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8270E0" w:rsidRPr="00BB4512" w14:paraId="5C238DC2" w14:textId="77777777">
        <w:trPr>
          <w:trHeight w:val="295"/>
          <w:jc w:val="center"/>
        </w:trPr>
        <w:tc>
          <w:tcPr>
            <w:tcW w:w="945" w:type="dxa"/>
            <w:tcBorders>
              <w:top w:val="nil"/>
              <w:left w:val="nil"/>
              <w:bottom w:val="nil"/>
              <w:right w:val="nil"/>
            </w:tcBorders>
          </w:tcPr>
          <w:p w14:paraId="33A8544D" w14:textId="77777777" w:rsidR="008270E0" w:rsidRPr="00BB4512" w:rsidRDefault="00BB4512">
            <w:pPr>
              <w:jc w:val="both"/>
              <w:rPr>
                <w:rFonts w:ascii="Arial" w:hAnsi="Arial"/>
                <w:b/>
                <w:bCs/>
                <w:sz w:val="28"/>
                <w:szCs w:val="28"/>
              </w:rPr>
            </w:pPr>
            <w:bookmarkStart w:id="1" w:name="_GoBack"/>
            <w:bookmarkEnd w:id="1"/>
            <w:r w:rsidRPr="00BB4512">
              <w:rPr>
                <w:rFonts w:ascii="Arial" w:hAnsi="Arial" w:hint="cs"/>
                <w:b/>
                <w:bCs/>
                <w:sz w:val="28"/>
                <w:szCs w:val="28"/>
                <w:rtl/>
              </w:rPr>
              <w:t>ב</w:t>
            </w:r>
            <w:r w:rsidRPr="00BB4512">
              <w:rPr>
                <w:rFonts w:ascii="Arial" w:hAnsi="Arial"/>
                <w:b/>
                <w:bCs/>
                <w:sz w:val="28"/>
                <w:szCs w:val="28"/>
                <w:rtl/>
              </w:rPr>
              <w:t xml:space="preserve">פני </w:t>
            </w:r>
          </w:p>
        </w:tc>
        <w:tc>
          <w:tcPr>
            <w:tcW w:w="7875" w:type="dxa"/>
            <w:gridSpan w:val="2"/>
            <w:tcBorders>
              <w:top w:val="nil"/>
              <w:left w:val="nil"/>
              <w:bottom w:val="nil"/>
              <w:right w:val="nil"/>
            </w:tcBorders>
          </w:tcPr>
          <w:p w14:paraId="5BB6DF32" w14:textId="77777777" w:rsidR="008270E0" w:rsidRPr="00BB4512" w:rsidRDefault="00BB4512">
            <w:pPr>
              <w:rPr>
                <w:rFonts w:ascii="Arial" w:hAnsi="Arial"/>
                <w:b/>
                <w:bCs/>
                <w:rtl/>
              </w:rPr>
            </w:pPr>
            <w:r w:rsidRPr="00BB4512">
              <w:rPr>
                <w:rFonts w:ascii="Arial" w:hAnsi="Arial" w:hint="cs"/>
                <w:b/>
                <w:bCs/>
                <w:rtl/>
              </w:rPr>
              <w:t>כב' ה</w:t>
            </w:r>
            <w:r w:rsidRPr="00BB4512">
              <w:rPr>
                <w:rFonts w:hint="cs"/>
                <w:b/>
                <w:bCs/>
                <w:rtl/>
              </w:rPr>
              <w:t>שופטת</w:t>
            </w:r>
            <w:r w:rsidRPr="00BB4512">
              <w:rPr>
                <w:rFonts w:ascii="Arial" w:hAnsi="Arial" w:hint="cs"/>
                <w:b/>
                <w:bCs/>
                <w:rtl/>
              </w:rPr>
              <w:t xml:space="preserve">  </w:t>
            </w:r>
            <w:r w:rsidRPr="00BB4512">
              <w:rPr>
                <w:rFonts w:hint="cs"/>
                <w:b/>
                <w:bCs/>
                <w:rtl/>
              </w:rPr>
              <w:t>חנה מרים לומפ</w:t>
            </w:r>
          </w:p>
          <w:p w14:paraId="119D571C" w14:textId="77777777" w:rsidR="008270E0" w:rsidRPr="00BB4512" w:rsidRDefault="008270E0">
            <w:pPr>
              <w:jc w:val="both"/>
              <w:rPr>
                <w:rFonts w:ascii="Arial" w:hAnsi="Arial"/>
                <w:b/>
                <w:bCs/>
                <w:sz w:val="28"/>
                <w:szCs w:val="28"/>
              </w:rPr>
            </w:pPr>
          </w:p>
        </w:tc>
      </w:tr>
      <w:tr w:rsidR="008270E0" w:rsidRPr="00BB4512" w14:paraId="21C659DF" w14:textId="77777777">
        <w:trPr>
          <w:trHeight w:val="355"/>
          <w:jc w:val="center"/>
        </w:trPr>
        <w:tc>
          <w:tcPr>
            <w:tcW w:w="945" w:type="dxa"/>
            <w:tcBorders>
              <w:top w:val="nil"/>
              <w:left w:val="nil"/>
              <w:bottom w:val="nil"/>
              <w:right w:val="nil"/>
            </w:tcBorders>
          </w:tcPr>
          <w:p w14:paraId="5B023B58" w14:textId="77777777" w:rsidR="008270E0" w:rsidRPr="00BB4512" w:rsidRDefault="00BB4512">
            <w:pPr>
              <w:jc w:val="both"/>
              <w:rPr>
                <w:rFonts w:ascii="Arial" w:hAnsi="Arial"/>
                <w:b/>
                <w:bCs/>
              </w:rPr>
            </w:pPr>
            <w:bookmarkStart w:id="2" w:name="FirstAppellant"/>
            <w:r w:rsidRPr="00BB4512">
              <w:rPr>
                <w:rFonts w:ascii="Arial" w:hAnsi="Arial" w:hint="cs"/>
                <w:b/>
                <w:bCs/>
                <w:rtl/>
              </w:rPr>
              <w:t>בעניין:</w:t>
            </w:r>
          </w:p>
        </w:tc>
        <w:tc>
          <w:tcPr>
            <w:tcW w:w="4114" w:type="dxa"/>
            <w:tcBorders>
              <w:top w:val="nil"/>
              <w:left w:val="nil"/>
              <w:bottom w:val="nil"/>
              <w:right w:val="nil"/>
            </w:tcBorders>
          </w:tcPr>
          <w:p w14:paraId="7FAB8012" w14:textId="77777777" w:rsidR="008270E0" w:rsidRPr="00BB4512" w:rsidRDefault="00BB4512">
            <w:pPr>
              <w:rPr>
                <w:b/>
                <w:bCs/>
              </w:rPr>
            </w:pPr>
            <w:r w:rsidRPr="00BB4512">
              <w:rPr>
                <w:rFonts w:hint="cs"/>
                <w:b/>
                <w:bCs/>
                <w:rtl/>
              </w:rPr>
              <w:t>מדינת ישראל</w:t>
            </w:r>
          </w:p>
        </w:tc>
        <w:tc>
          <w:tcPr>
            <w:tcW w:w="3761" w:type="dxa"/>
            <w:tcBorders>
              <w:top w:val="nil"/>
              <w:left w:val="nil"/>
              <w:bottom w:val="nil"/>
              <w:right w:val="nil"/>
            </w:tcBorders>
          </w:tcPr>
          <w:p w14:paraId="715D4253" w14:textId="77777777" w:rsidR="008270E0" w:rsidRPr="00BB4512" w:rsidRDefault="008270E0">
            <w:pPr>
              <w:jc w:val="both"/>
              <w:rPr>
                <w:rFonts w:ascii="Arial" w:hAnsi="Arial"/>
                <w:b/>
                <w:bCs/>
              </w:rPr>
            </w:pPr>
          </w:p>
        </w:tc>
      </w:tr>
      <w:bookmarkEnd w:id="2"/>
      <w:tr w:rsidR="008270E0" w:rsidRPr="00BB4512" w14:paraId="5A0EFB03" w14:textId="77777777">
        <w:trPr>
          <w:trHeight w:val="355"/>
          <w:jc w:val="center"/>
        </w:trPr>
        <w:tc>
          <w:tcPr>
            <w:tcW w:w="945" w:type="dxa"/>
            <w:tcBorders>
              <w:top w:val="nil"/>
              <w:left w:val="nil"/>
              <w:bottom w:val="nil"/>
              <w:right w:val="nil"/>
            </w:tcBorders>
          </w:tcPr>
          <w:p w14:paraId="51729342" w14:textId="77777777" w:rsidR="008270E0" w:rsidRPr="00BB4512" w:rsidRDefault="008270E0">
            <w:pPr>
              <w:jc w:val="both"/>
              <w:rPr>
                <w:rFonts w:ascii="Arial" w:hAnsi="Arial"/>
                <w:b/>
                <w:bCs/>
                <w:rtl/>
              </w:rPr>
            </w:pPr>
          </w:p>
        </w:tc>
        <w:tc>
          <w:tcPr>
            <w:tcW w:w="4114" w:type="dxa"/>
            <w:tcBorders>
              <w:top w:val="nil"/>
              <w:left w:val="nil"/>
              <w:bottom w:val="nil"/>
              <w:right w:val="nil"/>
            </w:tcBorders>
          </w:tcPr>
          <w:p w14:paraId="33881D40" w14:textId="77777777" w:rsidR="008270E0" w:rsidRPr="00BB4512" w:rsidRDefault="008270E0">
            <w:pPr>
              <w:jc w:val="both"/>
              <w:rPr>
                <w:b/>
                <w:bCs/>
                <w:rtl/>
              </w:rPr>
            </w:pPr>
          </w:p>
        </w:tc>
        <w:tc>
          <w:tcPr>
            <w:tcW w:w="3761" w:type="dxa"/>
            <w:tcBorders>
              <w:top w:val="nil"/>
              <w:left w:val="nil"/>
              <w:bottom w:val="nil"/>
              <w:right w:val="nil"/>
            </w:tcBorders>
          </w:tcPr>
          <w:p w14:paraId="07D6E4AA" w14:textId="77777777" w:rsidR="008270E0" w:rsidRPr="00BB4512" w:rsidRDefault="00BB4512">
            <w:pPr>
              <w:jc w:val="right"/>
              <w:rPr>
                <w:rFonts w:ascii="Arial" w:hAnsi="Arial"/>
                <w:b/>
                <w:bCs/>
                <w:rtl/>
              </w:rPr>
            </w:pPr>
            <w:r w:rsidRPr="00BB4512">
              <w:rPr>
                <w:rFonts w:ascii="Arial" w:hAnsi="Arial" w:hint="cs"/>
                <w:b/>
                <w:bCs/>
                <w:rtl/>
              </w:rPr>
              <w:t>ה</w:t>
            </w:r>
            <w:r w:rsidRPr="00BB4512">
              <w:rPr>
                <w:rFonts w:hint="cs"/>
                <w:b/>
                <w:bCs/>
                <w:rtl/>
              </w:rPr>
              <w:t>מאשימה</w:t>
            </w:r>
          </w:p>
        </w:tc>
      </w:tr>
      <w:tr w:rsidR="008270E0" w:rsidRPr="00BB4512" w14:paraId="5BCB5830" w14:textId="77777777">
        <w:trPr>
          <w:trHeight w:val="355"/>
          <w:jc w:val="center"/>
        </w:trPr>
        <w:tc>
          <w:tcPr>
            <w:tcW w:w="945" w:type="dxa"/>
            <w:tcBorders>
              <w:top w:val="nil"/>
              <w:left w:val="nil"/>
              <w:bottom w:val="nil"/>
              <w:right w:val="nil"/>
            </w:tcBorders>
          </w:tcPr>
          <w:p w14:paraId="0BC09735" w14:textId="77777777" w:rsidR="008270E0" w:rsidRPr="00BB4512" w:rsidRDefault="008270E0">
            <w:pPr>
              <w:jc w:val="both"/>
              <w:rPr>
                <w:rFonts w:ascii="Arial" w:hAnsi="Arial"/>
                <w:b/>
                <w:bCs/>
                <w:rtl/>
              </w:rPr>
            </w:pPr>
          </w:p>
        </w:tc>
        <w:tc>
          <w:tcPr>
            <w:tcW w:w="7875" w:type="dxa"/>
            <w:gridSpan w:val="2"/>
            <w:tcBorders>
              <w:top w:val="nil"/>
              <w:left w:val="nil"/>
              <w:bottom w:val="nil"/>
              <w:right w:val="nil"/>
            </w:tcBorders>
          </w:tcPr>
          <w:p w14:paraId="76757C0E" w14:textId="77777777" w:rsidR="008270E0" w:rsidRPr="00BB4512" w:rsidRDefault="008270E0">
            <w:pPr>
              <w:jc w:val="center"/>
              <w:rPr>
                <w:rFonts w:ascii="Arial" w:hAnsi="Arial"/>
                <w:b/>
                <w:bCs/>
                <w:rtl/>
              </w:rPr>
            </w:pPr>
          </w:p>
          <w:p w14:paraId="142520F2" w14:textId="77777777" w:rsidR="008270E0" w:rsidRPr="00BB4512" w:rsidRDefault="00BB4512">
            <w:pPr>
              <w:jc w:val="center"/>
              <w:rPr>
                <w:rFonts w:ascii="Arial" w:hAnsi="Arial"/>
                <w:b/>
                <w:bCs/>
                <w:rtl/>
              </w:rPr>
            </w:pPr>
            <w:r w:rsidRPr="00BB4512">
              <w:rPr>
                <w:rFonts w:ascii="Arial" w:hAnsi="Arial"/>
                <w:b/>
                <w:bCs/>
                <w:rtl/>
              </w:rPr>
              <w:t>נגד</w:t>
            </w:r>
          </w:p>
          <w:p w14:paraId="6F6DA121" w14:textId="77777777" w:rsidR="008270E0" w:rsidRPr="00BB4512" w:rsidRDefault="008270E0">
            <w:pPr>
              <w:jc w:val="both"/>
              <w:rPr>
                <w:rFonts w:ascii="Arial" w:hAnsi="Arial"/>
                <w:b/>
                <w:bCs/>
              </w:rPr>
            </w:pPr>
          </w:p>
        </w:tc>
      </w:tr>
      <w:tr w:rsidR="008270E0" w:rsidRPr="00BB4512" w14:paraId="0EE4866C" w14:textId="77777777">
        <w:trPr>
          <w:trHeight w:val="355"/>
          <w:jc w:val="center"/>
        </w:trPr>
        <w:tc>
          <w:tcPr>
            <w:tcW w:w="945" w:type="dxa"/>
            <w:tcBorders>
              <w:top w:val="nil"/>
              <w:left w:val="nil"/>
              <w:bottom w:val="nil"/>
              <w:right w:val="nil"/>
            </w:tcBorders>
          </w:tcPr>
          <w:p w14:paraId="2303042E" w14:textId="77777777" w:rsidR="008270E0" w:rsidRPr="00BB4512" w:rsidRDefault="008270E0">
            <w:pPr>
              <w:rPr>
                <w:rFonts w:ascii="Arial" w:hAnsi="Arial"/>
                <w:b/>
                <w:bCs/>
                <w:rtl/>
              </w:rPr>
            </w:pPr>
          </w:p>
        </w:tc>
        <w:tc>
          <w:tcPr>
            <w:tcW w:w="4114" w:type="dxa"/>
            <w:tcBorders>
              <w:top w:val="nil"/>
              <w:left w:val="nil"/>
              <w:bottom w:val="nil"/>
              <w:right w:val="nil"/>
            </w:tcBorders>
          </w:tcPr>
          <w:p w14:paraId="45C40AEA" w14:textId="77777777" w:rsidR="008270E0" w:rsidRPr="00BB4512" w:rsidRDefault="00BB4512">
            <w:pPr>
              <w:rPr>
                <w:b/>
                <w:bCs/>
                <w:rtl/>
              </w:rPr>
            </w:pPr>
            <w:r w:rsidRPr="00BB4512">
              <w:rPr>
                <w:rFonts w:hint="cs"/>
                <w:b/>
                <w:bCs/>
                <w:rtl/>
              </w:rPr>
              <w:t>רומן סבירידונוב</w:t>
            </w:r>
          </w:p>
        </w:tc>
        <w:tc>
          <w:tcPr>
            <w:tcW w:w="3761" w:type="dxa"/>
            <w:tcBorders>
              <w:top w:val="nil"/>
              <w:left w:val="nil"/>
              <w:bottom w:val="nil"/>
              <w:right w:val="nil"/>
            </w:tcBorders>
          </w:tcPr>
          <w:p w14:paraId="0CE38150" w14:textId="77777777" w:rsidR="008270E0" w:rsidRPr="00BB4512" w:rsidRDefault="008270E0">
            <w:pPr>
              <w:jc w:val="right"/>
              <w:rPr>
                <w:rFonts w:ascii="Arial" w:hAnsi="Arial"/>
                <w:b/>
                <w:bCs/>
              </w:rPr>
            </w:pPr>
          </w:p>
        </w:tc>
      </w:tr>
      <w:tr w:rsidR="008270E0" w:rsidRPr="00BB4512" w14:paraId="2E74360D" w14:textId="77777777">
        <w:trPr>
          <w:trHeight w:val="355"/>
          <w:jc w:val="center"/>
        </w:trPr>
        <w:tc>
          <w:tcPr>
            <w:tcW w:w="945" w:type="dxa"/>
            <w:tcBorders>
              <w:top w:val="nil"/>
              <w:left w:val="nil"/>
              <w:bottom w:val="nil"/>
              <w:right w:val="nil"/>
            </w:tcBorders>
          </w:tcPr>
          <w:p w14:paraId="7005A517" w14:textId="77777777" w:rsidR="008270E0" w:rsidRPr="00BB4512" w:rsidRDefault="008270E0">
            <w:pPr>
              <w:jc w:val="both"/>
              <w:rPr>
                <w:rFonts w:ascii="Arial" w:hAnsi="Arial"/>
                <w:b/>
                <w:bCs/>
                <w:rtl/>
              </w:rPr>
            </w:pPr>
          </w:p>
        </w:tc>
        <w:tc>
          <w:tcPr>
            <w:tcW w:w="4114" w:type="dxa"/>
            <w:tcBorders>
              <w:top w:val="nil"/>
              <w:left w:val="nil"/>
              <w:bottom w:val="nil"/>
              <w:right w:val="nil"/>
            </w:tcBorders>
          </w:tcPr>
          <w:p w14:paraId="239B449D" w14:textId="77777777" w:rsidR="008270E0" w:rsidRPr="00BB4512" w:rsidRDefault="008270E0">
            <w:pPr>
              <w:jc w:val="both"/>
              <w:rPr>
                <w:b/>
                <w:bCs/>
                <w:rtl/>
              </w:rPr>
            </w:pPr>
          </w:p>
        </w:tc>
        <w:tc>
          <w:tcPr>
            <w:tcW w:w="3761" w:type="dxa"/>
            <w:tcBorders>
              <w:top w:val="nil"/>
              <w:left w:val="nil"/>
              <w:bottom w:val="nil"/>
              <w:right w:val="nil"/>
            </w:tcBorders>
          </w:tcPr>
          <w:p w14:paraId="16A40C2F" w14:textId="77777777" w:rsidR="008270E0" w:rsidRPr="00BB4512" w:rsidRDefault="00BB4512">
            <w:pPr>
              <w:jc w:val="right"/>
              <w:rPr>
                <w:rFonts w:ascii="Arial" w:hAnsi="Arial"/>
                <w:b/>
                <w:bCs/>
              </w:rPr>
            </w:pPr>
            <w:r w:rsidRPr="00BB4512">
              <w:rPr>
                <w:rFonts w:ascii="Arial" w:hAnsi="Arial" w:hint="cs"/>
                <w:b/>
                <w:bCs/>
                <w:rtl/>
              </w:rPr>
              <w:t>ה</w:t>
            </w:r>
            <w:r w:rsidRPr="00BB4512">
              <w:rPr>
                <w:rFonts w:hint="cs"/>
                <w:b/>
                <w:bCs/>
                <w:rtl/>
              </w:rPr>
              <w:t>נאשם</w:t>
            </w:r>
          </w:p>
        </w:tc>
      </w:tr>
    </w:tbl>
    <w:p w14:paraId="3B4A556F" w14:textId="77777777" w:rsidR="00EA103F" w:rsidRDefault="00EA103F">
      <w:pPr>
        <w:rPr>
          <w:rtl/>
        </w:rPr>
      </w:pPr>
      <w:bookmarkStart w:id="3" w:name="LawTable"/>
      <w:bookmarkEnd w:id="3"/>
    </w:p>
    <w:p w14:paraId="2DBC4C75" w14:textId="77777777" w:rsidR="00EA103F" w:rsidRPr="00EA103F" w:rsidRDefault="00EA103F" w:rsidP="00EA103F">
      <w:pPr>
        <w:spacing w:after="120" w:line="240" w:lineRule="exact"/>
        <w:ind w:left="283" w:hanging="283"/>
        <w:jc w:val="both"/>
        <w:rPr>
          <w:rFonts w:ascii="FrankRuehl" w:hAnsi="FrankRuehl" w:cs="FrankRuehl"/>
          <w:rtl/>
        </w:rPr>
      </w:pPr>
      <w:r w:rsidRPr="00EA103F">
        <w:rPr>
          <w:rFonts w:ascii="FrankRuehl" w:hAnsi="FrankRuehl" w:cs="FrankRuehl"/>
          <w:rtl/>
        </w:rPr>
        <w:t xml:space="preserve">חקיקה שאוזכרה: </w:t>
      </w:r>
    </w:p>
    <w:p w14:paraId="2BCDE2C5" w14:textId="77777777" w:rsidR="00EA103F" w:rsidRPr="00EA103F" w:rsidRDefault="00EA103F" w:rsidP="00EA103F">
      <w:pPr>
        <w:spacing w:after="120" w:line="240" w:lineRule="exact"/>
        <w:ind w:left="283" w:hanging="283"/>
        <w:jc w:val="both"/>
        <w:rPr>
          <w:rFonts w:ascii="FrankRuehl" w:hAnsi="FrankRuehl" w:cs="FrankRuehl"/>
          <w:rtl/>
        </w:rPr>
      </w:pPr>
      <w:hyperlink r:id="rId7" w:history="1">
        <w:r w:rsidRPr="00EA103F">
          <w:rPr>
            <w:rFonts w:ascii="FrankRuehl" w:hAnsi="FrankRuehl" w:cs="FrankRuehl"/>
            <w:color w:val="0000FF"/>
            <w:u w:val="single"/>
            <w:rtl/>
          </w:rPr>
          <w:t>חוק העונשין, תשל"ז-1977</w:t>
        </w:r>
      </w:hyperlink>
      <w:r w:rsidRPr="00EA103F">
        <w:rPr>
          <w:rFonts w:ascii="FrankRuehl" w:hAnsi="FrankRuehl" w:cs="FrankRuehl"/>
          <w:rtl/>
        </w:rPr>
        <w:t xml:space="preserve">: סע'  </w:t>
      </w:r>
      <w:hyperlink r:id="rId8" w:history="1">
        <w:r w:rsidRPr="00EA103F">
          <w:rPr>
            <w:rFonts w:ascii="FrankRuehl" w:hAnsi="FrankRuehl" w:cs="FrankRuehl"/>
            <w:color w:val="0000FF"/>
            <w:u w:val="single"/>
            <w:rtl/>
          </w:rPr>
          <w:t>144(א)</w:t>
        </w:r>
      </w:hyperlink>
      <w:r w:rsidRPr="00EA103F">
        <w:rPr>
          <w:rFonts w:ascii="FrankRuehl" w:hAnsi="FrankRuehl" w:cs="FrankRuehl"/>
          <w:rtl/>
        </w:rPr>
        <w:t xml:space="preserve">, </w:t>
      </w:r>
      <w:hyperlink r:id="rId9" w:history="1">
        <w:r w:rsidRPr="00EA103F">
          <w:rPr>
            <w:rFonts w:ascii="FrankRuehl" w:hAnsi="FrankRuehl" w:cs="FrankRuehl"/>
            <w:color w:val="0000FF"/>
            <w:u w:val="single"/>
            <w:rtl/>
          </w:rPr>
          <w:t>40יא.</w:t>
        </w:r>
      </w:hyperlink>
      <w:r w:rsidRPr="00EA103F">
        <w:rPr>
          <w:rFonts w:ascii="FrankRuehl" w:hAnsi="FrankRuehl" w:cs="FrankRuehl"/>
          <w:rtl/>
        </w:rPr>
        <w:t xml:space="preserve">, </w:t>
      </w:r>
      <w:hyperlink r:id="rId10" w:history="1">
        <w:r w:rsidRPr="00EA103F">
          <w:rPr>
            <w:rFonts w:ascii="FrankRuehl" w:hAnsi="FrankRuehl" w:cs="FrankRuehl"/>
            <w:color w:val="0000FF"/>
            <w:u w:val="single"/>
            <w:rtl/>
          </w:rPr>
          <w:t>40 יג</w:t>
        </w:r>
      </w:hyperlink>
    </w:p>
    <w:p w14:paraId="1481773C" w14:textId="77777777" w:rsidR="00EA103F" w:rsidRPr="00EA103F" w:rsidRDefault="00EA103F" w:rsidP="00EA103F">
      <w:pPr>
        <w:spacing w:after="120" w:line="240" w:lineRule="exact"/>
        <w:ind w:left="283" w:hanging="283"/>
        <w:jc w:val="both"/>
        <w:rPr>
          <w:rFonts w:ascii="FrankRuehl" w:hAnsi="FrankRuehl" w:cs="FrankRuehl"/>
          <w:rtl/>
        </w:rPr>
      </w:pPr>
    </w:p>
    <w:p w14:paraId="45C80034" w14:textId="77777777" w:rsidR="00EA103F" w:rsidRDefault="00EA103F" w:rsidP="00EA103F">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24BCA8B4" w14:textId="77777777" w:rsidR="00EA103F" w:rsidRPr="00EA103F" w:rsidRDefault="00EA103F" w:rsidP="00EA103F">
      <w:pPr>
        <w:pBdr>
          <w:top w:val="single" w:sz="4" w:space="1" w:color="auto"/>
          <w:bottom w:val="single" w:sz="4" w:space="1" w:color="auto"/>
        </w:pBdr>
        <w:spacing w:after="120" w:line="320" w:lineRule="exact"/>
        <w:jc w:val="both"/>
        <w:rPr>
          <w:rFonts w:cs="FrankRuehl"/>
          <w:szCs w:val="26"/>
        </w:rPr>
      </w:pPr>
      <w:r>
        <w:rPr>
          <w:rFonts w:cs="FrankRuehl" w:hint="cs"/>
          <w:szCs w:val="26"/>
          <w:rtl/>
        </w:rPr>
        <w:t xml:space="preserve">* </w:t>
      </w:r>
      <w:r w:rsidRPr="00EA103F">
        <w:rPr>
          <w:rFonts w:cs="FrankRuehl" w:hint="cs"/>
          <w:szCs w:val="26"/>
          <w:rtl/>
        </w:rPr>
        <w:t>נאשם שהורשע בעבירת החזקת נשק במדרג הנמוך, שמצבו הכלכלי קשה,  דינו נגזר לשירות לתועלת הציבור בהיקף נרחב.</w:t>
      </w:r>
    </w:p>
    <w:p w14:paraId="74A0C4C0" w14:textId="77777777" w:rsidR="00EA103F" w:rsidRDefault="00EA103F" w:rsidP="00EA103F">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החזקת נשק</w:t>
      </w:r>
    </w:p>
    <w:p w14:paraId="56A8DEE7" w14:textId="77777777" w:rsidR="00EA103F" w:rsidRDefault="00EA103F" w:rsidP="00EA103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77C2627" w14:textId="77777777" w:rsidR="004B5DD0" w:rsidRPr="00EA103F" w:rsidRDefault="004B5DD0" w:rsidP="00EA103F">
      <w:pPr>
        <w:pBdr>
          <w:top w:val="single" w:sz="4" w:space="1" w:color="auto"/>
          <w:bottom w:val="single" w:sz="4" w:space="1" w:color="auto"/>
        </w:pBdr>
        <w:spacing w:after="120" w:line="320" w:lineRule="exact"/>
        <w:jc w:val="both"/>
        <w:rPr>
          <w:rFonts w:cs="FrankRuehl" w:hint="cs"/>
          <w:szCs w:val="26"/>
        </w:rPr>
      </w:pPr>
      <w:r w:rsidRPr="00EA103F">
        <w:rPr>
          <w:rFonts w:cs="FrankRuehl" w:hint="cs"/>
          <w:szCs w:val="26"/>
          <w:rtl/>
        </w:rPr>
        <w:t>הנאשם הורשע בהסדר טיעון בהחזקת נזק בשל רימון הלם מפורק שהחזיק בביתו.</w:t>
      </w:r>
    </w:p>
    <w:p w14:paraId="60D05EAA" w14:textId="77777777" w:rsidR="004B5DD0" w:rsidRPr="00EA103F" w:rsidRDefault="00EA103F" w:rsidP="00EA103F">
      <w:pPr>
        <w:pBdr>
          <w:top w:val="single" w:sz="4" w:space="1" w:color="auto"/>
          <w:bottom w:val="single" w:sz="4" w:space="1" w:color="auto"/>
        </w:pBdr>
        <w:spacing w:after="120" w:line="320" w:lineRule="exact"/>
        <w:jc w:val="both"/>
        <w:rPr>
          <w:rFonts w:cs="FrankRuehl" w:hint="cs"/>
          <w:szCs w:val="26"/>
        </w:rPr>
      </w:pPr>
      <w:r>
        <w:rPr>
          <w:rFonts w:cs="FrankRuehl" w:hint="cs"/>
          <w:szCs w:val="26"/>
          <w:rtl/>
        </w:rPr>
        <w:t>.</w:t>
      </w:r>
    </w:p>
    <w:p w14:paraId="34CC77F3" w14:textId="77777777" w:rsidR="004B5DD0" w:rsidRPr="00EA103F" w:rsidRDefault="004B5DD0" w:rsidP="00EA103F">
      <w:pPr>
        <w:pBdr>
          <w:top w:val="single" w:sz="4" w:space="1" w:color="auto"/>
          <w:bottom w:val="single" w:sz="4" w:space="1" w:color="auto"/>
        </w:pBdr>
        <w:spacing w:after="120" w:line="320" w:lineRule="exact"/>
        <w:jc w:val="both"/>
        <w:rPr>
          <w:rFonts w:cs="FrankRuehl" w:hint="cs"/>
          <w:szCs w:val="26"/>
          <w:rtl/>
        </w:rPr>
      </w:pPr>
      <w:r w:rsidRPr="00EA103F">
        <w:rPr>
          <w:rFonts w:cs="FrankRuehl" w:hint="cs"/>
          <w:szCs w:val="26"/>
          <w:rtl/>
        </w:rPr>
        <w:t>בית משפט השלום גזר את דינו של הנאשם וקבע כי:</w:t>
      </w:r>
    </w:p>
    <w:p w14:paraId="2322771A" w14:textId="77777777" w:rsidR="004B5DD0" w:rsidRPr="00EA103F" w:rsidRDefault="004B5DD0" w:rsidP="00EA103F">
      <w:pPr>
        <w:pBdr>
          <w:top w:val="single" w:sz="4" w:space="1" w:color="auto"/>
          <w:bottom w:val="single" w:sz="4" w:space="1" w:color="auto"/>
        </w:pBdr>
        <w:spacing w:after="120" w:line="320" w:lineRule="exact"/>
        <w:jc w:val="both"/>
        <w:rPr>
          <w:rFonts w:cs="FrankRuehl" w:hint="cs"/>
          <w:szCs w:val="26"/>
          <w:rtl/>
        </w:rPr>
      </w:pPr>
      <w:r w:rsidRPr="00EA103F">
        <w:rPr>
          <w:rFonts w:cs="FrankRuehl" w:hint="cs"/>
          <w:szCs w:val="26"/>
          <w:rtl/>
        </w:rPr>
        <w:t>בית המשפט העליון חזר פעם אחר פעם על החומרה הגלומה בעבירות נשק ועל פוטנציאל הפגיעה בנפש וברכוש שעלולים להיגרם כתוצאה מהשימוש בו. אך באשר לרימון הלם, נקבע כי מדובר בסוג נשק במדרג חומרה נמוך. נסיבות המקרה הנדון שונות באופן מובהק מהנסיבות האופייניות של החזקת נשק שלא כדין. לא מדובר בנאשם שהחזיק ברשותו נשק באופן מתוכנן ומודע, אלא באדם שמצא את הרימון, פרק אותו כך שלא יהווה סכנה והסתיר אותו בארונו ולא במקום מסתור מיוחד.</w:t>
      </w:r>
    </w:p>
    <w:p w14:paraId="7C3FE168" w14:textId="77777777" w:rsidR="004B5DD0" w:rsidRPr="00EA103F" w:rsidRDefault="004B5DD0" w:rsidP="00EA103F">
      <w:pPr>
        <w:pBdr>
          <w:top w:val="single" w:sz="4" w:space="1" w:color="auto"/>
          <w:bottom w:val="single" w:sz="4" w:space="1" w:color="auto"/>
        </w:pBdr>
        <w:spacing w:after="120" w:line="320" w:lineRule="exact"/>
        <w:jc w:val="both"/>
        <w:rPr>
          <w:rFonts w:cs="FrankRuehl" w:hint="cs"/>
          <w:szCs w:val="26"/>
          <w:rtl/>
        </w:rPr>
      </w:pPr>
      <w:r w:rsidRPr="00EA103F">
        <w:rPr>
          <w:rFonts w:cs="FrankRuehl" w:hint="cs"/>
          <w:szCs w:val="26"/>
          <w:rtl/>
        </w:rPr>
        <w:t>אין ספק כי עונש של מאסר ולו בעבודות שירות יפגע בנאשם, שכן הוא עובד במקום עבודה קבוע, ומצבו הכלכלי קשה עד כדי כך שהוא אינו מבוטח בביטוח בריאות והתקשה לממן אישור רפואי לממונה על עבודות השירות. הנאשם אף משלם את מזונותיה של בתו ומסייע לפרנסת אמו. בית המשפט גזר את דינו לשל"צ בהיקף נרחב ולמאסר על תנאי.</w:t>
      </w:r>
    </w:p>
    <w:p w14:paraId="39B73F21" w14:textId="77777777" w:rsidR="004B5DD0" w:rsidRPr="00C24483" w:rsidRDefault="004B5DD0" w:rsidP="00C24483">
      <w:pPr>
        <w:spacing w:after="120" w:line="240" w:lineRule="exact"/>
        <w:ind w:left="283" w:hanging="283"/>
        <w:jc w:val="both"/>
        <w:rPr>
          <w:rFonts w:ascii="FrankRuehl" w:hAnsi="FrankRuehl" w:cs="FrankRuehl" w:hint="cs"/>
          <w:color w:val="0000FF"/>
          <w:u w:val="single"/>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270E0" w14:paraId="57D88892" w14:textId="77777777">
        <w:trPr>
          <w:trHeight w:val="355"/>
          <w:jc w:val="center"/>
        </w:trPr>
        <w:tc>
          <w:tcPr>
            <w:tcW w:w="8820" w:type="dxa"/>
            <w:tcBorders>
              <w:top w:val="nil"/>
              <w:left w:val="nil"/>
              <w:bottom w:val="nil"/>
              <w:right w:val="nil"/>
            </w:tcBorders>
          </w:tcPr>
          <w:p w14:paraId="45FDA1A4" w14:textId="77777777" w:rsidR="00BB4512" w:rsidRPr="00BB4512" w:rsidRDefault="00BB4512" w:rsidP="00BB4512">
            <w:pPr>
              <w:jc w:val="center"/>
              <w:rPr>
                <w:rFonts w:ascii="Arial" w:hAnsi="Arial"/>
                <w:b/>
                <w:bCs/>
                <w:sz w:val="28"/>
                <w:szCs w:val="28"/>
                <w:u w:val="single"/>
                <w:rtl/>
              </w:rPr>
            </w:pPr>
            <w:bookmarkStart w:id="7" w:name="PsakDin" w:colFirst="0" w:colLast="0"/>
            <w:bookmarkEnd w:id="0"/>
            <w:r w:rsidRPr="00BB4512">
              <w:rPr>
                <w:rFonts w:ascii="Arial" w:hAnsi="Arial"/>
                <w:b/>
                <w:bCs/>
                <w:sz w:val="28"/>
                <w:szCs w:val="28"/>
                <w:u w:val="single"/>
                <w:rtl/>
              </w:rPr>
              <w:t>גזר דין</w:t>
            </w:r>
          </w:p>
          <w:p w14:paraId="2E2EE373" w14:textId="77777777" w:rsidR="008270E0" w:rsidRPr="00BB4512" w:rsidRDefault="008270E0" w:rsidP="00BB4512">
            <w:pPr>
              <w:jc w:val="center"/>
              <w:rPr>
                <w:rFonts w:ascii="Arial" w:hAnsi="Arial"/>
                <w:b/>
                <w:bCs/>
                <w:sz w:val="28"/>
                <w:szCs w:val="28"/>
                <w:u w:val="single"/>
                <w:rtl/>
              </w:rPr>
            </w:pPr>
          </w:p>
        </w:tc>
      </w:tr>
    </w:tbl>
    <w:bookmarkEnd w:id="7"/>
    <w:p w14:paraId="28FC220E" w14:textId="77777777" w:rsidR="008270E0" w:rsidRDefault="00BB4512">
      <w:pPr>
        <w:spacing w:line="360" w:lineRule="auto"/>
        <w:ind w:firstLine="360"/>
        <w:jc w:val="both"/>
        <w:rPr>
          <w:rFonts w:ascii="Arial" w:hAnsi="Arial"/>
          <w:b/>
          <w:bCs/>
          <w:u w:val="single"/>
          <w:rtl/>
        </w:rPr>
      </w:pPr>
      <w:r>
        <w:rPr>
          <w:rFonts w:ascii="Arial" w:hAnsi="Arial" w:hint="cs"/>
          <w:b/>
          <w:bCs/>
          <w:u w:val="single"/>
          <w:rtl/>
        </w:rPr>
        <w:lastRenderedPageBreak/>
        <w:t>רקע</w:t>
      </w:r>
    </w:p>
    <w:p w14:paraId="6BB344D5" w14:textId="77777777" w:rsidR="008270E0" w:rsidRDefault="00BB4512">
      <w:pPr>
        <w:pStyle w:val="ListParagraph"/>
        <w:numPr>
          <w:ilvl w:val="0"/>
          <w:numId w:val="1"/>
        </w:numPr>
        <w:spacing w:line="360" w:lineRule="auto"/>
        <w:jc w:val="both"/>
      </w:pPr>
      <w:r>
        <w:rPr>
          <w:rFonts w:hint="cs"/>
          <w:rtl/>
        </w:rPr>
        <w:t xml:space="preserve">הנאשם הורשע על פי הודאתו בעקבות הסדר טיעון בכתב אישום מתוקן בעבירה לפי </w:t>
      </w:r>
      <w:hyperlink r:id="rId11" w:history="1">
        <w:r w:rsidR="00C24483" w:rsidRPr="00C24483">
          <w:rPr>
            <w:rStyle w:val="Hyperlink"/>
            <w:rFonts w:hint="eastAsia"/>
            <w:rtl/>
          </w:rPr>
          <w:t>סעיף</w:t>
        </w:r>
        <w:r w:rsidR="00C24483" w:rsidRPr="00C24483">
          <w:rPr>
            <w:rStyle w:val="Hyperlink"/>
            <w:rtl/>
          </w:rPr>
          <w:t xml:space="preserve"> 144(א)</w:t>
        </w:r>
      </w:hyperlink>
      <w:r>
        <w:rPr>
          <w:rFonts w:hint="cs"/>
          <w:rtl/>
        </w:rPr>
        <w:t xml:space="preserve"> רישא ל</w:t>
      </w:r>
      <w:hyperlink r:id="rId12" w:history="1">
        <w:r w:rsidRPr="00BB4512">
          <w:rPr>
            <w:color w:val="0000FF"/>
            <w:u w:val="single"/>
            <w:rtl/>
          </w:rPr>
          <w:t>חוק העונשין</w:t>
        </w:r>
      </w:hyperlink>
      <w:r>
        <w:rPr>
          <w:rFonts w:hint="cs"/>
          <w:rtl/>
        </w:rPr>
        <w:t xml:space="preserve">, התשל"ז- 1977, בכך שביום 8.8.10 בארון בביתו החזיק רימון הלם צהלי המשמש כאמל"ח בלתי קטלני, כשהמנגנון מופרד מגוף הרימון. </w:t>
      </w:r>
    </w:p>
    <w:p w14:paraId="57647FBC" w14:textId="77777777" w:rsidR="008270E0" w:rsidRDefault="008270E0">
      <w:pPr>
        <w:pStyle w:val="ListParagraph"/>
        <w:spacing w:line="360" w:lineRule="auto"/>
        <w:jc w:val="both"/>
        <w:rPr>
          <w:sz w:val="12"/>
          <w:szCs w:val="12"/>
        </w:rPr>
      </w:pPr>
    </w:p>
    <w:p w14:paraId="45853FEA" w14:textId="77777777" w:rsidR="008270E0" w:rsidRDefault="00BB4512">
      <w:pPr>
        <w:pStyle w:val="ListParagraph"/>
        <w:numPr>
          <w:ilvl w:val="0"/>
          <w:numId w:val="1"/>
        </w:numPr>
        <w:spacing w:line="360" w:lineRule="auto"/>
        <w:jc w:val="both"/>
      </w:pPr>
      <w:r>
        <w:rPr>
          <w:rFonts w:hint="cs"/>
          <w:rtl/>
        </w:rPr>
        <w:t xml:space="preserve">הצדדים לא הגיעו להסכמה באשר לעונש, אולם המאשימה הגבילה עצמה לעתור להטלת עונש מאסר אשר ירוצה בעבודות שירות, בעוד שב"כ הנאשם חופשי בטיעוניו. כמו כן הצדדים הסכימו כי יתקבל תסקיר בעניינו של הנאשם והמאשימה ביקשה שהנאשם יישלח לקבלת חוות דעת ממונה על עבודות השירות. </w:t>
      </w:r>
    </w:p>
    <w:p w14:paraId="23F1CE13" w14:textId="77777777" w:rsidR="008270E0" w:rsidRDefault="008270E0">
      <w:pPr>
        <w:spacing w:line="360" w:lineRule="auto"/>
        <w:jc w:val="both"/>
        <w:rPr>
          <w:rtl/>
        </w:rPr>
      </w:pPr>
    </w:p>
    <w:p w14:paraId="0E7B6F1F" w14:textId="77777777" w:rsidR="008270E0" w:rsidRDefault="00BB4512">
      <w:pPr>
        <w:spacing w:line="360" w:lineRule="auto"/>
        <w:ind w:firstLine="360"/>
        <w:jc w:val="both"/>
        <w:rPr>
          <w:b/>
          <w:bCs/>
          <w:u w:val="single"/>
          <w:rtl/>
        </w:rPr>
      </w:pPr>
      <w:r>
        <w:rPr>
          <w:rFonts w:hint="cs"/>
          <w:b/>
          <w:bCs/>
          <w:u w:val="single"/>
          <w:rtl/>
        </w:rPr>
        <w:t>תסקיר שירות המבחן וחוות דעת ממונה</w:t>
      </w:r>
    </w:p>
    <w:p w14:paraId="30629EED" w14:textId="77777777" w:rsidR="008270E0" w:rsidRDefault="00BB4512">
      <w:pPr>
        <w:pStyle w:val="ListParagraph"/>
        <w:numPr>
          <w:ilvl w:val="0"/>
          <w:numId w:val="1"/>
        </w:numPr>
        <w:spacing w:line="360" w:lineRule="auto"/>
        <w:jc w:val="both"/>
      </w:pPr>
      <w:r>
        <w:rPr>
          <w:rFonts w:hint="cs"/>
          <w:rtl/>
        </w:rPr>
        <w:t xml:space="preserve">מתסקיר שירות המבחן מיום 4.5.14 עולה כי הנאשם בן 36, רווק ואב לילדה בת 7 המתגוררת עם אמה בטבריה, והקשר של הנאשם עמה מועט. הוא מתגורר בבית אמו ועובד כטכנאי מערכות קירור ומנהל אורח חיים תקין. </w:t>
      </w:r>
    </w:p>
    <w:p w14:paraId="5277B972" w14:textId="77777777" w:rsidR="008270E0" w:rsidRDefault="008270E0">
      <w:pPr>
        <w:pStyle w:val="ListParagraph"/>
        <w:spacing w:line="360" w:lineRule="auto"/>
        <w:jc w:val="both"/>
        <w:rPr>
          <w:sz w:val="12"/>
          <w:szCs w:val="12"/>
        </w:rPr>
      </w:pPr>
    </w:p>
    <w:p w14:paraId="561231F7" w14:textId="77777777" w:rsidR="008270E0" w:rsidRDefault="00BB4512">
      <w:pPr>
        <w:pStyle w:val="ListParagraph"/>
        <w:numPr>
          <w:ilvl w:val="0"/>
          <w:numId w:val="1"/>
        </w:numPr>
        <w:spacing w:line="360" w:lineRule="auto"/>
        <w:jc w:val="both"/>
      </w:pPr>
      <w:r>
        <w:rPr>
          <w:rFonts w:hint="cs"/>
          <w:rtl/>
        </w:rPr>
        <w:t xml:space="preserve">הנאשם יליד ברית המועצות אשר עלה ארצה בשנת 1992. כאשר הנאשם היה כבן 6 שנים, חלה אביו במחלה קשה ולבסוף נפטר, וזאת עוד טרם עלייתו ארצה. לנאשם שתי אחיות המנהלות אורח חיים נורמטיבי. הנאשם השלים 9 שנות לימוד ובגיל 16 החל לעבוד כדי לסייע בפרנסת המשפחה. הנאשם לא גויס לשירות צבאי ונשפט עקב היותו סרבן גיוס ושוחרר כעבור 4 חודשים עקב אי התאמה. </w:t>
      </w:r>
    </w:p>
    <w:p w14:paraId="1313AB9F" w14:textId="77777777" w:rsidR="008270E0" w:rsidRDefault="008270E0">
      <w:pPr>
        <w:pStyle w:val="ListParagraph"/>
        <w:spacing w:line="360" w:lineRule="auto"/>
        <w:jc w:val="both"/>
        <w:rPr>
          <w:sz w:val="12"/>
          <w:szCs w:val="12"/>
        </w:rPr>
      </w:pPr>
    </w:p>
    <w:p w14:paraId="74ABB2E6" w14:textId="77777777" w:rsidR="008270E0" w:rsidRDefault="00BB4512">
      <w:pPr>
        <w:pStyle w:val="ListParagraph"/>
        <w:numPr>
          <w:ilvl w:val="0"/>
          <w:numId w:val="1"/>
        </w:numPr>
        <w:spacing w:line="360" w:lineRule="auto"/>
        <w:jc w:val="both"/>
      </w:pPr>
      <w:r>
        <w:rPr>
          <w:rFonts w:hint="cs"/>
          <w:rtl/>
        </w:rPr>
        <w:t>הנאשם מסר לקצינת המבחן כי התנסה בעבר בשימוש בסמים מסוג חשיש וכיום הוא אינו משתמש בסמים מזה תקופה ממושכת ומבדיקת השתן שנערכה לו עולה כי הוא נקי מסמים.</w:t>
      </w:r>
    </w:p>
    <w:p w14:paraId="79FB0DF9" w14:textId="77777777" w:rsidR="008270E0" w:rsidRDefault="008270E0">
      <w:pPr>
        <w:pStyle w:val="ListParagraph"/>
        <w:spacing w:line="360" w:lineRule="auto"/>
        <w:jc w:val="both"/>
        <w:rPr>
          <w:sz w:val="12"/>
          <w:szCs w:val="12"/>
        </w:rPr>
      </w:pPr>
    </w:p>
    <w:p w14:paraId="2F54035E" w14:textId="77777777" w:rsidR="008270E0" w:rsidRDefault="00BB4512">
      <w:pPr>
        <w:pStyle w:val="ListParagraph"/>
        <w:numPr>
          <w:ilvl w:val="0"/>
          <w:numId w:val="1"/>
        </w:numPr>
        <w:spacing w:line="360" w:lineRule="auto"/>
        <w:jc w:val="both"/>
      </w:pPr>
      <w:r>
        <w:rPr>
          <w:rFonts w:hint="cs"/>
          <w:rtl/>
        </w:rPr>
        <w:t>אשר לביצוע העבירה, הנאשם לקח אחריות לביצועה והביע חרטה. הוא מסר כי מצא את הרימון בשכונה בסמוך לפח זבל, הרים אותו והוציא ממנו את הנצרה כדי לוודא שלא יהיה מסוכן. הנאשם לא חשב על תוצאות מעשיו כאשר הביא את הרימון לביתו והניח אותו בארון, ולאחר מכן שכח ממנו  והמשיך בשגרת חייו. הנאשם מסר כי לא הייתה לו כל כוונה להשתמש ברימון וזו פעם ראשונה שהוא מחזיק בחפץ מסוג זה. הנאשם מסר לקצינת המבחן על חששו כי יוטלו עליו עבודות שירות, שכן הוא מפרנס את אמו וצריך לעמוד בתשלום מזונות בתו.</w:t>
      </w:r>
    </w:p>
    <w:p w14:paraId="4511F501" w14:textId="77777777" w:rsidR="008270E0" w:rsidRDefault="008270E0">
      <w:pPr>
        <w:pStyle w:val="ListParagraph"/>
        <w:spacing w:line="360" w:lineRule="auto"/>
        <w:jc w:val="both"/>
        <w:rPr>
          <w:sz w:val="12"/>
          <w:szCs w:val="12"/>
        </w:rPr>
      </w:pPr>
    </w:p>
    <w:p w14:paraId="5CF1089E" w14:textId="77777777" w:rsidR="008270E0" w:rsidRDefault="00BB4512">
      <w:pPr>
        <w:pStyle w:val="ListParagraph"/>
        <w:numPr>
          <w:ilvl w:val="0"/>
          <w:numId w:val="1"/>
        </w:numPr>
        <w:spacing w:line="360" w:lineRule="auto"/>
        <w:jc w:val="both"/>
      </w:pPr>
      <w:r>
        <w:rPr>
          <w:rFonts w:hint="cs"/>
          <w:rtl/>
        </w:rPr>
        <w:t xml:space="preserve">קצינת המבחן המליצה לאור לקיחת האחריות, הבעת החרטה, ההתרשמות כי מדובר במקרה חריג שאינו מאפיין את אורח חייו של הנאשם, להטיל עליו צו שירות לתועלת </w:t>
      </w:r>
      <w:r>
        <w:rPr>
          <w:rFonts w:hint="cs"/>
          <w:rtl/>
        </w:rPr>
        <w:lastRenderedPageBreak/>
        <w:t xml:space="preserve">הציבור בהיקף של 140 שעות ואם בית המשפט יראה לנכון להטיל על הנאשם עונש של מאסר, הרי שירוצה בעבודות שירות לתקופה קצרה. </w:t>
      </w:r>
    </w:p>
    <w:p w14:paraId="25E48CC3" w14:textId="77777777" w:rsidR="008270E0" w:rsidRDefault="008270E0">
      <w:pPr>
        <w:pStyle w:val="ListParagraph"/>
        <w:spacing w:line="360" w:lineRule="auto"/>
        <w:jc w:val="both"/>
        <w:rPr>
          <w:sz w:val="12"/>
          <w:szCs w:val="12"/>
        </w:rPr>
      </w:pPr>
    </w:p>
    <w:p w14:paraId="4BF8D5E1" w14:textId="77777777" w:rsidR="008270E0" w:rsidRDefault="00BB4512">
      <w:pPr>
        <w:pStyle w:val="ListParagraph"/>
        <w:numPr>
          <w:ilvl w:val="0"/>
          <w:numId w:val="1"/>
        </w:numPr>
        <w:spacing w:line="360" w:lineRule="auto"/>
        <w:jc w:val="both"/>
      </w:pPr>
      <w:r>
        <w:rPr>
          <w:rFonts w:hint="cs"/>
          <w:rtl/>
        </w:rPr>
        <w:t xml:space="preserve">כדי שהתמונה תהיה שלימה לפני בית המשפט, נשלח הנאשם אף לממונה על עבודות השירות. חוות הדעת לא התקבלה מאחר שהנאשם לא המציא לידי הממונה מסמכים רפואיים, זאת בשל קושי כלכלי להציג מסמכים אלה לפני הממונה, שכן הוא אינו חבר קופת חולים ועם כן יהא עליו לממן באופן פרטי בדיקה זו. </w:t>
      </w:r>
    </w:p>
    <w:p w14:paraId="2431E5B1" w14:textId="77777777" w:rsidR="008270E0" w:rsidRDefault="008270E0">
      <w:pPr>
        <w:pStyle w:val="ListParagraph"/>
        <w:spacing w:line="360" w:lineRule="auto"/>
        <w:jc w:val="both"/>
        <w:rPr>
          <w:sz w:val="12"/>
          <w:szCs w:val="12"/>
        </w:rPr>
      </w:pPr>
    </w:p>
    <w:p w14:paraId="29457FAF" w14:textId="77777777" w:rsidR="008270E0" w:rsidRDefault="00BB4512">
      <w:pPr>
        <w:pStyle w:val="ListParagraph"/>
        <w:numPr>
          <w:ilvl w:val="0"/>
          <w:numId w:val="1"/>
        </w:numPr>
        <w:spacing w:line="360" w:lineRule="auto"/>
        <w:jc w:val="both"/>
      </w:pPr>
      <w:r>
        <w:rPr>
          <w:rFonts w:hint="cs"/>
          <w:rtl/>
        </w:rPr>
        <w:t xml:space="preserve">מאחר שהנאשם לא נמצא מתאים לעבודות שירות המאשימה הודיעה כי תעתור להטלת עונש מאסר ממש. הנאשם ביקש לחזור בו מהסדר הטיעון, אולם לאחר שבית המשפט הסביר לו את משמעות הודאתו במשטרה ובבית המשפט ומהות הסדר הטיעון, החליט הנאשם שלא לחזור בו מהודאתו. ב"כ הנאשם מסר שהנאשם יתאים לעבודות שירות, שכן הוא אדם עובד ונמצא מתאים לבצע שירות לתועלת הציבור, ואם בית משפט יסבור שזה העונש המתאים, הרי שהנאשם ישלם את הסכום הנדרש לצורך קבלת האישורים הרפואיים והצגתם לממונה. לפיכך ביקש ב"כ הנאשם  מב"כ המאשימה לחזור להסדר הטיעון ולעתור לעונש של עבודות שירות. </w:t>
      </w:r>
    </w:p>
    <w:p w14:paraId="6A4021E1" w14:textId="77777777" w:rsidR="008270E0" w:rsidRDefault="008270E0">
      <w:pPr>
        <w:spacing w:line="360" w:lineRule="auto"/>
        <w:ind w:left="360"/>
        <w:jc w:val="both"/>
        <w:rPr>
          <w:rtl/>
        </w:rPr>
      </w:pPr>
    </w:p>
    <w:p w14:paraId="3960B59E" w14:textId="77777777" w:rsidR="008270E0" w:rsidRDefault="00BB4512">
      <w:pPr>
        <w:spacing w:line="360" w:lineRule="auto"/>
        <w:ind w:left="360"/>
        <w:jc w:val="both"/>
        <w:rPr>
          <w:b/>
          <w:bCs/>
          <w:u w:val="single"/>
          <w:rtl/>
        </w:rPr>
      </w:pPr>
      <w:r>
        <w:rPr>
          <w:rFonts w:hint="cs"/>
          <w:b/>
          <w:bCs/>
          <w:u w:val="single"/>
          <w:rtl/>
        </w:rPr>
        <w:t>טענות הצדדים</w:t>
      </w:r>
    </w:p>
    <w:p w14:paraId="4E24320F" w14:textId="77777777" w:rsidR="008270E0" w:rsidRDefault="00BB4512">
      <w:pPr>
        <w:pStyle w:val="ListParagraph"/>
        <w:numPr>
          <w:ilvl w:val="0"/>
          <w:numId w:val="1"/>
        </w:numPr>
        <w:spacing w:line="360" w:lineRule="auto"/>
        <w:jc w:val="both"/>
      </w:pPr>
      <w:r>
        <w:rPr>
          <w:rFonts w:hint="cs"/>
          <w:rtl/>
        </w:rPr>
        <w:t xml:space="preserve">ב"כ המאשימה מסרה שמאחר שהנאשם לא נמצא מתאים לבצע עבודות שירות, למרות הזדמנויות חוזרות שניתנו לו, היא תעתור לעונש של מאסר. ב"כ המאשימה ציינה כי הנאשם פגע בערכים חברתיים של שמירה על הסדר הציבורי, שמירה על ביטחון הציבור, הגנה על שלימות גופו של אדם, שכן שימוש לא חוקי בנשק עלול לפגוע בחפים מפשע והסיכון הוא רב, בוודאי על ידי מי שאינם מיומנים ומורשים להחזיק בנשק. לא בכדי קבע המחוקק עונש של עד 7 שנות מאסר לצד עבירה זו. אשר לנסיבות ביצוע העבירה טענה ב"כ המאשימה כי גם אם מדובר ברימון הלם, הרי שיש בו סכנה לפגיעה גופנית, כאשר הוא מוחזק ללא אמצעי בטיחות. </w:t>
      </w:r>
    </w:p>
    <w:p w14:paraId="5DA1441C" w14:textId="77777777" w:rsidR="008270E0" w:rsidRDefault="008270E0">
      <w:pPr>
        <w:pStyle w:val="ListParagraph"/>
        <w:spacing w:line="360" w:lineRule="auto"/>
        <w:jc w:val="both"/>
        <w:rPr>
          <w:sz w:val="12"/>
          <w:szCs w:val="12"/>
        </w:rPr>
      </w:pPr>
    </w:p>
    <w:p w14:paraId="0EBEDE23" w14:textId="77777777" w:rsidR="008270E0" w:rsidRDefault="00BB4512">
      <w:pPr>
        <w:pStyle w:val="ListParagraph"/>
        <w:numPr>
          <w:ilvl w:val="0"/>
          <w:numId w:val="1"/>
        </w:numPr>
        <w:spacing w:line="360" w:lineRule="auto"/>
        <w:jc w:val="both"/>
      </w:pPr>
      <w:r>
        <w:rPr>
          <w:rFonts w:hint="cs"/>
          <w:rtl/>
        </w:rPr>
        <w:t>מנגד ציינה ב"כ המאשימה כי אין מדובר בנשק המיועד לפי טיבו לפגיעה בנפש ובסופו של יום לא נגרם נזק ממשי בשל החזקתו. לפיכך סברה ב"כ המאשימה שמתחם העונש ההולם הוא בין מאסר שירוצה בעבודות שירות לבין מאסר ממושך והפנתה לת"פ 3085/09.</w:t>
      </w:r>
    </w:p>
    <w:p w14:paraId="4B5C90C6" w14:textId="77777777" w:rsidR="008270E0" w:rsidRDefault="008270E0">
      <w:pPr>
        <w:pStyle w:val="ListParagraph"/>
        <w:spacing w:line="360" w:lineRule="auto"/>
        <w:jc w:val="both"/>
        <w:rPr>
          <w:sz w:val="12"/>
          <w:szCs w:val="12"/>
        </w:rPr>
      </w:pPr>
    </w:p>
    <w:p w14:paraId="392ACE47" w14:textId="77777777" w:rsidR="008270E0" w:rsidRDefault="00BB4512">
      <w:pPr>
        <w:pStyle w:val="ListParagraph"/>
        <w:numPr>
          <w:ilvl w:val="0"/>
          <w:numId w:val="1"/>
        </w:numPr>
        <w:spacing w:line="360" w:lineRule="auto"/>
        <w:jc w:val="both"/>
      </w:pPr>
      <w:r>
        <w:rPr>
          <w:rFonts w:hint="cs"/>
          <w:rtl/>
        </w:rPr>
        <w:t xml:space="preserve">ב"כ המאשימה הוסיפה והדגישה כי אין מדובר במקרה בו יש לחרוג ממתחם העונש ההולם מטעמי שיקום מאחר ואין אינדיקציה לכך בתסקיר. עוד ביקשה ב"כ המאשימה להתחשב בעברו הפלילי של הנאשם שאומנם הוא ישן אך יש לתת לו משקל מסוים, וכן יש להתחשב בכך שהנאשם הודה רק לאחר שהעדים התייצבו בבית המשפט. עוד הוסיפה ב"כ המאשימה כי הנאשם לא שיתף פעולה עם הממונה על עבודות השירות, ואף נעדר בהמשך מדיונים רבים והתייצב לדיון רק בעקבות צו הבאה. אשר על כן, ב"כ המאשימה עתרה לעונש מאסר בפועל של מספר חודשים. </w:t>
      </w:r>
    </w:p>
    <w:p w14:paraId="3A38452C" w14:textId="77777777" w:rsidR="008270E0" w:rsidRDefault="008270E0">
      <w:pPr>
        <w:pStyle w:val="ListParagraph"/>
        <w:spacing w:line="360" w:lineRule="auto"/>
        <w:jc w:val="both"/>
        <w:rPr>
          <w:sz w:val="12"/>
          <w:szCs w:val="12"/>
        </w:rPr>
      </w:pPr>
    </w:p>
    <w:p w14:paraId="1BC2787C" w14:textId="77777777" w:rsidR="008270E0" w:rsidRDefault="00BB4512">
      <w:pPr>
        <w:pStyle w:val="ListParagraph"/>
        <w:numPr>
          <w:ilvl w:val="0"/>
          <w:numId w:val="1"/>
        </w:numPr>
        <w:spacing w:line="360" w:lineRule="auto"/>
        <w:jc w:val="both"/>
      </w:pPr>
      <w:r>
        <w:rPr>
          <w:rFonts w:hint="cs"/>
          <w:rtl/>
        </w:rPr>
        <w:t>ב"כ הנאשם הדגיש כי הנאשם הודה, לקח אחריות, פירק את הרימון כך שלא היה בו פוטנציאל מסוכנות, מדובר ברימון הלם שנועד לייצר רעש והנזק יכול להיגרם אם משתמשים בו באופן לא נכון, אין ראיות להכנת מעשה כזה או אחר, והרימון לא הוחזק בנסיבות עברייניות. לכן לדידו, מתחם הענישה צריך להיות ברף התחתון ביותר. ב"כ הנאשם סבר כי המתחם נע בין ממאסר מותנה וצו שירות לתועלת הציבור בהיקף מצומצם ועד למאסר שירוצה בעבודות שירות לתקופה קצרה וביקש להטיל על הנאשם עונש ברף התחתון של המתחם.</w:t>
      </w:r>
    </w:p>
    <w:p w14:paraId="0E94FC2D" w14:textId="77777777" w:rsidR="008270E0" w:rsidRDefault="008270E0">
      <w:pPr>
        <w:pStyle w:val="ListParagraph"/>
        <w:spacing w:line="360" w:lineRule="auto"/>
        <w:jc w:val="both"/>
        <w:rPr>
          <w:sz w:val="12"/>
          <w:szCs w:val="12"/>
        </w:rPr>
      </w:pPr>
    </w:p>
    <w:p w14:paraId="049AF6A2" w14:textId="77777777" w:rsidR="008270E0" w:rsidRDefault="00BB4512">
      <w:pPr>
        <w:pStyle w:val="ListParagraph"/>
        <w:numPr>
          <w:ilvl w:val="0"/>
          <w:numId w:val="1"/>
        </w:numPr>
        <w:spacing w:line="360" w:lineRule="auto"/>
        <w:jc w:val="both"/>
      </w:pPr>
      <w:r>
        <w:rPr>
          <w:rFonts w:hint="cs"/>
          <w:rtl/>
        </w:rPr>
        <w:t xml:space="preserve"> אשר לעברו הפלילי של הנאשם טען ב"כ הנאשם כי מדובר בעבר ישן, על החזקת סמים בכמות מזערית. הנאשם שיתף פעולה עם שירות המבחן באופן מלא, נמצא מתאים לבצע שירות לתועלת הציבור וביקש לאמץ את המלצת שירות המבחן. </w:t>
      </w:r>
    </w:p>
    <w:p w14:paraId="47F465BD" w14:textId="77777777" w:rsidR="008270E0" w:rsidRDefault="008270E0">
      <w:pPr>
        <w:pStyle w:val="ListParagraph"/>
        <w:spacing w:line="360" w:lineRule="auto"/>
        <w:jc w:val="both"/>
        <w:rPr>
          <w:sz w:val="12"/>
          <w:szCs w:val="12"/>
        </w:rPr>
      </w:pPr>
    </w:p>
    <w:p w14:paraId="05EFE90B" w14:textId="77777777" w:rsidR="008270E0" w:rsidRDefault="00BB4512">
      <w:pPr>
        <w:pStyle w:val="ListParagraph"/>
        <w:numPr>
          <w:ilvl w:val="0"/>
          <w:numId w:val="1"/>
        </w:numPr>
        <w:spacing w:line="360" w:lineRule="auto"/>
        <w:jc w:val="both"/>
      </w:pPr>
      <w:r>
        <w:rPr>
          <w:rFonts w:hint="cs"/>
          <w:rtl/>
        </w:rPr>
        <w:t xml:space="preserve">הנאשם ציין כי שיתף פעולה עם הרשויות מראשית החקירה, ענה לשאלות באופן פתוח ומלא למרות שלא נכח בעת החיפוש בביתו. </w:t>
      </w:r>
    </w:p>
    <w:p w14:paraId="5FCBF541" w14:textId="77777777" w:rsidR="008270E0" w:rsidRDefault="008270E0">
      <w:pPr>
        <w:pStyle w:val="ListParagraph"/>
        <w:spacing w:line="360" w:lineRule="auto"/>
        <w:jc w:val="both"/>
      </w:pPr>
    </w:p>
    <w:p w14:paraId="2E8CA98A" w14:textId="77777777" w:rsidR="008270E0" w:rsidRDefault="00BB4512">
      <w:pPr>
        <w:spacing w:line="360" w:lineRule="auto"/>
        <w:ind w:left="360"/>
        <w:jc w:val="both"/>
        <w:rPr>
          <w:b/>
          <w:bCs/>
          <w:rtl/>
        </w:rPr>
      </w:pPr>
      <w:r>
        <w:rPr>
          <w:rFonts w:hint="cs"/>
          <w:b/>
          <w:bCs/>
          <w:u w:val="single"/>
          <w:rtl/>
        </w:rPr>
        <w:t>קביעת מתחם העונש ההולם</w:t>
      </w:r>
    </w:p>
    <w:p w14:paraId="6550CE53" w14:textId="77777777" w:rsidR="008270E0" w:rsidRDefault="00BB4512">
      <w:pPr>
        <w:pStyle w:val="ListParagraph"/>
        <w:numPr>
          <w:ilvl w:val="0"/>
          <w:numId w:val="1"/>
        </w:numPr>
        <w:spacing w:line="360" w:lineRule="auto"/>
        <w:jc w:val="both"/>
        <w:rPr>
          <w:b/>
          <w:bCs/>
          <w:u w:val="single"/>
          <w:rtl/>
        </w:rPr>
      </w:pPr>
      <w:r>
        <w:rPr>
          <w:rFonts w:hint="cs"/>
          <w:rtl/>
        </w:rPr>
        <w:t xml:space="preserve">קביעת מתחם העונש ההולם נעשית בהתאם לעקרון המנחה בענישה, דהיינו קיומו של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הנוהגת ובנסיבות הקשורות בביצוע העבירה. </w:t>
      </w:r>
    </w:p>
    <w:p w14:paraId="68083305" w14:textId="77777777" w:rsidR="008270E0" w:rsidRDefault="008270E0">
      <w:pPr>
        <w:spacing w:line="360" w:lineRule="auto"/>
        <w:ind w:left="720"/>
        <w:jc w:val="both"/>
        <w:rPr>
          <w:sz w:val="12"/>
          <w:szCs w:val="12"/>
        </w:rPr>
      </w:pPr>
    </w:p>
    <w:p w14:paraId="1D9A4419" w14:textId="77777777" w:rsidR="008270E0" w:rsidRDefault="00BB4512">
      <w:pPr>
        <w:pStyle w:val="ListParagraph"/>
        <w:numPr>
          <w:ilvl w:val="0"/>
          <w:numId w:val="1"/>
        </w:numPr>
        <w:spacing w:line="360" w:lineRule="auto"/>
        <w:jc w:val="both"/>
      </w:pPr>
      <w:r>
        <w:rPr>
          <w:rFonts w:hint="cs"/>
          <w:rtl/>
        </w:rPr>
        <w:t xml:space="preserve">הערכים החברתיים עליהם יש להגן מפני אלה המבצעים עבירות בנשק, </w:t>
      </w:r>
      <w:r>
        <w:rPr>
          <w:rFonts w:hint="cs"/>
          <w:rtl/>
          <w:lang w:eastAsia="he-IL"/>
        </w:rPr>
        <w:t>הם ערכים של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כפי שהדגיש כב' השופט זילברטל  ב</w:t>
      </w:r>
      <w:hyperlink r:id="rId13" w:history="1">
        <w:r w:rsidRPr="00BB4512">
          <w:rPr>
            <w:color w:val="0000FF"/>
            <w:u w:val="single"/>
            <w:rtl/>
            <w:lang w:eastAsia="he-IL"/>
          </w:rPr>
          <w:t>ע"פ 6989/13</w:t>
        </w:r>
      </w:hyperlink>
      <w:r>
        <w:rPr>
          <w:rFonts w:hint="cs"/>
          <w:rtl/>
          <w:lang w:eastAsia="he-IL"/>
        </w:rPr>
        <w:t xml:space="preserve"> </w:t>
      </w:r>
      <w:r>
        <w:rPr>
          <w:rFonts w:hint="cs"/>
          <w:b/>
          <w:bCs/>
          <w:rtl/>
          <w:lang w:eastAsia="he-IL"/>
        </w:rPr>
        <w:t xml:space="preserve">פרח נ' מדינת ישראל </w:t>
      </w:r>
      <w:r w:rsidR="00EA103F" w:rsidRPr="00EA103F">
        <w:rPr>
          <w:sz w:val="22"/>
          <w:rtl/>
          <w:lang w:eastAsia="he-IL"/>
        </w:rPr>
        <w:t xml:space="preserve">[פורסם בנבו] </w:t>
      </w:r>
      <w:r>
        <w:rPr>
          <w:rFonts w:hint="cs"/>
          <w:rtl/>
          <w:lang w:eastAsia="he-IL"/>
        </w:rPr>
        <w:t xml:space="preserve">(מיום 25.2.14): </w:t>
      </w:r>
    </w:p>
    <w:p w14:paraId="42334188" w14:textId="77777777" w:rsidR="008270E0" w:rsidRDefault="008270E0">
      <w:pPr>
        <w:pStyle w:val="ListParagraph"/>
        <w:rPr>
          <w:b/>
          <w:bCs/>
          <w:sz w:val="12"/>
          <w:szCs w:val="12"/>
        </w:rPr>
      </w:pPr>
    </w:p>
    <w:p w14:paraId="4365DF10" w14:textId="77777777" w:rsidR="008270E0" w:rsidRDefault="00BB4512">
      <w:pPr>
        <w:pStyle w:val="ListParagraph"/>
        <w:spacing w:line="360" w:lineRule="auto"/>
        <w:ind w:left="1650" w:right="709"/>
        <w:jc w:val="both"/>
        <w:rPr>
          <w:rtl/>
        </w:rPr>
      </w:pPr>
      <w:r>
        <w:rPr>
          <w:rFonts w:hint="cs"/>
          <w:b/>
          <w:bCs/>
          <w:rt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 (</w:t>
      </w:r>
      <w:hyperlink r:id="rId14" w:history="1">
        <w:r w:rsidRPr="00BB4512">
          <w:rPr>
            <w:b/>
            <w:bCs/>
            <w:color w:val="0000FF"/>
            <w:u w:val="single"/>
            <w:rtl/>
          </w:rPr>
          <w:t>ע"פ 3156/11</w:t>
        </w:r>
      </w:hyperlink>
      <w:r>
        <w:rPr>
          <w:rFonts w:hint="cs"/>
          <w:b/>
          <w:bCs/>
          <w:rtl/>
        </w:rPr>
        <w:t xml:space="preserve"> זראיעה נ' מדינת ישראל, </w:t>
      </w:r>
      <w:r w:rsidR="00EA103F" w:rsidRPr="00EA103F">
        <w:rPr>
          <w:sz w:val="22"/>
          <w:rtl/>
        </w:rPr>
        <w:t xml:space="preserve">[פורסם בנבו] </w:t>
      </w:r>
      <w:r>
        <w:rPr>
          <w:rFonts w:hint="cs"/>
          <w:b/>
          <w:bCs/>
          <w:rtl/>
        </w:rPr>
        <w:t>פסקה 5 (21.02.2012)). בהתאם, מדיניות הענישה הנהוגה בעבירות אלה היא מדיניות של ענישה מחמירה המחייבת בדרך כלל הטלת עונשי מאסר לריצוי בפועל גם על מי שזו הרשעתו הראשונה (</w:t>
      </w:r>
      <w:hyperlink r:id="rId15" w:history="1">
        <w:r w:rsidRPr="00BB4512">
          <w:rPr>
            <w:b/>
            <w:bCs/>
            <w:color w:val="0000FF"/>
            <w:u w:val="single"/>
            <w:rtl/>
          </w:rPr>
          <w:t>ע"פ 2006/12</w:t>
        </w:r>
      </w:hyperlink>
      <w:r>
        <w:rPr>
          <w:rFonts w:hint="cs"/>
          <w:b/>
          <w:bCs/>
          <w:rtl/>
        </w:rPr>
        <w:t xml:space="preserve"> מדינת ישראל נ' אסדי </w:t>
      </w:r>
      <w:r w:rsidR="00EA103F" w:rsidRPr="00EA103F">
        <w:rPr>
          <w:sz w:val="22"/>
          <w:rtl/>
        </w:rPr>
        <w:t xml:space="preserve">[פורסם בנבו] </w:t>
      </w:r>
      <w:r>
        <w:rPr>
          <w:rFonts w:hint="cs"/>
          <w:b/>
          <w:bCs/>
          <w:rtl/>
        </w:rPr>
        <w:t xml:space="preserve">(28.3.2012), (להלן: עניין אסדי); </w:t>
      </w:r>
      <w:hyperlink r:id="rId16" w:history="1">
        <w:r w:rsidRPr="00BB4512">
          <w:rPr>
            <w:b/>
            <w:bCs/>
            <w:color w:val="0000FF"/>
            <w:u w:val="single"/>
            <w:rtl/>
          </w:rPr>
          <w:t>ע"פ 7502/12</w:t>
        </w:r>
      </w:hyperlink>
      <w:r>
        <w:rPr>
          <w:rFonts w:hint="cs"/>
          <w:b/>
          <w:bCs/>
          <w:rtl/>
        </w:rPr>
        <w:t xml:space="preserve"> כוויס נ' מדינת ישראל, </w:t>
      </w:r>
      <w:r w:rsidR="00EA103F" w:rsidRPr="00EA103F">
        <w:rPr>
          <w:sz w:val="22"/>
          <w:rtl/>
        </w:rPr>
        <w:t xml:space="preserve">[פורסם בנבו] </w:t>
      </w:r>
      <w:r>
        <w:rPr>
          <w:rFonts w:hint="cs"/>
          <w:b/>
          <w:bCs/>
          <w:rtl/>
        </w:rPr>
        <w:t>פסקה 6 (25.6.2013))...אמנם באירוע הירי לא נגרם נזק אך אין בכך כדי להפחית מחומרת המעשה, שכן החומרה שבעבירות הנשק מתבטאת גם במה שעלול היה להתרחש (</w:t>
      </w:r>
      <w:hyperlink r:id="rId17" w:history="1">
        <w:r w:rsidRPr="00BB4512">
          <w:rPr>
            <w:b/>
            <w:bCs/>
            <w:color w:val="0000FF"/>
            <w:u w:val="single"/>
            <w:rtl/>
          </w:rPr>
          <w:t>ע"פ 116/13</w:t>
        </w:r>
      </w:hyperlink>
      <w:r>
        <w:rPr>
          <w:rFonts w:hint="cs"/>
          <w:b/>
          <w:bCs/>
          <w:rtl/>
        </w:rPr>
        <w:t xml:space="preserve"> ועקנין נ' מדינת ישראל, </w:t>
      </w:r>
      <w:r w:rsidR="00EA103F" w:rsidRPr="00EA103F">
        <w:rPr>
          <w:sz w:val="22"/>
          <w:rtl/>
        </w:rPr>
        <w:t xml:space="preserve">[פורסם בנבו] </w:t>
      </w:r>
      <w:r>
        <w:rPr>
          <w:rFonts w:hint="cs"/>
          <w:b/>
          <w:bCs/>
          <w:rtl/>
        </w:rPr>
        <w:t>פסקה 7 (‏31.7.2013))".</w:t>
      </w:r>
      <w:r>
        <w:rPr>
          <w:rFonts w:hint="cs"/>
          <w:rtl/>
        </w:rPr>
        <w:t xml:space="preserve"> </w:t>
      </w:r>
    </w:p>
    <w:p w14:paraId="362B4ECA" w14:textId="77777777" w:rsidR="008270E0" w:rsidRDefault="008270E0">
      <w:pPr>
        <w:pStyle w:val="ListParagraph"/>
        <w:spacing w:line="360" w:lineRule="auto"/>
        <w:ind w:left="1650" w:right="709"/>
        <w:jc w:val="both"/>
        <w:rPr>
          <w:rtl/>
        </w:rPr>
      </w:pPr>
    </w:p>
    <w:p w14:paraId="367A7D64" w14:textId="77777777" w:rsidR="008270E0" w:rsidRDefault="00BB4512">
      <w:pPr>
        <w:pStyle w:val="ListParagraph"/>
        <w:numPr>
          <w:ilvl w:val="0"/>
          <w:numId w:val="1"/>
        </w:numPr>
        <w:spacing w:line="360" w:lineRule="auto"/>
        <w:jc w:val="both"/>
      </w:pPr>
      <w:r>
        <w:rPr>
          <w:rFonts w:hint="cs"/>
          <w:rtl/>
          <w:lang w:eastAsia="he-IL"/>
        </w:rPr>
        <w:t>אשר לנסיבות ביצוע העבירה קבעה כב' השופטת ארבל ב</w:t>
      </w:r>
      <w:hyperlink r:id="rId18" w:history="1">
        <w:r w:rsidR="00EA103F" w:rsidRPr="00EA103F">
          <w:rPr>
            <w:color w:val="0000FF"/>
            <w:u w:val="single"/>
            <w:rtl/>
            <w:lang w:eastAsia="he-IL"/>
          </w:rPr>
          <w:t>ע"פ 1232/13</w:t>
        </w:r>
      </w:hyperlink>
      <w:r>
        <w:rPr>
          <w:rFonts w:hint="cs"/>
          <w:rtl/>
          <w:lang w:eastAsia="he-IL"/>
        </w:rPr>
        <w:t xml:space="preserve">  </w:t>
      </w:r>
      <w:r>
        <w:rPr>
          <w:rFonts w:hint="cs"/>
          <w:b/>
          <w:bCs/>
          <w:rtl/>
          <w:lang w:eastAsia="he-IL"/>
        </w:rPr>
        <w:t xml:space="preserve">חסן נ' מדינת ישראל </w:t>
      </w:r>
      <w:r w:rsidR="00EA103F" w:rsidRPr="00EA103F">
        <w:rPr>
          <w:sz w:val="22"/>
          <w:rtl/>
          <w:lang w:eastAsia="he-IL"/>
        </w:rPr>
        <w:t xml:space="preserve">[פורסם בנבו] </w:t>
      </w:r>
      <w:r>
        <w:rPr>
          <w:rFonts w:hint="cs"/>
          <w:rtl/>
          <w:lang w:eastAsia="he-IL"/>
        </w:rPr>
        <w:t xml:space="preserve">(מיום 5.6.13) באשר לסחר ברימון הלם, כי מדובר בסוג נשק במדרג חומרה נמוך: </w:t>
      </w:r>
    </w:p>
    <w:p w14:paraId="14292F49" w14:textId="77777777" w:rsidR="008270E0" w:rsidRDefault="008270E0">
      <w:pPr>
        <w:pStyle w:val="ListParagraph"/>
        <w:spacing w:line="360" w:lineRule="auto"/>
        <w:jc w:val="both"/>
        <w:rPr>
          <w:sz w:val="12"/>
          <w:szCs w:val="12"/>
        </w:rPr>
      </w:pPr>
    </w:p>
    <w:p w14:paraId="0B07C1B7" w14:textId="77777777" w:rsidR="008270E0" w:rsidRDefault="00BB4512">
      <w:pPr>
        <w:pStyle w:val="ListParagraph"/>
        <w:spacing w:line="360" w:lineRule="auto"/>
        <w:ind w:left="1650" w:right="709"/>
        <w:jc w:val="both"/>
        <w:rPr>
          <w:b/>
          <w:bCs/>
          <w:rtl/>
        </w:rPr>
      </w:pPr>
      <w:r>
        <w:rPr>
          <w:rFonts w:hint="cs"/>
          <w:b/>
          <w:bCs/>
          <w:rtl/>
        </w:rPr>
        <w:t xml:space="preserve">"...שאחרי ככלות הכל, מדובר בסחר בנשק הנמצא באחת הדיוטות הנמוכות שבסולם החומרה. אינני מקלה ראש בנזק הפוטנציאלי הטמון בסוג נשק זה, ואף על פי כן מדובר בנשק שנועד לטשטש אדם ולהכניסו למצב של הלם והגם שיש בכוחו לגרום נזק, אין הוא מסוג כלי הנשק שיכול להביא להרג ללא הבחנה. זאת ועוד, מדובר בסחר בפריט בודד שהגיע בסופו של דבר לידיו של סוכן סמוי ומכאן שלא אירע נזק בפועל...ואולם עדיין לא מצאתי הצדקה להתערב במתחם שנקבע, זאת בהתחשב במגמה המתחייבת של החמרה בענישה בעבירות נשק, המיושמת בפסיקה בשנים האחרונות (ראו, למשל: </w:t>
      </w:r>
      <w:hyperlink r:id="rId19" w:history="1">
        <w:r w:rsidRPr="00BB4512">
          <w:rPr>
            <w:color w:val="0000FF"/>
            <w:u w:val="single"/>
            <w:rtl/>
          </w:rPr>
          <w:t>ע"פ 2251/11</w:t>
        </w:r>
      </w:hyperlink>
      <w:r>
        <w:rPr>
          <w:rFonts w:hint="cs"/>
          <w:b/>
          <w:bCs/>
          <w:rtl/>
        </w:rPr>
        <w:t xml:space="preserve"> נפאע נ' מדינת ישראל [פורסם בנבו] (4.12.11); </w:t>
      </w:r>
      <w:hyperlink r:id="rId20" w:history="1">
        <w:r w:rsidRPr="00BB4512">
          <w:rPr>
            <w:color w:val="0000FF"/>
            <w:u w:val="single"/>
            <w:rtl/>
          </w:rPr>
          <w:t>ע"פ 4450/11</w:t>
        </w:r>
      </w:hyperlink>
      <w:r>
        <w:rPr>
          <w:rFonts w:hint="cs"/>
          <w:b/>
          <w:bCs/>
          <w:rtl/>
        </w:rPr>
        <w:t xml:space="preserve"> עספור נ' מדינת ישראל [פורסם בנבו] (8.2.12)), מגמה הזוכה לתמיכתי המלאה. 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w:t>
      </w:r>
    </w:p>
    <w:p w14:paraId="439F33D1" w14:textId="77777777" w:rsidR="008270E0" w:rsidRDefault="008270E0">
      <w:pPr>
        <w:pStyle w:val="ListParagraph"/>
        <w:spacing w:line="360" w:lineRule="auto"/>
        <w:ind w:left="1650" w:right="709"/>
        <w:jc w:val="both"/>
        <w:rPr>
          <w:sz w:val="12"/>
          <w:szCs w:val="12"/>
          <w:rtl/>
        </w:rPr>
      </w:pPr>
    </w:p>
    <w:p w14:paraId="4D93A474" w14:textId="77777777" w:rsidR="008270E0" w:rsidRDefault="008270E0">
      <w:pPr>
        <w:spacing w:line="360" w:lineRule="auto"/>
        <w:ind w:right="709"/>
        <w:jc w:val="both"/>
        <w:rPr>
          <w:sz w:val="12"/>
          <w:szCs w:val="12"/>
          <w:rtl/>
        </w:rPr>
      </w:pPr>
    </w:p>
    <w:p w14:paraId="3418D394" w14:textId="77777777" w:rsidR="008270E0" w:rsidRDefault="00BB4512">
      <w:pPr>
        <w:pStyle w:val="ListParagraph"/>
        <w:numPr>
          <w:ilvl w:val="0"/>
          <w:numId w:val="1"/>
        </w:numPr>
        <w:spacing w:line="360" w:lineRule="auto"/>
        <w:jc w:val="both"/>
        <w:rPr>
          <w:b/>
          <w:bCs/>
          <w:rtl/>
        </w:rPr>
      </w:pPr>
      <w:r>
        <w:rPr>
          <w:rFonts w:hint="cs"/>
          <w:rtl/>
        </w:rPr>
        <w:t>בחינת מידת הפגיעה בערך המוגן</w:t>
      </w:r>
      <w:r>
        <w:rPr>
          <w:rFonts w:hint="cs"/>
          <w:b/>
          <w:bCs/>
          <w:rtl/>
        </w:rPr>
        <w:t xml:space="preserve"> </w:t>
      </w:r>
      <w:r>
        <w:rPr>
          <w:rFonts w:hint="cs"/>
          <w:rtl/>
        </w:rPr>
        <w:t xml:space="preserve">מובילה למסקנה כי הפגיעה במקרה הנדון אינה במדרג גבוה. אין להתעלם מכך שהנסיבות במקרה הנדון שונות באופן מובהק מהנסיבות האופייניות של החזקת נשק שלא כדין. לא מדובר בנאשם שהחזיק ברשותו נשק באופן מתוכנן ומודע, אלא באדם שמצא את הרימון, פרק אותו כך שלא יהווה סכנה והסתיר אותו בארונו ולא במקום מסתור מיוחד. </w:t>
      </w:r>
    </w:p>
    <w:p w14:paraId="37799BA6" w14:textId="77777777" w:rsidR="008270E0" w:rsidRDefault="008270E0">
      <w:pPr>
        <w:pStyle w:val="ListParagraph"/>
        <w:spacing w:line="360" w:lineRule="auto"/>
        <w:ind w:left="1080"/>
        <w:jc w:val="both"/>
        <w:rPr>
          <w:b/>
          <w:bCs/>
          <w:sz w:val="12"/>
          <w:szCs w:val="12"/>
        </w:rPr>
      </w:pPr>
    </w:p>
    <w:p w14:paraId="4F5502B3" w14:textId="77777777" w:rsidR="008270E0" w:rsidRDefault="00BB4512">
      <w:pPr>
        <w:pStyle w:val="ListParagraph"/>
        <w:numPr>
          <w:ilvl w:val="0"/>
          <w:numId w:val="1"/>
        </w:numPr>
        <w:spacing w:line="360" w:lineRule="auto"/>
        <w:jc w:val="both"/>
        <w:rPr>
          <w:sz w:val="12"/>
          <w:szCs w:val="12"/>
        </w:rPr>
      </w:pPr>
      <w:r>
        <w:rPr>
          <w:rFonts w:hint="cs"/>
          <w:rtl/>
        </w:rPr>
        <w:t>יוער כי במקרים בהם נסיבות החזקת הנשק היו מכוונות או עלומות, בין אם נעשה בנשק שימוש בין אם לאו הרי מתחם העונש ההולם נע בין מאסר שירוצה בעבודות שירות ועד ל-10 חודשי מאסר. (ר' ת"פ 3085-09 שניתן על ידי חברתי כבוד השופטת לקח וההפניות שם בסעיפים 6-7 לגזר הדין). אולם הנסיבות שהובילו לביצוע העבירות, כפי שפורטו לעיל, הן שונות הן באשר לנסיבות שהובילו לביצוע העבירה והן באשר למצבו של הנשק.</w:t>
      </w:r>
    </w:p>
    <w:p w14:paraId="0B556D3D" w14:textId="77777777" w:rsidR="008270E0" w:rsidRDefault="008270E0">
      <w:pPr>
        <w:pStyle w:val="ListParagraph"/>
        <w:spacing w:line="360" w:lineRule="auto"/>
        <w:jc w:val="both"/>
        <w:rPr>
          <w:sz w:val="12"/>
          <w:szCs w:val="12"/>
        </w:rPr>
      </w:pPr>
    </w:p>
    <w:p w14:paraId="674C7953" w14:textId="77777777" w:rsidR="008270E0" w:rsidRDefault="008270E0">
      <w:pPr>
        <w:spacing w:line="360" w:lineRule="auto"/>
        <w:ind w:left="720"/>
        <w:jc w:val="both"/>
        <w:rPr>
          <w:sz w:val="12"/>
          <w:szCs w:val="12"/>
        </w:rPr>
      </w:pPr>
    </w:p>
    <w:p w14:paraId="7BD75FE2" w14:textId="77777777" w:rsidR="008270E0" w:rsidRDefault="00BB4512">
      <w:pPr>
        <w:pStyle w:val="ListParagraph"/>
        <w:numPr>
          <w:ilvl w:val="0"/>
          <w:numId w:val="1"/>
        </w:numPr>
        <w:spacing w:line="360" w:lineRule="auto"/>
        <w:jc w:val="both"/>
      </w:pPr>
      <w:r>
        <w:rPr>
          <w:rFonts w:hint="cs"/>
          <w:rtl/>
        </w:rPr>
        <w:t>בהתאם לתיקון 113 ל</w:t>
      </w:r>
      <w:hyperlink r:id="rId21" w:history="1">
        <w:r w:rsidRPr="00BB4512">
          <w:rPr>
            <w:color w:val="0000FF"/>
            <w:u w:val="single"/>
            <w:rtl/>
          </w:rPr>
          <w:t>חוק העונשין</w:t>
        </w:r>
      </w:hyperlink>
      <w:r>
        <w:rPr>
          <w:rFonts w:hint="cs"/>
          <w:rtl/>
        </w:rPr>
        <w:t xml:space="preserve"> (</w:t>
      </w:r>
      <w:hyperlink r:id="rId22" w:history="1">
        <w:r w:rsidR="00C24483" w:rsidRPr="00C24483">
          <w:rPr>
            <w:rStyle w:val="Hyperlink"/>
            <w:rFonts w:hint="eastAsia"/>
            <w:rtl/>
          </w:rPr>
          <w:t>סעיף</w:t>
        </w:r>
        <w:r w:rsidR="00C24483" w:rsidRPr="00C24483">
          <w:rPr>
            <w:rStyle w:val="Hyperlink"/>
            <w:rtl/>
          </w:rPr>
          <w:t xml:space="preserve"> 40 יג</w:t>
        </w:r>
      </w:hyperlink>
      <w:r>
        <w:rPr>
          <w:rFonts w:hint="cs"/>
          <w:rtl/>
        </w:rPr>
        <w:t xml:space="preserve">), סבורני כי </w:t>
      </w:r>
      <w:r>
        <w:rPr>
          <w:rFonts w:hint="cs"/>
          <w:b/>
          <w:bCs/>
          <w:rtl/>
        </w:rPr>
        <w:t>מתחם העונש ההולם</w:t>
      </w:r>
      <w:r>
        <w:rPr>
          <w:rFonts w:hint="cs"/>
          <w:rtl/>
        </w:rPr>
        <w:t xml:space="preserve"> בנסיבות שפורטו לעיל נע בין שירות לתועלת הציבור בהיקף נרחב לבין מאסר של 6 חודשים. </w:t>
      </w:r>
    </w:p>
    <w:p w14:paraId="10864F2D" w14:textId="77777777" w:rsidR="008270E0" w:rsidRDefault="008270E0">
      <w:pPr>
        <w:spacing w:line="360" w:lineRule="auto"/>
        <w:jc w:val="both"/>
      </w:pPr>
    </w:p>
    <w:p w14:paraId="0B981E62" w14:textId="77777777" w:rsidR="008270E0" w:rsidRDefault="00BB4512">
      <w:pPr>
        <w:spacing w:line="360" w:lineRule="auto"/>
        <w:jc w:val="both"/>
        <w:rPr>
          <w:b/>
          <w:bCs/>
          <w:u w:val="single"/>
          <w:rtl/>
        </w:rPr>
      </w:pPr>
      <w:r>
        <w:rPr>
          <w:rFonts w:hint="cs"/>
          <w:b/>
          <w:bCs/>
          <w:u w:val="single"/>
          <w:rtl/>
        </w:rPr>
        <w:t xml:space="preserve">העונש המתאים </w:t>
      </w:r>
    </w:p>
    <w:p w14:paraId="65D24F72" w14:textId="77777777" w:rsidR="008270E0" w:rsidRDefault="00BB4512">
      <w:pPr>
        <w:pStyle w:val="ListParagraph"/>
        <w:numPr>
          <w:ilvl w:val="0"/>
          <w:numId w:val="1"/>
        </w:numPr>
        <w:spacing w:line="360" w:lineRule="auto"/>
        <w:jc w:val="both"/>
      </w:pPr>
      <w:r>
        <w:rPr>
          <w:rFonts w:hint="cs"/>
          <w:rtl/>
        </w:rPr>
        <w:t xml:space="preserve">בבואי לשקול את העונש המתאים לנאשם יש לשקול בין היתר את הנסיבות שאינן קשורות בביצוע העבירה אשר מפורטות </w:t>
      </w:r>
      <w:hyperlink r:id="rId23" w:history="1">
        <w:r w:rsidR="00C24483" w:rsidRPr="00C24483">
          <w:rPr>
            <w:rStyle w:val="Hyperlink"/>
            <w:rFonts w:hint="eastAsia"/>
            <w:rtl/>
          </w:rPr>
          <w:t>בסעיף</w:t>
        </w:r>
        <w:r w:rsidR="00C24483" w:rsidRPr="00C24483">
          <w:rPr>
            <w:rStyle w:val="Hyperlink"/>
            <w:rtl/>
          </w:rPr>
          <w:t xml:space="preserve"> 40יא.</w:t>
        </w:r>
      </w:hyperlink>
      <w:r>
        <w:rPr>
          <w:rFonts w:hint="cs"/>
          <w:rtl/>
        </w:rPr>
        <w:t xml:space="preserve"> </w:t>
      </w:r>
    </w:p>
    <w:p w14:paraId="503EAAF2" w14:textId="77777777" w:rsidR="008270E0" w:rsidRDefault="00BB4512">
      <w:pPr>
        <w:numPr>
          <w:ilvl w:val="0"/>
          <w:numId w:val="2"/>
        </w:numPr>
        <w:spacing w:before="240" w:after="240" w:line="360" w:lineRule="auto"/>
        <w:jc w:val="both"/>
      </w:pPr>
      <w:r>
        <w:rPr>
          <w:rFonts w:hint="cs"/>
          <w:b/>
          <w:bCs/>
          <w:rtl/>
        </w:rPr>
        <w:t xml:space="preserve">הפגיעה של העונש בנאשם ובמשפחתו – </w:t>
      </w:r>
      <w:r>
        <w:rPr>
          <w:rFonts w:hint="cs"/>
          <w:rtl/>
        </w:rPr>
        <w:t xml:space="preserve">אין ספק כי עונש של מאסר ולו בעבודות שירות יפגע בנאשם, שכן הוא עובד במקום עבודה קבוע, מצבו הכלכלי קשה עד כדי כך שהוא אינו מבוטח בביטוח בריאות והתקשה לממן אישור רפואי לממונה על עבודות השירות. הנאשם אף משלם את מזונותיה של בתו ומסייע לפרנסת אמו. </w:t>
      </w:r>
    </w:p>
    <w:p w14:paraId="0F30DA49" w14:textId="77777777" w:rsidR="008270E0" w:rsidRDefault="00BB4512">
      <w:pPr>
        <w:pStyle w:val="ListParagraph"/>
        <w:numPr>
          <w:ilvl w:val="0"/>
          <w:numId w:val="2"/>
        </w:numPr>
        <w:spacing w:line="360" w:lineRule="auto"/>
        <w:jc w:val="both"/>
      </w:pPr>
      <w:r>
        <w:rPr>
          <w:rFonts w:hint="cs"/>
          <w:b/>
          <w:bCs/>
          <w:rtl/>
        </w:rPr>
        <w:t>נטילת אחריות של הנאשם על מעשיו, וחזרתו למוטב או מאמציו לחזור למוטב ושיתוף הפעולה של הנאשם עם רשויות אכיפת החוק -</w:t>
      </w:r>
      <w:r>
        <w:rPr>
          <w:rFonts w:hint="cs"/>
          <w:rtl/>
        </w:rPr>
        <w:t xml:space="preserve"> הנאשם שיתף פעולה עם חוקריו והודה במיוחס לו עוד בשלב החקירה. הנאשם אף לקח אחריות למעשיו בבית המשפט והביע בפני קצינת המבחן חרטה כנה על המעשה והצר עליו.</w:t>
      </w:r>
    </w:p>
    <w:p w14:paraId="6032EA39" w14:textId="77777777" w:rsidR="008270E0" w:rsidRDefault="008270E0">
      <w:pPr>
        <w:pStyle w:val="ListParagraph"/>
        <w:rPr>
          <w:sz w:val="12"/>
          <w:szCs w:val="12"/>
        </w:rPr>
      </w:pPr>
    </w:p>
    <w:p w14:paraId="1C508665" w14:textId="77777777" w:rsidR="008270E0" w:rsidRDefault="00BB4512">
      <w:pPr>
        <w:pStyle w:val="ListParagraph"/>
        <w:numPr>
          <w:ilvl w:val="0"/>
          <w:numId w:val="2"/>
        </w:numPr>
        <w:spacing w:line="360" w:lineRule="auto"/>
        <w:jc w:val="both"/>
        <w:rPr>
          <w:rStyle w:val="default"/>
          <w:rtl/>
        </w:rPr>
      </w:pPr>
      <w:r>
        <w:rPr>
          <w:rFonts w:hint="cs"/>
          <w:b/>
          <w:bCs/>
          <w:rtl/>
        </w:rPr>
        <w:t xml:space="preserve">חלוף הזמן מאז ביצוע העבירה </w:t>
      </w:r>
      <w:r>
        <w:rPr>
          <w:rFonts w:hint="cs"/>
          <w:rtl/>
        </w:rPr>
        <w:t>– מאז ביצוע העבירות חלפו למעלה מארבע שנים. בתקופה זו הנאשם לא עבר עבירות נוספות.</w:t>
      </w:r>
    </w:p>
    <w:p w14:paraId="58408391" w14:textId="77777777" w:rsidR="008270E0" w:rsidRDefault="00BB4512">
      <w:pPr>
        <w:numPr>
          <w:ilvl w:val="0"/>
          <w:numId w:val="2"/>
        </w:numPr>
        <w:spacing w:before="240" w:after="240" w:line="360" w:lineRule="auto"/>
        <w:jc w:val="both"/>
        <w:rPr>
          <w:rStyle w:val="default"/>
        </w:rPr>
      </w:pPr>
      <w:r>
        <w:rPr>
          <w:rFonts w:hint="cs"/>
          <w:b/>
          <w:bCs/>
          <w:rtl/>
        </w:rPr>
        <w:t>עברו הפלילי של הנאשם או העדרו</w:t>
      </w:r>
      <w:r>
        <w:rPr>
          <w:rFonts w:hint="cs"/>
          <w:rtl/>
        </w:rPr>
        <w:t>- לנאשם שלוש הרשעות קודמות בעבירות של היעדרו</w:t>
      </w:r>
      <w:r>
        <w:rPr>
          <w:rFonts w:hint="eastAsia"/>
          <w:rtl/>
        </w:rPr>
        <w:t>ת</w:t>
      </w:r>
      <w:r>
        <w:rPr>
          <w:rFonts w:hint="cs"/>
          <w:rtl/>
        </w:rPr>
        <w:t xml:space="preserve"> משירות והחזקת סמים לצריכה עצמית. הרשעתו האחרונה היא משנת 2008.</w:t>
      </w:r>
    </w:p>
    <w:p w14:paraId="3E043854" w14:textId="77777777" w:rsidR="008270E0" w:rsidRDefault="00BB4512">
      <w:pPr>
        <w:pStyle w:val="ListParagraph"/>
        <w:numPr>
          <w:ilvl w:val="0"/>
          <w:numId w:val="1"/>
        </w:numPr>
        <w:spacing w:line="360" w:lineRule="auto"/>
        <w:jc w:val="both"/>
        <w:rPr>
          <w:rFonts w:ascii="David" w:hAnsi="David"/>
        </w:rPr>
      </w:pPr>
      <w:r>
        <w:rPr>
          <w:rFonts w:hint="cs"/>
          <w:rtl/>
        </w:rPr>
        <w:t xml:space="preserve">לאחר ששקלתי את הנסיבות לחומרה ולקולא מחד בצורך בהרתעת הרבים מפני החזקת נשק מסוג כלשהו, ומאידך בהתחשב בלקיחת האחריות, חלוף הזמן המשמעותי מביצוע העבירה, מצבו הכלכלי והמשפחתי של הנאשם ובהתחשב בהמלצת שירות המבחן החלטתי להטיל על הנאשם עונש ברף התחתון של המתחם ואני גוזרת עליו כדלקמן: </w:t>
      </w:r>
    </w:p>
    <w:p w14:paraId="42F1C283" w14:textId="77777777" w:rsidR="008270E0" w:rsidRDefault="00BB4512">
      <w:pPr>
        <w:numPr>
          <w:ilvl w:val="0"/>
          <w:numId w:val="3"/>
        </w:numPr>
        <w:spacing w:before="240" w:after="240" w:line="360" w:lineRule="auto"/>
        <w:jc w:val="both"/>
        <w:rPr>
          <w:rFonts w:ascii="David" w:hAnsi="David"/>
        </w:rPr>
      </w:pPr>
      <w:r>
        <w:rPr>
          <w:rFonts w:ascii="David" w:hAnsi="David" w:hint="cs"/>
          <w:rtl/>
        </w:rPr>
        <w:t>400 שעות שירות לתועלת הציבור על פי תוכנית שיכין שירות מבחן עד ליום 1.5.14.  הנאשם מוזהר כי אם לא ימלא אחר צו שירות לתועלת הציבור  עונשו ידון מחדש.</w:t>
      </w:r>
    </w:p>
    <w:p w14:paraId="4FBFE6D1" w14:textId="77777777" w:rsidR="008270E0" w:rsidRDefault="00BB4512">
      <w:pPr>
        <w:numPr>
          <w:ilvl w:val="0"/>
          <w:numId w:val="3"/>
        </w:numPr>
        <w:spacing w:before="240" w:after="240" w:line="360" w:lineRule="auto"/>
        <w:jc w:val="both"/>
        <w:rPr>
          <w:rFonts w:ascii="David" w:hAnsi="David"/>
        </w:rPr>
      </w:pPr>
      <w:r>
        <w:rPr>
          <w:rFonts w:ascii="David" w:hAnsi="David" w:hint="cs"/>
          <w:rtl/>
        </w:rPr>
        <w:t xml:space="preserve">6 חודשי מאסר. הנאשם לא ירצה עונש זה אלא אם יעבור בתוך שנתיים מהיום על כל עבירה בה הורשע. </w:t>
      </w:r>
    </w:p>
    <w:p w14:paraId="1006C7DB" w14:textId="77777777" w:rsidR="008270E0" w:rsidRDefault="00BB4512">
      <w:pPr>
        <w:numPr>
          <w:ilvl w:val="0"/>
          <w:numId w:val="3"/>
        </w:numPr>
        <w:spacing w:before="240" w:after="240" w:line="360" w:lineRule="auto"/>
        <w:jc w:val="both"/>
        <w:rPr>
          <w:rFonts w:ascii="David" w:hAnsi="David"/>
        </w:rPr>
      </w:pPr>
      <w:r>
        <w:rPr>
          <w:rFonts w:ascii="David" w:hAnsi="David" w:hint="cs"/>
          <w:rtl/>
        </w:rPr>
        <w:t>ניתן צו להשמדת המוצג.</w:t>
      </w:r>
    </w:p>
    <w:p w14:paraId="6F2DCD8F" w14:textId="77777777" w:rsidR="008270E0" w:rsidRDefault="00BB4512">
      <w:pPr>
        <w:rPr>
          <w:b/>
          <w:bCs/>
          <w:rtl/>
        </w:rPr>
      </w:pPr>
      <w:r>
        <w:rPr>
          <w:rFonts w:hint="cs"/>
          <w:b/>
          <w:bCs/>
          <w:rtl/>
        </w:rPr>
        <w:t>זכות ערעור לבית המשפט המחוזי בירושלים בתוך 45 יום מהיום.</w:t>
      </w:r>
    </w:p>
    <w:p w14:paraId="4B33DF35" w14:textId="77777777" w:rsidR="008270E0" w:rsidRPr="00BB4512" w:rsidRDefault="00BB4512">
      <w:pPr>
        <w:rPr>
          <w:b/>
          <w:bCs/>
          <w:color w:val="FFFFFF"/>
          <w:sz w:val="2"/>
          <w:szCs w:val="2"/>
          <w:rtl/>
        </w:rPr>
      </w:pPr>
      <w:r w:rsidRPr="00BB4512">
        <w:rPr>
          <w:b/>
          <w:bCs/>
          <w:color w:val="FFFFFF"/>
          <w:sz w:val="2"/>
          <w:szCs w:val="2"/>
          <w:rtl/>
        </w:rPr>
        <w:t>5129371</w:t>
      </w:r>
    </w:p>
    <w:p w14:paraId="2006E2A0" w14:textId="77777777" w:rsidR="008270E0" w:rsidRDefault="00BB4512">
      <w:pPr>
        <w:rPr>
          <w:b/>
          <w:bCs/>
          <w:sz w:val="28"/>
          <w:szCs w:val="28"/>
          <w:rtl/>
        </w:rPr>
      </w:pPr>
      <w:r w:rsidRPr="00BB4512">
        <w:rPr>
          <w:rFonts w:ascii="Arial" w:hAnsi="Arial"/>
          <w:b/>
          <w:bCs/>
          <w:color w:val="FFFFFF"/>
          <w:sz w:val="2"/>
          <w:szCs w:val="2"/>
          <w:rtl/>
        </w:rPr>
        <w:t>54678313</w:t>
      </w:r>
      <w:r>
        <w:rPr>
          <w:rFonts w:ascii="Arial" w:hAnsi="Arial"/>
          <w:b/>
          <w:bCs/>
          <w:rtl/>
        </w:rPr>
        <w:t xml:space="preserve">ניתן היום,  ל' שבט תשע"ה, 19 פברואר 2015, במעמד ב"כ הצדדים והנאשם.  </w:t>
      </w:r>
    </w:p>
    <w:p w14:paraId="4330DCF5" w14:textId="77777777" w:rsidR="008270E0" w:rsidRDefault="00BB4512">
      <w:pPr>
        <w:jc w:val="cente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44996BC2" w14:textId="77777777" w:rsidR="008270E0" w:rsidRDefault="008270E0">
      <w:pPr>
        <w:jc w:val="center"/>
        <w:rPr>
          <w:rFonts w:ascii="Arial" w:hAnsi="Arial"/>
          <w:b/>
          <w:bCs/>
          <w:sz w:val="28"/>
          <w:szCs w:val="28"/>
          <w:rtl/>
        </w:rPr>
      </w:pPr>
    </w:p>
    <w:p w14:paraId="4CC7D9A0" w14:textId="77777777" w:rsidR="008270E0" w:rsidRDefault="008270E0">
      <w:pPr>
        <w:rPr>
          <w:b/>
          <w:bCs/>
          <w:sz w:val="28"/>
          <w:szCs w:val="28"/>
          <w:rtl/>
        </w:rPr>
      </w:pPr>
    </w:p>
    <w:p w14:paraId="29F4BB66" w14:textId="77777777" w:rsidR="008270E0" w:rsidRDefault="008270E0">
      <w:pPr>
        <w:pStyle w:val="a3"/>
        <w:jc w:val="center"/>
        <w:rPr>
          <w:b/>
          <w:bCs/>
          <w:rtl/>
        </w:rPr>
      </w:pPr>
    </w:p>
    <w:p w14:paraId="2CC5FD97" w14:textId="77777777" w:rsidR="00BB4512" w:rsidRPr="00BB4512" w:rsidRDefault="00BB4512" w:rsidP="00BB4512">
      <w:pPr>
        <w:keepNext/>
        <w:rPr>
          <w:rFonts w:ascii="David" w:hAnsi="David"/>
          <w:color w:val="000000"/>
          <w:sz w:val="22"/>
          <w:szCs w:val="22"/>
          <w:rtl/>
        </w:rPr>
      </w:pPr>
    </w:p>
    <w:p w14:paraId="429E52E9" w14:textId="77777777" w:rsidR="00BB4512" w:rsidRPr="00BB4512" w:rsidRDefault="00BB4512" w:rsidP="00BB4512">
      <w:pPr>
        <w:keepNext/>
        <w:rPr>
          <w:rFonts w:ascii="David" w:hAnsi="David"/>
          <w:color w:val="000000"/>
          <w:sz w:val="22"/>
          <w:szCs w:val="22"/>
          <w:rtl/>
        </w:rPr>
      </w:pPr>
      <w:r w:rsidRPr="00BB4512">
        <w:rPr>
          <w:rFonts w:ascii="David" w:hAnsi="David"/>
          <w:color w:val="000000"/>
          <w:sz w:val="22"/>
          <w:szCs w:val="22"/>
          <w:rtl/>
        </w:rPr>
        <w:t>חנה מרים לומפ 54678313</w:t>
      </w:r>
    </w:p>
    <w:p w14:paraId="4EDF924E" w14:textId="77777777" w:rsidR="00BB4512" w:rsidRDefault="00BB4512" w:rsidP="00BB4512">
      <w:r w:rsidRPr="00BB4512">
        <w:rPr>
          <w:color w:val="000000"/>
          <w:rtl/>
        </w:rPr>
        <w:t>נוסח מסמך זה כפוף לשינויי ניסוח ועריכה</w:t>
      </w:r>
    </w:p>
    <w:p w14:paraId="71FC961F" w14:textId="77777777" w:rsidR="00BB4512" w:rsidRDefault="00BB4512" w:rsidP="00BB4512">
      <w:pPr>
        <w:rPr>
          <w:rtl/>
        </w:rPr>
      </w:pPr>
    </w:p>
    <w:p w14:paraId="021810A9" w14:textId="77777777" w:rsidR="00BB4512" w:rsidRDefault="00BB4512" w:rsidP="00BB4512">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7043DE5C" w14:textId="77777777" w:rsidR="008270E0" w:rsidRPr="00BB4512" w:rsidRDefault="008270E0" w:rsidP="00BB4512">
      <w:pPr>
        <w:jc w:val="center"/>
        <w:rPr>
          <w:color w:val="0000FF"/>
          <w:u w:val="single"/>
        </w:rPr>
      </w:pPr>
    </w:p>
    <w:sectPr w:rsidR="008270E0" w:rsidRPr="00BB4512" w:rsidSect="00BB4512">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DB153" w14:textId="77777777" w:rsidR="007370EE" w:rsidRDefault="007370EE">
      <w:r>
        <w:separator/>
      </w:r>
    </w:p>
  </w:endnote>
  <w:endnote w:type="continuationSeparator" w:id="0">
    <w:p w14:paraId="5C3504AC" w14:textId="77777777" w:rsidR="007370EE" w:rsidRDefault="00737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91C27" w14:textId="77777777" w:rsidR="00BB4512" w:rsidRDefault="00BB4512" w:rsidP="00BB451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F29FB75" w14:textId="77777777" w:rsidR="008270E0" w:rsidRPr="00BB4512" w:rsidRDefault="00BB4512" w:rsidP="00BB4512">
    <w:pPr>
      <w:pStyle w:val="a4"/>
      <w:pBdr>
        <w:top w:val="single" w:sz="4" w:space="1" w:color="auto"/>
        <w:between w:val="single" w:sz="4" w:space="0" w:color="auto"/>
      </w:pBdr>
      <w:spacing w:after="60"/>
      <w:jc w:val="center"/>
      <w:rPr>
        <w:rFonts w:ascii="FrankRuehl" w:hAnsi="FrankRuehl" w:cs="FrankRuehl"/>
        <w:color w:val="000000"/>
      </w:rPr>
    </w:pPr>
    <w:r w:rsidRPr="00BB451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1E57A" w14:textId="77777777" w:rsidR="00BB4512" w:rsidRDefault="00BB4512" w:rsidP="00BB451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104A4">
      <w:rPr>
        <w:rFonts w:ascii="FrankRuehl" w:hAnsi="FrankRuehl" w:cs="FrankRuehl"/>
        <w:noProof/>
        <w:rtl/>
      </w:rPr>
      <w:t>1</w:t>
    </w:r>
    <w:r>
      <w:rPr>
        <w:rFonts w:ascii="FrankRuehl" w:hAnsi="FrankRuehl" w:cs="FrankRuehl"/>
        <w:rtl/>
      </w:rPr>
      <w:fldChar w:fldCharType="end"/>
    </w:r>
  </w:p>
  <w:p w14:paraId="1B3D417B" w14:textId="77777777" w:rsidR="008270E0" w:rsidRPr="00BB4512" w:rsidRDefault="00BB4512" w:rsidP="00BB4512">
    <w:pPr>
      <w:pStyle w:val="a4"/>
      <w:pBdr>
        <w:top w:val="single" w:sz="4" w:space="1" w:color="auto"/>
        <w:between w:val="single" w:sz="4" w:space="0" w:color="auto"/>
      </w:pBdr>
      <w:spacing w:after="60"/>
      <w:jc w:val="center"/>
      <w:rPr>
        <w:rFonts w:ascii="FrankRuehl" w:hAnsi="FrankRuehl" w:cs="FrankRuehl"/>
        <w:color w:val="000000"/>
      </w:rPr>
    </w:pPr>
    <w:r w:rsidRPr="00BB4512">
      <w:rPr>
        <w:rFonts w:ascii="FrankRuehl" w:hAnsi="FrankRuehl" w:cs="FrankRuehl"/>
        <w:color w:val="000000"/>
      </w:rPr>
      <w:pict w14:anchorId="33C8F3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9D591B" w14:textId="77777777" w:rsidR="007370EE" w:rsidRDefault="007370EE">
      <w:r>
        <w:separator/>
      </w:r>
    </w:p>
  </w:footnote>
  <w:footnote w:type="continuationSeparator" w:id="0">
    <w:p w14:paraId="0A18DADB" w14:textId="77777777" w:rsidR="007370EE" w:rsidRDefault="00737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FA4FA" w14:textId="77777777" w:rsidR="00BB4512" w:rsidRPr="00BB4512" w:rsidRDefault="00BB4512" w:rsidP="00BB45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35629-09-11</w:t>
    </w:r>
    <w:r>
      <w:rPr>
        <w:rFonts w:ascii="David" w:hAnsi="David"/>
        <w:color w:val="000000"/>
        <w:sz w:val="22"/>
        <w:szCs w:val="22"/>
        <w:rtl/>
      </w:rPr>
      <w:tab/>
      <w:t xml:space="preserve"> מדינת ישראל נ' רומן סבירידונוב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40CB9" w14:textId="77777777" w:rsidR="00BB4512" w:rsidRPr="00BB4512" w:rsidRDefault="00BB4512" w:rsidP="00BB45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35629-09-11</w:t>
    </w:r>
    <w:r>
      <w:rPr>
        <w:rFonts w:ascii="David" w:hAnsi="David"/>
        <w:color w:val="000000"/>
        <w:sz w:val="22"/>
        <w:szCs w:val="22"/>
        <w:rtl/>
      </w:rPr>
      <w:tab/>
      <w:t xml:space="preserve"> מדינת ישראל נ' רומן סבירידונוב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6020D"/>
    <w:multiLevelType w:val="hybridMultilevel"/>
    <w:tmpl w:val="813EC7B2"/>
    <w:lvl w:ilvl="0" w:tplc="04090013">
      <w:start w:val="1"/>
      <w:numFmt w:val="hebrew1"/>
      <w:lvlText w:val="%1."/>
      <w:lvlJc w:val="center"/>
      <w:pPr>
        <w:ind w:left="1860" w:hanging="360"/>
      </w:pPr>
      <w:rPr>
        <w:rFonts w:cs="Times New Roman"/>
      </w:rPr>
    </w:lvl>
    <w:lvl w:ilvl="1" w:tplc="04090019">
      <w:start w:val="1"/>
      <w:numFmt w:val="lowerLetter"/>
      <w:lvlText w:val="%2."/>
      <w:lvlJc w:val="left"/>
      <w:pPr>
        <w:ind w:left="2580" w:hanging="360"/>
      </w:pPr>
      <w:rPr>
        <w:rFonts w:cs="Times New Roman"/>
      </w:rPr>
    </w:lvl>
    <w:lvl w:ilvl="2" w:tplc="0409001B">
      <w:start w:val="1"/>
      <w:numFmt w:val="lowerRoman"/>
      <w:lvlText w:val="%3."/>
      <w:lvlJc w:val="right"/>
      <w:pPr>
        <w:ind w:left="3300" w:hanging="180"/>
      </w:pPr>
      <w:rPr>
        <w:rFonts w:cs="Times New Roman"/>
      </w:rPr>
    </w:lvl>
    <w:lvl w:ilvl="3" w:tplc="0409000F">
      <w:start w:val="1"/>
      <w:numFmt w:val="decimal"/>
      <w:lvlText w:val="%4."/>
      <w:lvlJc w:val="left"/>
      <w:pPr>
        <w:ind w:left="4020" w:hanging="360"/>
      </w:pPr>
      <w:rPr>
        <w:rFonts w:cs="Times New Roman"/>
      </w:rPr>
    </w:lvl>
    <w:lvl w:ilvl="4" w:tplc="04090019">
      <w:start w:val="1"/>
      <w:numFmt w:val="lowerLetter"/>
      <w:lvlText w:val="%5."/>
      <w:lvlJc w:val="left"/>
      <w:pPr>
        <w:ind w:left="4740" w:hanging="360"/>
      </w:pPr>
      <w:rPr>
        <w:rFonts w:cs="Times New Roman"/>
      </w:rPr>
    </w:lvl>
    <w:lvl w:ilvl="5" w:tplc="0409001B">
      <w:start w:val="1"/>
      <w:numFmt w:val="lowerRoman"/>
      <w:lvlText w:val="%6."/>
      <w:lvlJc w:val="right"/>
      <w:pPr>
        <w:ind w:left="5460" w:hanging="180"/>
      </w:pPr>
      <w:rPr>
        <w:rFonts w:cs="Times New Roman"/>
      </w:rPr>
    </w:lvl>
    <w:lvl w:ilvl="6" w:tplc="0409000F">
      <w:start w:val="1"/>
      <w:numFmt w:val="decimal"/>
      <w:lvlText w:val="%7."/>
      <w:lvlJc w:val="left"/>
      <w:pPr>
        <w:ind w:left="6180" w:hanging="360"/>
      </w:pPr>
      <w:rPr>
        <w:rFonts w:cs="Times New Roman"/>
      </w:rPr>
    </w:lvl>
    <w:lvl w:ilvl="7" w:tplc="04090019">
      <w:start w:val="1"/>
      <w:numFmt w:val="lowerLetter"/>
      <w:lvlText w:val="%8."/>
      <w:lvlJc w:val="left"/>
      <w:pPr>
        <w:ind w:left="6900" w:hanging="360"/>
      </w:pPr>
      <w:rPr>
        <w:rFonts w:cs="Times New Roman"/>
      </w:rPr>
    </w:lvl>
    <w:lvl w:ilvl="8" w:tplc="0409001B">
      <w:start w:val="1"/>
      <w:numFmt w:val="lowerRoman"/>
      <w:lvlText w:val="%9."/>
      <w:lvlJc w:val="right"/>
      <w:pPr>
        <w:ind w:left="7620" w:hanging="180"/>
      </w:pPr>
      <w:rPr>
        <w:rFonts w:cs="Times New Roman"/>
      </w:rPr>
    </w:lvl>
  </w:abstractNum>
  <w:abstractNum w:abstractNumId="1" w15:restartNumberingAfterBreak="0">
    <w:nsid w:val="47C525B5"/>
    <w:multiLevelType w:val="hybridMultilevel"/>
    <w:tmpl w:val="E7568670"/>
    <w:lvl w:ilvl="0" w:tplc="FF808C3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FA4CA3"/>
    <w:multiLevelType w:val="hybridMultilevel"/>
    <w:tmpl w:val="813EC7B2"/>
    <w:lvl w:ilvl="0" w:tplc="04090013">
      <w:start w:val="1"/>
      <w:numFmt w:val="hebrew1"/>
      <w:lvlText w:val="%1."/>
      <w:lvlJc w:val="center"/>
      <w:pPr>
        <w:ind w:left="1860" w:hanging="360"/>
      </w:pPr>
      <w:rPr>
        <w:rFonts w:cs="Times New Roman"/>
      </w:rPr>
    </w:lvl>
    <w:lvl w:ilvl="1" w:tplc="04090019">
      <w:start w:val="1"/>
      <w:numFmt w:val="lowerLetter"/>
      <w:lvlText w:val="%2."/>
      <w:lvlJc w:val="left"/>
      <w:pPr>
        <w:ind w:left="2580" w:hanging="360"/>
      </w:pPr>
      <w:rPr>
        <w:rFonts w:cs="Times New Roman"/>
      </w:rPr>
    </w:lvl>
    <w:lvl w:ilvl="2" w:tplc="0409001B">
      <w:start w:val="1"/>
      <w:numFmt w:val="lowerRoman"/>
      <w:lvlText w:val="%3."/>
      <w:lvlJc w:val="right"/>
      <w:pPr>
        <w:ind w:left="3300" w:hanging="180"/>
      </w:pPr>
      <w:rPr>
        <w:rFonts w:cs="Times New Roman"/>
      </w:rPr>
    </w:lvl>
    <w:lvl w:ilvl="3" w:tplc="0409000F">
      <w:start w:val="1"/>
      <w:numFmt w:val="decimal"/>
      <w:lvlText w:val="%4."/>
      <w:lvlJc w:val="left"/>
      <w:pPr>
        <w:ind w:left="4020" w:hanging="360"/>
      </w:pPr>
      <w:rPr>
        <w:rFonts w:cs="Times New Roman"/>
      </w:rPr>
    </w:lvl>
    <w:lvl w:ilvl="4" w:tplc="04090019">
      <w:start w:val="1"/>
      <w:numFmt w:val="lowerLetter"/>
      <w:lvlText w:val="%5."/>
      <w:lvlJc w:val="left"/>
      <w:pPr>
        <w:ind w:left="4740" w:hanging="360"/>
      </w:pPr>
      <w:rPr>
        <w:rFonts w:cs="Times New Roman"/>
      </w:rPr>
    </w:lvl>
    <w:lvl w:ilvl="5" w:tplc="0409001B">
      <w:start w:val="1"/>
      <w:numFmt w:val="lowerRoman"/>
      <w:lvlText w:val="%6."/>
      <w:lvlJc w:val="right"/>
      <w:pPr>
        <w:ind w:left="5460" w:hanging="180"/>
      </w:pPr>
      <w:rPr>
        <w:rFonts w:cs="Times New Roman"/>
      </w:rPr>
    </w:lvl>
    <w:lvl w:ilvl="6" w:tplc="0409000F">
      <w:start w:val="1"/>
      <w:numFmt w:val="decimal"/>
      <w:lvlText w:val="%7."/>
      <w:lvlJc w:val="left"/>
      <w:pPr>
        <w:ind w:left="6180" w:hanging="360"/>
      </w:pPr>
      <w:rPr>
        <w:rFonts w:cs="Times New Roman"/>
      </w:rPr>
    </w:lvl>
    <w:lvl w:ilvl="7" w:tplc="04090019">
      <w:start w:val="1"/>
      <w:numFmt w:val="lowerLetter"/>
      <w:lvlText w:val="%8."/>
      <w:lvlJc w:val="left"/>
      <w:pPr>
        <w:ind w:left="6900" w:hanging="360"/>
      </w:pPr>
      <w:rPr>
        <w:rFonts w:cs="Times New Roman"/>
      </w:rPr>
    </w:lvl>
    <w:lvl w:ilvl="8" w:tplc="0409001B">
      <w:start w:val="1"/>
      <w:numFmt w:val="lowerRoman"/>
      <w:lvlText w:val="%9."/>
      <w:lvlJc w:val="right"/>
      <w:pPr>
        <w:ind w:left="7620" w:hanging="180"/>
      </w:pPr>
      <w:rPr>
        <w:rFonts w:cs="Times New Roman"/>
      </w:rPr>
    </w:lvl>
  </w:abstractNum>
  <w:num w:numId="1" w16cid:durableId="1949852563">
    <w:abstractNumId w:val="1"/>
  </w:num>
  <w:num w:numId="2" w16cid:durableId="1511678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47666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70E0"/>
    <w:rsid w:val="00266494"/>
    <w:rsid w:val="00310AA9"/>
    <w:rsid w:val="004B5DD0"/>
    <w:rsid w:val="00564777"/>
    <w:rsid w:val="006104A4"/>
    <w:rsid w:val="007370EE"/>
    <w:rsid w:val="008270E0"/>
    <w:rsid w:val="00BB4512"/>
    <w:rsid w:val="00C24483"/>
    <w:rsid w:val="00DE0F04"/>
    <w:rsid w:val="00EA10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ECC600B"/>
  <w15:chartTrackingRefBased/>
  <w15:docId w15:val="{95E6C070-99F6-4405-A843-60E6973C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70E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270E0"/>
    <w:pPr>
      <w:tabs>
        <w:tab w:val="center" w:pos="4153"/>
        <w:tab w:val="right" w:pos="8306"/>
      </w:tabs>
    </w:pPr>
  </w:style>
  <w:style w:type="paragraph" w:styleId="a4">
    <w:name w:val="footer"/>
    <w:basedOn w:val="a"/>
    <w:rsid w:val="008270E0"/>
    <w:pPr>
      <w:tabs>
        <w:tab w:val="center" w:pos="4153"/>
        <w:tab w:val="right" w:pos="8306"/>
      </w:tabs>
    </w:pPr>
  </w:style>
  <w:style w:type="character" w:styleId="a5">
    <w:name w:val="page number"/>
    <w:basedOn w:val="a0"/>
    <w:rsid w:val="008270E0"/>
  </w:style>
  <w:style w:type="paragraph" w:customStyle="1" w:styleId="ListParagraph">
    <w:name w:val="List Paragraph"/>
    <w:basedOn w:val="a"/>
    <w:rsid w:val="008270E0"/>
    <w:pPr>
      <w:ind w:left="720"/>
      <w:contextualSpacing/>
    </w:pPr>
  </w:style>
  <w:style w:type="character" w:customStyle="1" w:styleId="default">
    <w:name w:val="default"/>
    <w:basedOn w:val="a0"/>
    <w:rsid w:val="008270E0"/>
    <w:rPr>
      <w:rFonts w:ascii="Times New Roman" w:hAnsi="Times New Roman" w:cs="Times New Roman" w:hint="default"/>
      <w:sz w:val="26"/>
      <w:szCs w:val="26"/>
    </w:rPr>
  </w:style>
  <w:style w:type="character" w:styleId="Hyperlink">
    <w:name w:val="Hyperlink"/>
    <w:basedOn w:val="a0"/>
    <w:rsid w:val="008270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8291683" TargetMode="External"/><Relationship Id="rId18" Type="http://schemas.openxmlformats.org/officeDocument/2006/relationships/hyperlink" Target="http://www.nevo.co.il/case/6272891"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568354"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5601503" TargetMode="External"/><Relationship Id="rId20" Type="http://schemas.openxmlformats.org/officeDocument/2006/relationships/hyperlink" Target="http://www.nevo.co.il/case/570373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5578534" TargetMode="External"/><Relationship Id="rId23" Type="http://schemas.openxmlformats.org/officeDocument/2006/relationships/hyperlink" Target="http://www.nevo.co.il/law/70301/40ja" TargetMode="External"/><Relationship Id="rId28" Type="http://schemas.openxmlformats.org/officeDocument/2006/relationships/footer" Target="footer2.xml"/><Relationship Id="rId10" Type="http://schemas.openxmlformats.org/officeDocument/2006/relationships/hyperlink" Target="http://www.nevo.co.il/law/70301/40jc" TargetMode="External"/><Relationship Id="rId19" Type="http://schemas.openxmlformats.org/officeDocument/2006/relationships/hyperlink" Target="http://www.nevo.co.il/case/5821327" TargetMode="External"/><Relationship Id="rId4" Type="http://schemas.openxmlformats.org/officeDocument/2006/relationships/webSettings" Target="webSettings.xml"/><Relationship Id="rId9" Type="http://schemas.openxmlformats.org/officeDocument/2006/relationships/hyperlink" Target="http://www.nevo.co.il/law/70301/40ja" TargetMode="External"/><Relationship Id="rId14" Type="http://schemas.openxmlformats.org/officeDocument/2006/relationships/hyperlink" Target="http://www.nevo.co.il/case/5878682" TargetMode="External"/><Relationship Id="rId22" Type="http://schemas.openxmlformats.org/officeDocument/2006/relationships/hyperlink" Target="http://www.nevo.co.il/law/70301/40jc"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2001</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11987</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393227</vt:i4>
      </vt:variant>
      <vt:variant>
        <vt:i4>45</vt:i4>
      </vt:variant>
      <vt:variant>
        <vt:i4>0</vt:i4>
      </vt:variant>
      <vt:variant>
        <vt:i4>5</vt:i4>
      </vt:variant>
      <vt:variant>
        <vt:lpwstr>http://www.nevo.co.il/law/70301/40jc</vt:lpwstr>
      </vt:variant>
      <vt:variant>
        <vt:lpwstr/>
      </vt:variant>
      <vt:variant>
        <vt:i4>7995492</vt:i4>
      </vt:variant>
      <vt:variant>
        <vt:i4>42</vt:i4>
      </vt:variant>
      <vt:variant>
        <vt:i4>0</vt:i4>
      </vt:variant>
      <vt:variant>
        <vt:i4>5</vt:i4>
      </vt:variant>
      <vt:variant>
        <vt:lpwstr>http://www.nevo.co.il/law/70301</vt:lpwstr>
      </vt:variant>
      <vt:variant>
        <vt:lpwstr/>
      </vt:variant>
      <vt:variant>
        <vt:i4>3539059</vt:i4>
      </vt:variant>
      <vt:variant>
        <vt:i4>39</vt:i4>
      </vt:variant>
      <vt:variant>
        <vt:i4>0</vt:i4>
      </vt:variant>
      <vt:variant>
        <vt:i4>5</vt:i4>
      </vt:variant>
      <vt:variant>
        <vt:lpwstr>http://www.nevo.co.il/case/5703734</vt:lpwstr>
      </vt:variant>
      <vt:variant>
        <vt:lpwstr/>
      </vt:variant>
      <vt:variant>
        <vt:i4>3342463</vt:i4>
      </vt:variant>
      <vt:variant>
        <vt:i4>36</vt:i4>
      </vt:variant>
      <vt:variant>
        <vt:i4>0</vt:i4>
      </vt:variant>
      <vt:variant>
        <vt:i4>5</vt:i4>
      </vt:variant>
      <vt:variant>
        <vt:lpwstr>http://www.nevo.co.il/case/5821327</vt:lpwstr>
      </vt:variant>
      <vt:variant>
        <vt:lpwstr/>
      </vt:variant>
      <vt:variant>
        <vt:i4>3670141</vt:i4>
      </vt:variant>
      <vt:variant>
        <vt:i4>33</vt:i4>
      </vt:variant>
      <vt:variant>
        <vt:i4>0</vt:i4>
      </vt:variant>
      <vt:variant>
        <vt:i4>5</vt:i4>
      </vt:variant>
      <vt:variant>
        <vt:lpwstr>http://www.nevo.co.il/case/6272891</vt:lpwstr>
      </vt:variant>
      <vt:variant>
        <vt:lpwstr/>
      </vt:variant>
      <vt:variant>
        <vt:i4>3407996</vt:i4>
      </vt:variant>
      <vt:variant>
        <vt:i4>30</vt:i4>
      </vt:variant>
      <vt:variant>
        <vt:i4>0</vt:i4>
      </vt:variant>
      <vt:variant>
        <vt:i4>5</vt:i4>
      </vt:variant>
      <vt:variant>
        <vt:lpwstr>http://www.nevo.co.il/case/5568354</vt:lpwstr>
      </vt:variant>
      <vt:variant>
        <vt:lpwstr/>
      </vt:variant>
      <vt:variant>
        <vt:i4>3342451</vt:i4>
      </vt:variant>
      <vt:variant>
        <vt:i4>27</vt:i4>
      </vt:variant>
      <vt:variant>
        <vt:i4>0</vt:i4>
      </vt:variant>
      <vt:variant>
        <vt:i4>5</vt:i4>
      </vt:variant>
      <vt:variant>
        <vt:lpwstr>http://www.nevo.co.il/case/5601503</vt:lpwstr>
      </vt:variant>
      <vt:variant>
        <vt:lpwstr/>
      </vt:variant>
      <vt:variant>
        <vt:i4>3342458</vt:i4>
      </vt:variant>
      <vt:variant>
        <vt:i4>24</vt:i4>
      </vt:variant>
      <vt:variant>
        <vt:i4>0</vt:i4>
      </vt:variant>
      <vt:variant>
        <vt:i4>5</vt:i4>
      </vt:variant>
      <vt:variant>
        <vt:lpwstr>http://www.nevo.co.il/case/5578534</vt:lpwstr>
      </vt:variant>
      <vt:variant>
        <vt:lpwstr/>
      </vt:variant>
      <vt:variant>
        <vt:i4>3539068</vt:i4>
      </vt:variant>
      <vt:variant>
        <vt:i4>21</vt:i4>
      </vt:variant>
      <vt:variant>
        <vt:i4>0</vt:i4>
      </vt:variant>
      <vt:variant>
        <vt:i4>5</vt:i4>
      </vt:variant>
      <vt:variant>
        <vt:lpwstr>http://www.nevo.co.il/case/5878682</vt:lpwstr>
      </vt:variant>
      <vt:variant>
        <vt:lpwstr/>
      </vt:variant>
      <vt:variant>
        <vt:i4>3407999</vt:i4>
      </vt:variant>
      <vt:variant>
        <vt:i4>18</vt:i4>
      </vt:variant>
      <vt:variant>
        <vt:i4>0</vt:i4>
      </vt:variant>
      <vt:variant>
        <vt:i4>5</vt:i4>
      </vt:variant>
      <vt:variant>
        <vt:lpwstr>http://www.nevo.co.il/case/8291683</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393227</vt:i4>
      </vt:variant>
      <vt:variant>
        <vt:i4>9</vt:i4>
      </vt:variant>
      <vt:variant>
        <vt:i4>0</vt:i4>
      </vt:variant>
      <vt:variant>
        <vt:i4>5</vt:i4>
      </vt:variant>
      <vt:variant>
        <vt:lpwstr>http://www.nevo.co.il/law/70301/40jc</vt:lpwstr>
      </vt:variant>
      <vt:variant>
        <vt:lpwstr/>
      </vt:variant>
      <vt:variant>
        <vt:i4>262155</vt:i4>
      </vt:variant>
      <vt:variant>
        <vt:i4>6</vt:i4>
      </vt:variant>
      <vt:variant>
        <vt:i4>0</vt:i4>
      </vt:variant>
      <vt:variant>
        <vt:i4>5</vt:i4>
      </vt:variant>
      <vt:variant>
        <vt:lpwstr>http://www.nevo.co.il/law/70301/40ja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2025-01-19T17:30:00Z</dcterms:created>
  <dcterms:modified xsi:type="dcterms:W3CDTF">2025-01-19T17:30:00Z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35629</vt:lpwstr>
  </property>
  <property fmtid="{D5CDD505-2E9C-101B-9397-08002B2CF9AE}" pid="6" name="NEWPARTB">
    <vt:lpwstr>09</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רומן סבירידונוב</vt:lpwstr>
  </property>
  <property fmtid="{D5CDD505-2E9C-101B-9397-08002B2CF9AE}" pid="10" name="JUDGE">
    <vt:lpwstr>חנה מרים לומפ</vt:lpwstr>
  </property>
  <property fmtid="{D5CDD505-2E9C-101B-9397-08002B2CF9AE}" pid="11" name="CITY">
    <vt:lpwstr>י-ם</vt:lpwstr>
  </property>
  <property fmtid="{D5CDD505-2E9C-101B-9397-08002B2CF9AE}" pid="12" name="DATE">
    <vt:lpwstr>20150219</vt:lpwstr>
  </property>
  <property fmtid="{D5CDD505-2E9C-101B-9397-08002B2CF9AE}" pid="13" name="TYPE_N_DATE">
    <vt:lpwstr>38020150219</vt:lpwstr>
  </property>
  <property fmtid="{D5CDD505-2E9C-101B-9397-08002B2CF9AE}" pid="14" name="WORDNUMPAGES">
    <vt:lpwstr>7</vt:lpwstr>
  </property>
  <property fmtid="{D5CDD505-2E9C-101B-9397-08002B2CF9AE}" pid="15" name="TYPE_ABS_DATE">
    <vt:lpwstr>380120150219</vt:lpwstr>
  </property>
  <property fmtid="{D5CDD505-2E9C-101B-9397-08002B2CF9AE}" pid="16" name="ISABSTRACT">
    <vt:lpwstr>Y</vt:lpwstr>
  </property>
  <property fmtid="{D5CDD505-2E9C-101B-9397-08002B2CF9AE}" pid="17" name="METAKZER">
    <vt:lpwstr>יעל</vt:lpwstr>
  </property>
  <property fmtid="{D5CDD505-2E9C-101B-9397-08002B2CF9AE}" pid="18" name="NOSE1ID">
    <vt:lpwstr>77</vt:lpwstr>
  </property>
  <property fmtid="{D5CDD505-2E9C-101B-9397-08002B2CF9AE}" pid="19" name="NOSE2ID">
    <vt:lpwstr>1446</vt:lpwstr>
  </property>
  <property fmtid="{D5CDD505-2E9C-101B-9397-08002B2CF9AE}" pid="20" name="NOSE3ID">
    <vt:lpwstr>12553</vt:lpwstr>
  </property>
  <property fmtid="{D5CDD505-2E9C-101B-9397-08002B2CF9AE}" pid="21" name="NOSE11">
    <vt:lpwstr>עונשין</vt:lpwstr>
  </property>
  <property fmtid="{D5CDD505-2E9C-101B-9397-08002B2CF9AE}" pid="22" name="NOSE21">
    <vt:lpwstr>ענישה</vt:lpwstr>
  </property>
  <property fmtid="{D5CDD505-2E9C-101B-9397-08002B2CF9AE}" pid="23" name="NOSE31">
    <vt:lpwstr>מדיניות ענישה: החזקת נשק</vt:lpwstr>
  </property>
  <property fmtid="{D5CDD505-2E9C-101B-9397-08002B2CF9AE}" pid="24" name="NOSE12">
    <vt:lpwstr/>
  </property>
  <property fmtid="{D5CDD505-2E9C-101B-9397-08002B2CF9AE}" pid="25" name="NOSE22">
    <vt:lpwstr/>
  </property>
  <property fmtid="{D5CDD505-2E9C-101B-9397-08002B2CF9AE}" pid="26" name="NOSE3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PADIMAIL">
    <vt:lpwstr>YES</vt:lpwstr>
  </property>
  <property fmtid="{D5CDD505-2E9C-101B-9397-08002B2CF9AE}" pid="52" name="PADIDATE">
    <vt:lpwstr>20150329</vt:lpwstr>
  </property>
  <property fmtid="{D5CDD505-2E9C-101B-9397-08002B2CF9AE}" pid="53" name="LAWYER">
    <vt:lpwstr/>
  </property>
  <property fmtid="{D5CDD505-2E9C-101B-9397-08002B2CF9AE}" pid="54" name="APPELLANT1">
    <vt:lpwstr/>
  </property>
  <property fmtid="{D5CDD505-2E9C-101B-9397-08002B2CF9AE}" pid="55" name="APPELLANT2">
    <vt:lpwstr/>
  </property>
  <property fmtid="{D5CDD505-2E9C-101B-9397-08002B2CF9AE}" pid="56" name="APPELLEE1">
    <vt:lpwstr/>
  </property>
  <property fmtid="{D5CDD505-2E9C-101B-9397-08002B2CF9AE}" pid="57" name="APPELLEE2">
    <vt:lpwstr/>
  </property>
  <property fmtid="{D5CDD505-2E9C-101B-9397-08002B2CF9AE}" pid="58" name="PROCESS">
    <vt:lpwstr/>
  </property>
  <property fmtid="{D5CDD505-2E9C-101B-9397-08002B2CF9AE}" pid="59" name="PROCNUM">
    <vt:lpwstr/>
  </property>
  <property fmtid="{D5CDD505-2E9C-101B-9397-08002B2CF9AE}" pid="60" name="PROCYEAR">
    <vt:lpwstr/>
  </property>
  <property fmtid="{D5CDD505-2E9C-101B-9397-08002B2CF9AE}" pid="61" name="VOLUME">
    <vt:lpwstr/>
  </property>
  <property fmtid="{D5CDD505-2E9C-101B-9397-08002B2CF9AE}" pid="62" name="PART">
    <vt:lpwstr/>
  </property>
  <property fmtid="{D5CDD505-2E9C-101B-9397-08002B2CF9AE}" pid="63" name="PAGE">
    <vt:lpwstr/>
  </property>
  <property fmtid="{D5CDD505-2E9C-101B-9397-08002B2CF9AE}" pid="64" name="DELEMATA">
    <vt:lpwstr/>
  </property>
  <property fmtid="{D5CDD505-2E9C-101B-9397-08002B2CF9AE}" pid="65" name="LINKK1">
    <vt:lpwstr/>
  </property>
  <property fmtid="{D5CDD505-2E9C-101B-9397-08002B2CF9AE}" pid="66" name="LINKK2">
    <vt:lpwstr/>
  </property>
  <property fmtid="{D5CDD505-2E9C-101B-9397-08002B2CF9AE}" pid="67" name="LINKK3">
    <vt:lpwstr/>
  </property>
  <property fmtid="{D5CDD505-2E9C-101B-9397-08002B2CF9AE}" pid="68" name="LINKK4">
    <vt:lpwstr/>
  </property>
  <property fmtid="{D5CDD505-2E9C-101B-9397-08002B2CF9AE}" pid="69" name="LINKK5">
    <vt:lpwstr/>
  </property>
  <property fmtid="{D5CDD505-2E9C-101B-9397-08002B2CF9AE}" pid="70" name="CASESLISTTMP1">
    <vt:lpwstr>8291683;5878682;5578534;5601503;5568354;6272891;5821327;5703734</vt:lpwstr>
  </property>
  <property fmtid="{D5CDD505-2E9C-101B-9397-08002B2CF9AE}" pid="71" name="LAWLISTTMP1">
    <vt:lpwstr>70301/144.a;40jc;40ja</vt:lpwstr>
  </property>
</Properties>
</file>