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4"/>
        <w:gridCol w:w="3677"/>
      </w:tblGrid>
      <w:tr w:rsidR="00BD178A" w:rsidRPr="005C0D10" w14:paraId="797ADE09" w14:textId="77777777">
        <w:trPr>
          <w:trHeight w:hRule="exact" w:val="418"/>
          <w:jc w:val="center"/>
        </w:trPr>
        <w:tc>
          <w:tcPr>
            <w:tcW w:w="8721" w:type="dxa"/>
            <w:gridSpan w:val="2"/>
          </w:tcPr>
          <w:p w14:paraId="13E95552" w14:textId="77777777" w:rsidR="00BD178A" w:rsidRPr="005C0D10" w:rsidRDefault="005C0D10">
            <w:pPr>
              <w:pStyle w:val="a3"/>
              <w:jc w:val="center"/>
              <w:rPr>
                <w:rFonts w:ascii="Tahoma" w:hAnsi="Tahoma" w:cs="Tahoma"/>
                <w:color w:val="000080"/>
                <w:rtl/>
              </w:rPr>
            </w:pPr>
            <w:bookmarkStart w:id="0" w:name="FirstLawyer"/>
            <w:bookmarkStart w:id="1" w:name="LastJudge"/>
            <w:r w:rsidRPr="005C0D10">
              <w:rPr>
                <w:rFonts w:ascii="Tahoma" w:hAnsi="Tahoma" w:cs="Tahoma"/>
                <w:b/>
                <w:bCs/>
                <w:color w:val="000080"/>
                <w:rtl/>
              </w:rPr>
              <w:t>בית משפט השלום בכפר סבא</w:t>
            </w:r>
          </w:p>
        </w:tc>
      </w:tr>
      <w:tr w:rsidR="00BD178A" w:rsidRPr="005C0D10" w14:paraId="0B62A245" w14:textId="77777777">
        <w:trPr>
          <w:trHeight w:val="337"/>
          <w:jc w:val="center"/>
        </w:trPr>
        <w:tc>
          <w:tcPr>
            <w:tcW w:w="5044" w:type="dxa"/>
          </w:tcPr>
          <w:p w14:paraId="79A508C2" w14:textId="77777777" w:rsidR="00BD178A" w:rsidRPr="005C0D10" w:rsidRDefault="005C0D10">
            <w:r w:rsidRPr="005C0D10">
              <w:rPr>
                <w:rtl/>
              </w:rPr>
              <w:t>ת"פ</w:t>
            </w:r>
            <w:r w:rsidRPr="005C0D10">
              <w:rPr>
                <w:rFonts w:hint="cs"/>
                <w:rtl/>
              </w:rPr>
              <w:t xml:space="preserve"> </w:t>
            </w:r>
            <w:r w:rsidRPr="005C0D10">
              <w:rPr>
                <w:rtl/>
              </w:rPr>
              <w:t>4934-12-11</w:t>
            </w:r>
            <w:r w:rsidRPr="005C0D10">
              <w:rPr>
                <w:rFonts w:hint="cs"/>
                <w:rtl/>
              </w:rPr>
              <w:t xml:space="preserve"> </w:t>
            </w:r>
            <w:r w:rsidRPr="005C0D10">
              <w:rPr>
                <w:rtl/>
              </w:rPr>
              <w:t>מדינת ישראל נ' בלעום</w:t>
            </w:r>
          </w:p>
        </w:tc>
        <w:tc>
          <w:tcPr>
            <w:tcW w:w="3677" w:type="dxa"/>
          </w:tcPr>
          <w:p w14:paraId="4B4E06AB" w14:textId="77777777" w:rsidR="00BD178A" w:rsidRPr="005C0D10" w:rsidRDefault="005C0D10">
            <w:pPr>
              <w:pStyle w:val="a3"/>
              <w:jc w:val="right"/>
              <w:rPr>
                <w:rFonts w:cs="FrankRuehl"/>
                <w:sz w:val="28"/>
                <w:szCs w:val="28"/>
                <w:rtl/>
              </w:rPr>
            </w:pPr>
            <w:r w:rsidRPr="005C0D10">
              <w:rPr>
                <w:rFonts w:cs="FrankRuehl" w:hint="cs"/>
                <w:sz w:val="28"/>
                <w:szCs w:val="28"/>
                <w:rtl/>
              </w:rPr>
              <w:t>11</w:t>
            </w:r>
            <w:r w:rsidRPr="005C0D10">
              <w:rPr>
                <w:rFonts w:cs="FrankRuehl"/>
                <w:sz w:val="28"/>
                <w:szCs w:val="28"/>
                <w:rtl/>
              </w:rPr>
              <w:t>פברואר 2013</w:t>
            </w:r>
          </w:p>
        </w:tc>
      </w:tr>
    </w:tbl>
    <w:p w14:paraId="61F7E3DE" w14:textId="77777777" w:rsidR="00BD178A" w:rsidRPr="005C0D10" w:rsidRDefault="005C0D10">
      <w:pPr>
        <w:pStyle w:val="a3"/>
        <w:rPr>
          <w:rtl/>
        </w:rPr>
      </w:pPr>
      <w:r w:rsidRPr="005C0D1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D178A" w:rsidRPr="005C0D10" w14:paraId="2F73787E" w14:textId="77777777">
        <w:trPr>
          <w:trHeight w:val="295"/>
          <w:jc w:val="center"/>
        </w:trPr>
        <w:tc>
          <w:tcPr>
            <w:tcW w:w="923" w:type="dxa"/>
            <w:tcBorders>
              <w:top w:val="nil"/>
              <w:left w:val="nil"/>
              <w:bottom w:val="nil"/>
              <w:right w:val="nil"/>
            </w:tcBorders>
          </w:tcPr>
          <w:p w14:paraId="7DED9B54" w14:textId="77777777" w:rsidR="00BD178A" w:rsidRPr="005C0D10" w:rsidRDefault="005C0D10">
            <w:pPr>
              <w:jc w:val="both"/>
              <w:rPr>
                <w:rFonts w:ascii="Arial" w:hAnsi="Arial" w:cs="FrankRuehl"/>
                <w:sz w:val="28"/>
                <w:szCs w:val="28"/>
              </w:rPr>
            </w:pPr>
            <w:r w:rsidRPr="005C0D10">
              <w:rPr>
                <w:rFonts w:ascii="Arial" w:hAnsi="Arial" w:cs="FrankRuehl" w:hint="cs"/>
                <w:sz w:val="28"/>
                <w:szCs w:val="28"/>
                <w:rtl/>
              </w:rPr>
              <w:t>ב</w:t>
            </w:r>
            <w:r w:rsidRPr="005C0D10">
              <w:rPr>
                <w:rFonts w:ascii="Arial" w:hAnsi="Arial" w:cs="FrankRuehl"/>
                <w:sz w:val="28"/>
                <w:szCs w:val="28"/>
                <w:rtl/>
              </w:rPr>
              <w:t xml:space="preserve">פני </w:t>
            </w:r>
          </w:p>
        </w:tc>
        <w:tc>
          <w:tcPr>
            <w:tcW w:w="7897" w:type="dxa"/>
            <w:gridSpan w:val="2"/>
            <w:tcBorders>
              <w:top w:val="nil"/>
              <w:left w:val="nil"/>
              <w:bottom w:val="nil"/>
              <w:right w:val="nil"/>
            </w:tcBorders>
          </w:tcPr>
          <w:p w14:paraId="1F6CE3FF" w14:textId="77777777" w:rsidR="00BD178A" w:rsidRPr="005C0D10" w:rsidRDefault="005C0D10">
            <w:pPr>
              <w:jc w:val="both"/>
              <w:rPr>
                <w:rFonts w:ascii="Arial" w:hAnsi="Arial" w:cs="FrankRuehl"/>
                <w:sz w:val="28"/>
                <w:szCs w:val="28"/>
              </w:rPr>
            </w:pPr>
            <w:r w:rsidRPr="005C0D10">
              <w:rPr>
                <w:rFonts w:ascii="Arial" w:hAnsi="Arial" w:hint="cs"/>
                <w:b/>
                <w:bCs/>
                <w:rtl/>
              </w:rPr>
              <w:t>כב' ה</w:t>
            </w:r>
            <w:r w:rsidRPr="005C0D10">
              <w:rPr>
                <w:rFonts w:hint="cs"/>
                <w:rtl/>
              </w:rPr>
              <w:t>שופטת</w:t>
            </w:r>
            <w:r w:rsidRPr="005C0D10">
              <w:rPr>
                <w:rFonts w:ascii="Arial" w:hAnsi="Arial" w:hint="cs"/>
                <w:b/>
                <w:bCs/>
                <w:rtl/>
              </w:rPr>
              <w:t xml:space="preserve">  </w:t>
            </w:r>
            <w:r w:rsidRPr="005C0D10">
              <w:rPr>
                <w:rFonts w:hint="cs"/>
                <w:rtl/>
              </w:rPr>
              <w:t>דנה מרשק מרום</w:t>
            </w:r>
          </w:p>
        </w:tc>
      </w:tr>
      <w:tr w:rsidR="00BD178A" w:rsidRPr="005C0D10" w14:paraId="0E9AAF2A" w14:textId="77777777">
        <w:trPr>
          <w:trHeight w:val="355"/>
          <w:jc w:val="center"/>
        </w:trPr>
        <w:tc>
          <w:tcPr>
            <w:tcW w:w="923" w:type="dxa"/>
            <w:tcBorders>
              <w:top w:val="nil"/>
              <w:left w:val="nil"/>
              <w:bottom w:val="nil"/>
              <w:right w:val="nil"/>
            </w:tcBorders>
          </w:tcPr>
          <w:p w14:paraId="7BE23EDB" w14:textId="77777777" w:rsidR="00BD178A" w:rsidRPr="005C0D10" w:rsidRDefault="00BD178A">
            <w:pPr>
              <w:jc w:val="both"/>
              <w:rPr>
                <w:rFonts w:ascii="Arial" w:hAnsi="Arial" w:cs="FrankRuehl"/>
                <w:sz w:val="28"/>
                <w:szCs w:val="28"/>
                <w:rtl/>
              </w:rPr>
            </w:pPr>
            <w:bookmarkStart w:id="2" w:name="FirstAppellant"/>
          </w:p>
          <w:p w14:paraId="31924388" w14:textId="77777777" w:rsidR="00BD178A" w:rsidRPr="005C0D10" w:rsidRDefault="005C0D10">
            <w:pPr>
              <w:jc w:val="both"/>
              <w:rPr>
                <w:rFonts w:ascii="Arial" w:hAnsi="Arial" w:cs="FrankRuehl"/>
                <w:sz w:val="28"/>
                <w:szCs w:val="28"/>
              </w:rPr>
            </w:pPr>
            <w:r w:rsidRPr="005C0D10">
              <w:rPr>
                <w:rFonts w:ascii="Arial" w:hAnsi="Arial" w:cs="FrankRuehl" w:hint="cs"/>
                <w:sz w:val="28"/>
                <w:szCs w:val="28"/>
                <w:rtl/>
              </w:rPr>
              <w:t>בעניין:</w:t>
            </w:r>
          </w:p>
        </w:tc>
        <w:tc>
          <w:tcPr>
            <w:tcW w:w="4126" w:type="dxa"/>
            <w:tcBorders>
              <w:top w:val="nil"/>
              <w:left w:val="nil"/>
              <w:bottom w:val="nil"/>
              <w:right w:val="nil"/>
            </w:tcBorders>
          </w:tcPr>
          <w:p w14:paraId="53358881" w14:textId="77777777" w:rsidR="00BD178A" w:rsidRPr="005C0D10" w:rsidRDefault="00BD178A">
            <w:pPr>
              <w:jc w:val="both"/>
              <w:rPr>
                <w:rFonts w:ascii="Arial" w:hAnsi="Arial" w:cs="FrankRuehl"/>
                <w:sz w:val="28"/>
                <w:szCs w:val="28"/>
                <w:rtl/>
              </w:rPr>
            </w:pPr>
          </w:p>
          <w:p w14:paraId="47C29D5F" w14:textId="77777777" w:rsidR="00BD178A" w:rsidRPr="005C0D10" w:rsidRDefault="005C0D10">
            <w:r w:rsidRPr="005C0D10">
              <w:rPr>
                <w:rFonts w:hint="cs"/>
                <w:rtl/>
              </w:rPr>
              <w:t>מדינת ישראל  ע"י עו"ד צאלים ופרידמן</w:t>
            </w:r>
          </w:p>
          <w:p w14:paraId="101C1D8E" w14:textId="77777777" w:rsidR="00BD178A" w:rsidRPr="005C0D10" w:rsidRDefault="00BD178A">
            <w:pPr>
              <w:jc w:val="both"/>
              <w:rPr>
                <w:rFonts w:ascii="Arial" w:hAnsi="Arial" w:cs="FrankRuehl"/>
                <w:sz w:val="28"/>
                <w:szCs w:val="28"/>
              </w:rPr>
            </w:pPr>
          </w:p>
        </w:tc>
        <w:tc>
          <w:tcPr>
            <w:tcW w:w="3771" w:type="dxa"/>
            <w:tcBorders>
              <w:top w:val="nil"/>
              <w:left w:val="nil"/>
              <w:bottom w:val="nil"/>
              <w:right w:val="nil"/>
            </w:tcBorders>
          </w:tcPr>
          <w:p w14:paraId="21A69479" w14:textId="77777777" w:rsidR="00BD178A" w:rsidRPr="005C0D10" w:rsidRDefault="00BD178A">
            <w:pPr>
              <w:jc w:val="both"/>
              <w:rPr>
                <w:rFonts w:ascii="Arial" w:hAnsi="Arial" w:cs="FrankRuehl"/>
                <w:sz w:val="28"/>
                <w:szCs w:val="28"/>
              </w:rPr>
            </w:pPr>
          </w:p>
        </w:tc>
      </w:tr>
      <w:bookmarkEnd w:id="2"/>
      <w:tr w:rsidR="00BD178A" w:rsidRPr="005C0D10" w14:paraId="0FDB3455" w14:textId="77777777">
        <w:trPr>
          <w:trHeight w:val="355"/>
          <w:jc w:val="center"/>
        </w:trPr>
        <w:tc>
          <w:tcPr>
            <w:tcW w:w="923" w:type="dxa"/>
            <w:tcBorders>
              <w:top w:val="nil"/>
              <w:left w:val="nil"/>
              <w:bottom w:val="nil"/>
              <w:right w:val="nil"/>
            </w:tcBorders>
          </w:tcPr>
          <w:p w14:paraId="5F3EA37D" w14:textId="77777777" w:rsidR="00BD178A" w:rsidRPr="005C0D10" w:rsidRDefault="00BD178A">
            <w:pPr>
              <w:jc w:val="both"/>
              <w:rPr>
                <w:rFonts w:ascii="Arial" w:hAnsi="Arial" w:cs="FrankRuehl"/>
                <w:sz w:val="28"/>
                <w:szCs w:val="28"/>
                <w:rtl/>
              </w:rPr>
            </w:pPr>
          </w:p>
        </w:tc>
        <w:tc>
          <w:tcPr>
            <w:tcW w:w="4126" w:type="dxa"/>
            <w:tcBorders>
              <w:top w:val="nil"/>
              <w:left w:val="nil"/>
              <w:bottom w:val="nil"/>
              <w:right w:val="nil"/>
            </w:tcBorders>
          </w:tcPr>
          <w:p w14:paraId="0112EC53" w14:textId="77777777" w:rsidR="00BD178A" w:rsidRPr="005C0D10" w:rsidRDefault="00BD178A">
            <w:pPr>
              <w:jc w:val="both"/>
              <w:rPr>
                <w:rtl/>
              </w:rPr>
            </w:pPr>
          </w:p>
        </w:tc>
        <w:tc>
          <w:tcPr>
            <w:tcW w:w="3771" w:type="dxa"/>
            <w:tcBorders>
              <w:top w:val="nil"/>
              <w:left w:val="nil"/>
              <w:bottom w:val="nil"/>
              <w:right w:val="nil"/>
            </w:tcBorders>
          </w:tcPr>
          <w:p w14:paraId="4E00CD92" w14:textId="77777777" w:rsidR="00BD178A" w:rsidRPr="005C0D10" w:rsidRDefault="005C0D10">
            <w:pPr>
              <w:jc w:val="right"/>
              <w:rPr>
                <w:rFonts w:ascii="Arial" w:hAnsi="Arial" w:cs="FrankRuehl"/>
                <w:sz w:val="28"/>
                <w:szCs w:val="28"/>
                <w:rtl/>
              </w:rPr>
            </w:pPr>
            <w:r w:rsidRPr="005C0D10">
              <w:rPr>
                <w:rFonts w:ascii="Arial" w:hAnsi="Arial" w:cs="FrankRuehl" w:hint="cs"/>
                <w:sz w:val="28"/>
                <w:szCs w:val="28"/>
                <w:rtl/>
              </w:rPr>
              <w:t>ה</w:t>
            </w:r>
            <w:r w:rsidRPr="005C0D10">
              <w:rPr>
                <w:rFonts w:hint="cs"/>
                <w:rtl/>
              </w:rPr>
              <w:t>מאשימה</w:t>
            </w:r>
          </w:p>
        </w:tc>
      </w:tr>
      <w:tr w:rsidR="00BD178A" w:rsidRPr="005C0D10" w14:paraId="11D88134" w14:textId="77777777">
        <w:trPr>
          <w:trHeight w:val="355"/>
          <w:jc w:val="center"/>
        </w:trPr>
        <w:tc>
          <w:tcPr>
            <w:tcW w:w="923" w:type="dxa"/>
            <w:tcBorders>
              <w:top w:val="nil"/>
              <w:left w:val="nil"/>
              <w:bottom w:val="nil"/>
              <w:right w:val="nil"/>
            </w:tcBorders>
          </w:tcPr>
          <w:p w14:paraId="67735B19" w14:textId="77777777" w:rsidR="00BD178A" w:rsidRPr="005C0D10" w:rsidRDefault="00BD178A">
            <w:pPr>
              <w:jc w:val="both"/>
              <w:rPr>
                <w:rFonts w:ascii="Arial" w:hAnsi="Arial" w:cs="FrankRuehl"/>
                <w:sz w:val="28"/>
                <w:szCs w:val="28"/>
                <w:rtl/>
              </w:rPr>
            </w:pPr>
          </w:p>
        </w:tc>
        <w:tc>
          <w:tcPr>
            <w:tcW w:w="7897" w:type="dxa"/>
            <w:gridSpan w:val="2"/>
            <w:tcBorders>
              <w:top w:val="nil"/>
              <w:left w:val="nil"/>
              <w:bottom w:val="nil"/>
              <w:right w:val="nil"/>
            </w:tcBorders>
          </w:tcPr>
          <w:p w14:paraId="4F7AAD17" w14:textId="77777777" w:rsidR="00BD178A" w:rsidRPr="005C0D10" w:rsidRDefault="00BD178A">
            <w:pPr>
              <w:jc w:val="center"/>
              <w:rPr>
                <w:rFonts w:ascii="Arial" w:hAnsi="Arial" w:cs="FrankRuehl"/>
                <w:b/>
                <w:bCs/>
                <w:sz w:val="28"/>
                <w:szCs w:val="28"/>
                <w:rtl/>
              </w:rPr>
            </w:pPr>
          </w:p>
          <w:p w14:paraId="304F317C" w14:textId="77777777" w:rsidR="00BD178A" w:rsidRPr="005C0D10" w:rsidRDefault="005C0D10">
            <w:pPr>
              <w:jc w:val="center"/>
              <w:rPr>
                <w:rFonts w:ascii="Arial" w:hAnsi="Arial" w:cs="FrankRuehl"/>
                <w:b/>
                <w:bCs/>
                <w:sz w:val="28"/>
                <w:szCs w:val="28"/>
                <w:rtl/>
              </w:rPr>
            </w:pPr>
            <w:r w:rsidRPr="005C0D10">
              <w:rPr>
                <w:rFonts w:ascii="Arial" w:hAnsi="Arial" w:cs="FrankRuehl"/>
                <w:b/>
                <w:bCs/>
                <w:sz w:val="28"/>
                <w:szCs w:val="28"/>
                <w:rtl/>
              </w:rPr>
              <w:t>נגד</w:t>
            </w:r>
          </w:p>
          <w:p w14:paraId="692A2BA0" w14:textId="77777777" w:rsidR="00BD178A" w:rsidRPr="005C0D10" w:rsidRDefault="00BD178A">
            <w:pPr>
              <w:jc w:val="both"/>
              <w:rPr>
                <w:rFonts w:ascii="Arial" w:hAnsi="Arial" w:cs="FrankRuehl"/>
                <w:sz w:val="28"/>
                <w:szCs w:val="28"/>
              </w:rPr>
            </w:pPr>
          </w:p>
        </w:tc>
      </w:tr>
      <w:tr w:rsidR="00BD178A" w:rsidRPr="005C0D10" w14:paraId="360B6376" w14:textId="77777777">
        <w:trPr>
          <w:trHeight w:val="355"/>
          <w:jc w:val="center"/>
        </w:trPr>
        <w:tc>
          <w:tcPr>
            <w:tcW w:w="923" w:type="dxa"/>
            <w:tcBorders>
              <w:top w:val="nil"/>
              <w:left w:val="nil"/>
              <w:bottom w:val="nil"/>
              <w:right w:val="nil"/>
            </w:tcBorders>
          </w:tcPr>
          <w:p w14:paraId="39E166D5" w14:textId="77777777" w:rsidR="00BD178A" w:rsidRPr="005C0D10" w:rsidRDefault="00BD178A">
            <w:pPr>
              <w:jc w:val="both"/>
              <w:rPr>
                <w:rFonts w:ascii="Arial" w:hAnsi="Arial" w:cs="FrankRuehl"/>
                <w:sz w:val="28"/>
                <w:szCs w:val="28"/>
                <w:rtl/>
              </w:rPr>
            </w:pPr>
          </w:p>
        </w:tc>
        <w:tc>
          <w:tcPr>
            <w:tcW w:w="4126" w:type="dxa"/>
            <w:tcBorders>
              <w:top w:val="nil"/>
              <w:left w:val="nil"/>
              <w:bottom w:val="nil"/>
              <w:right w:val="nil"/>
            </w:tcBorders>
          </w:tcPr>
          <w:p w14:paraId="1732C309" w14:textId="77777777" w:rsidR="00BD178A" w:rsidRPr="005C0D10" w:rsidRDefault="005C0D10">
            <w:pPr>
              <w:jc w:val="both"/>
              <w:rPr>
                <w:rtl/>
              </w:rPr>
            </w:pPr>
            <w:r w:rsidRPr="005C0D10">
              <w:rPr>
                <w:rFonts w:hint="cs"/>
                <w:rtl/>
              </w:rPr>
              <w:t>סאמי בלעום בעצמו וע"י עו"ד זילברמן</w:t>
            </w:r>
          </w:p>
        </w:tc>
        <w:tc>
          <w:tcPr>
            <w:tcW w:w="3771" w:type="dxa"/>
            <w:tcBorders>
              <w:top w:val="nil"/>
              <w:left w:val="nil"/>
              <w:bottom w:val="nil"/>
              <w:right w:val="nil"/>
            </w:tcBorders>
          </w:tcPr>
          <w:p w14:paraId="1170F8F4" w14:textId="77777777" w:rsidR="00BD178A" w:rsidRPr="005C0D10" w:rsidRDefault="00BD178A">
            <w:pPr>
              <w:jc w:val="right"/>
              <w:rPr>
                <w:rFonts w:ascii="Arial" w:hAnsi="Arial" w:cs="FrankRuehl"/>
                <w:sz w:val="28"/>
                <w:szCs w:val="28"/>
              </w:rPr>
            </w:pPr>
          </w:p>
        </w:tc>
      </w:tr>
      <w:tr w:rsidR="00BD178A" w:rsidRPr="005C0D10" w14:paraId="3DFFE739" w14:textId="77777777">
        <w:trPr>
          <w:trHeight w:val="355"/>
          <w:jc w:val="center"/>
        </w:trPr>
        <w:tc>
          <w:tcPr>
            <w:tcW w:w="923" w:type="dxa"/>
            <w:tcBorders>
              <w:top w:val="nil"/>
              <w:left w:val="nil"/>
              <w:bottom w:val="nil"/>
              <w:right w:val="nil"/>
            </w:tcBorders>
          </w:tcPr>
          <w:p w14:paraId="6DF36FE5" w14:textId="77777777" w:rsidR="00BD178A" w:rsidRPr="005C0D10" w:rsidRDefault="00BD178A">
            <w:pPr>
              <w:jc w:val="both"/>
              <w:rPr>
                <w:rFonts w:ascii="Arial" w:hAnsi="Arial" w:cs="FrankRuehl"/>
                <w:sz w:val="28"/>
                <w:szCs w:val="28"/>
                <w:rtl/>
              </w:rPr>
            </w:pPr>
          </w:p>
        </w:tc>
        <w:tc>
          <w:tcPr>
            <w:tcW w:w="4126" w:type="dxa"/>
            <w:tcBorders>
              <w:top w:val="nil"/>
              <w:left w:val="nil"/>
              <w:bottom w:val="nil"/>
              <w:right w:val="nil"/>
            </w:tcBorders>
          </w:tcPr>
          <w:p w14:paraId="2F188FB7" w14:textId="77777777" w:rsidR="00BD178A" w:rsidRPr="005C0D10" w:rsidRDefault="00BD178A">
            <w:pPr>
              <w:jc w:val="both"/>
              <w:rPr>
                <w:rtl/>
              </w:rPr>
            </w:pPr>
          </w:p>
        </w:tc>
        <w:tc>
          <w:tcPr>
            <w:tcW w:w="3771" w:type="dxa"/>
            <w:tcBorders>
              <w:top w:val="nil"/>
              <w:left w:val="nil"/>
              <w:bottom w:val="nil"/>
              <w:right w:val="nil"/>
            </w:tcBorders>
          </w:tcPr>
          <w:p w14:paraId="5C4E2C21" w14:textId="77777777" w:rsidR="00BD178A" w:rsidRPr="005C0D10" w:rsidRDefault="005C0D10">
            <w:pPr>
              <w:jc w:val="right"/>
              <w:rPr>
                <w:rFonts w:ascii="Arial" w:hAnsi="Arial" w:cs="FrankRuehl"/>
                <w:sz w:val="28"/>
                <w:szCs w:val="28"/>
              </w:rPr>
            </w:pPr>
            <w:r w:rsidRPr="005C0D10">
              <w:rPr>
                <w:rFonts w:ascii="Arial" w:hAnsi="Arial" w:cs="FrankRuehl" w:hint="cs"/>
                <w:sz w:val="28"/>
                <w:szCs w:val="28"/>
                <w:rtl/>
              </w:rPr>
              <w:t>ה</w:t>
            </w:r>
            <w:r w:rsidRPr="005C0D10">
              <w:rPr>
                <w:rFonts w:hint="cs"/>
                <w:rtl/>
              </w:rPr>
              <w:t>נאשם</w:t>
            </w:r>
          </w:p>
        </w:tc>
      </w:tr>
    </w:tbl>
    <w:p w14:paraId="1D564B81" w14:textId="77777777" w:rsidR="000D60DD" w:rsidRDefault="000D60DD">
      <w:pPr>
        <w:rPr>
          <w:rtl/>
        </w:rPr>
      </w:pPr>
      <w:bookmarkStart w:id="3" w:name="LawTable"/>
      <w:bookmarkEnd w:id="3"/>
    </w:p>
    <w:p w14:paraId="129B4685" w14:textId="77777777" w:rsidR="000D60DD" w:rsidRPr="000D60DD" w:rsidRDefault="000D60DD" w:rsidP="000D60DD">
      <w:pPr>
        <w:spacing w:after="120" w:line="240" w:lineRule="exact"/>
        <w:ind w:left="283" w:hanging="283"/>
        <w:jc w:val="both"/>
        <w:rPr>
          <w:rFonts w:ascii="FrankRuehl" w:hAnsi="FrankRuehl" w:cs="FrankRuehl"/>
          <w:rtl/>
        </w:rPr>
      </w:pPr>
    </w:p>
    <w:p w14:paraId="69ED07B3" w14:textId="77777777" w:rsidR="000D60DD" w:rsidRPr="000D60DD" w:rsidRDefault="000D60DD" w:rsidP="000D60DD">
      <w:pPr>
        <w:spacing w:after="120" w:line="240" w:lineRule="exact"/>
        <w:ind w:left="283" w:hanging="283"/>
        <w:jc w:val="both"/>
        <w:rPr>
          <w:rFonts w:ascii="FrankRuehl" w:hAnsi="FrankRuehl" w:cs="FrankRuehl"/>
          <w:rtl/>
        </w:rPr>
      </w:pPr>
      <w:r w:rsidRPr="000D60DD">
        <w:rPr>
          <w:rFonts w:ascii="FrankRuehl" w:hAnsi="FrankRuehl" w:cs="FrankRuehl"/>
          <w:rtl/>
        </w:rPr>
        <w:t xml:space="preserve">חקיקה שאוזכרה: </w:t>
      </w:r>
    </w:p>
    <w:p w14:paraId="454D3E63" w14:textId="77777777" w:rsidR="000D60DD" w:rsidRPr="000D60DD" w:rsidRDefault="000D60DD" w:rsidP="000D60DD">
      <w:pPr>
        <w:spacing w:after="120" w:line="240" w:lineRule="exact"/>
        <w:ind w:left="283" w:hanging="283"/>
        <w:jc w:val="both"/>
        <w:rPr>
          <w:rFonts w:ascii="FrankRuehl" w:hAnsi="FrankRuehl" w:cs="FrankRuehl"/>
          <w:rtl/>
        </w:rPr>
      </w:pPr>
      <w:hyperlink r:id="rId6" w:history="1">
        <w:r w:rsidRPr="000D60DD">
          <w:rPr>
            <w:rFonts w:ascii="FrankRuehl" w:hAnsi="FrankRuehl" w:cs="FrankRuehl"/>
            <w:color w:val="0000FF"/>
            <w:u w:val="single"/>
            <w:rtl/>
          </w:rPr>
          <w:t>חוק העונשין, תשל"ז-1977</w:t>
        </w:r>
      </w:hyperlink>
      <w:r w:rsidRPr="000D60DD">
        <w:rPr>
          <w:rFonts w:ascii="FrankRuehl" w:hAnsi="FrankRuehl" w:cs="FrankRuehl"/>
          <w:rtl/>
        </w:rPr>
        <w:t xml:space="preserve">: סע'  </w:t>
      </w:r>
      <w:hyperlink r:id="rId7" w:history="1">
        <w:r w:rsidRPr="000D60DD">
          <w:rPr>
            <w:rFonts w:ascii="FrankRuehl" w:hAnsi="FrankRuehl" w:cs="FrankRuehl"/>
            <w:color w:val="0000FF"/>
            <w:u w:val="single"/>
            <w:rtl/>
          </w:rPr>
          <w:t>144</w:t>
        </w:r>
      </w:hyperlink>
      <w:r w:rsidRPr="000D60DD">
        <w:rPr>
          <w:rFonts w:ascii="FrankRuehl" w:hAnsi="FrankRuehl" w:cs="FrankRuehl"/>
          <w:rtl/>
        </w:rPr>
        <w:t xml:space="preserve">, </w:t>
      </w:r>
      <w:hyperlink r:id="rId8" w:history="1">
        <w:r w:rsidRPr="000D60DD">
          <w:rPr>
            <w:rFonts w:ascii="FrankRuehl" w:hAnsi="FrankRuehl" w:cs="FrankRuehl"/>
            <w:color w:val="0000FF"/>
            <w:u w:val="single"/>
            <w:rtl/>
          </w:rPr>
          <w:t>144(א)</w:t>
        </w:r>
      </w:hyperlink>
      <w:r w:rsidRPr="000D60DD">
        <w:rPr>
          <w:rFonts w:ascii="FrankRuehl" w:hAnsi="FrankRuehl" w:cs="FrankRuehl"/>
          <w:rtl/>
        </w:rPr>
        <w:t xml:space="preserve">, </w:t>
      </w:r>
      <w:hyperlink r:id="rId9" w:history="1">
        <w:r w:rsidRPr="000D60DD">
          <w:rPr>
            <w:rFonts w:ascii="FrankRuehl" w:hAnsi="FrankRuehl" w:cs="FrankRuehl"/>
            <w:color w:val="0000FF"/>
            <w:u w:val="single"/>
            <w:rtl/>
          </w:rPr>
          <w:t>406(ב)</w:t>
        </w:r>
      </w:hyperlink>
    </w:p>
    <w:p w14:paraId="3F5F2612" w14:textId="77777777" w:rsidR="000D60DD" w:rsidRPr="000D60DD" w:rsidRDefault="000D60DD" w:rsidP="000D60DD">
      <w:pPr>
        <w:spacing w:after="120" w:line="240" w:lineRule="exact"/>
        <w:ind w:left="283" w:hanging="283"/>
        <w:jc w:val="both"/>
        <w:rPr>
          <w:rFonts w:ascii="FrankRuehl" w:hAnsi="FrankRuehl" w:cs="FrankRuehl"/>
          <w:rtl/>
        </w:rPr>
      </w:pPr>
    </w:p>
    <w:p w14:paraId="40444CAB" w14:textId="77777777" w:rsidR="000D60DD" w:rsidRPr="000D60DD" w:rsidRDefault="000D60DD">
      <w:pPr>
        <w:rPr>
          <w:rtl/>
        </w:rPr>
      </w:pPr>
      <w:bookmarkStart w:id="4" w:name="LawTable_End"/>
      <w:bookmarkEnd w:id="4"/>
    </w:p>
    <w:p w14:paraId="173E0494" w14:textId="77777777" w:rsidR="00E179DD" w:rsidRPr="00E179DD" w:rsidRDefault="00E179DD">
      <w:pPr>
        <w:rPr>
          <w:rtl/>
        </w:rPr>
      </w:pPr>
    </w:p>
    <w:p w14:paraId="41426E0B" w14:textId="77777777" w:rsidR="00E179DD" w:rsidRPr="00E179DD" w:rsidRDefault="00E179DD">
      <w:pPr>
        <w:rPr>
          <w:rtl/>
        </w:rPr>
      </w:pPr>
    </w:p>
    <w:p w14:paraId="2C847264" w14:textId="77777777" w:rsidR="00BD178A" w:rsidRPr="00E179DD" w:rsidRDefault="00BD178A"/>
    <w:p w14:paraId="70252A5C" w14:textId="77777777" w:rsidR="003E60CA" w:rsidRPr="003E60CA" w:rsidRDefault="003E60CA">
      <w:pPr>
        <w:rPr>
          <w:rtl/>
        </w:rPr>
      </w:pPr>
    </w:p>
    <w:p w14:paraId="5CD708ED" w14:textId="77777777" w:rsidR="003E60CA" w:rsidRPr="003E60CA" w:rsidRDefault="003E60CA">
      <w:pPr>
        <w:rPr>
          <w:rtl/>
        </w:rPr>
      </w:pPr>
    </w:p>
    <w:p w14:paraId="407E4F87" w14:textId="77777777" w:rsidR="00BD178A" w:rsidRPr="003E60CA" w:rsidRDefault="00BD178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178A" w14:paraId="4A40333E" w14:textId="77777777">
        <w:trPr>
          <w:trHeight w:val="355"/>
          <w:jc w:val="center"/>
        </w:trPr>
        <w:tc>
          <w:tcPr>
            <w:tcW w:w="8820" w:type="dxa"/>
            <w:tcBorders>
              <w:top w:val="nil"/>
              <w:left w:val="nil"/>
              <w:bottom w:val="nil"/>
              <w:right w:val="nil"/>
            </w:tcBorders>
          </w:tcPr>
          <w:p w14:paraId="48BDC94E" w14:textId="77777777" w:rsidR="00BD178A" w:rsidRDefault="005C0D10" w:rsidP="00DA169E">
            <w:pPr>
              <w:jc w:val="center"/>
              <w:rPr>
                <w:rFonts w:ascii="Arial" w:hAnsi="Arial" w:cs="FrankRuehl"/>
                <w:sz w:val="32"/>
                <w:szCs w:val="32"/>
                <w:u w:val="single"/>
                <w:rtl/>
              </w:rPr>
            </w:pPr>
            <w:bookmarkStart w:id="5" w:name="PsakDin"/>
            <w:r w:rsidRPr="005C0D10">
              <w:rPr>
                <w:rFonts w:ascii="Arial" w:hAnsi="Arial" w:cs="FrankRuehl"/>
                <w:b/>
                <w:bCs/>
                <w:sz w:val="32"/>
                <w:szCs w:val="32"/>
                <w:u w:val="single"/>
                <w:rtl/>
              </w:rPr>
              <w:t>גזר דין</w:t>
            </w:r>
            <w:bookmarkEnd w:id="5"/>
          </w:p>
          <w:p w14:paraId="33E09851" w14:textId="77777777" w:rsidR="00BD178A" w:rsidRDefault="00BD178A">
            <w:pPr>
              <w:jc w:val="center"/>
              <w:rPr>
                <w:rFonts w:ascii="Arial" w:hAnsi="Arial" w:cs="FrankRuehl"/>
                <w:sz w:val="32"/>
                <w:szCs w:val="32"/>
                <w:u w:val="single"/>
                <w:rtl/>
              </w:rPr>
            </w:pPr>
          </w:p>
        </w:tc>
      </w:tr>
    </w:tbl>
    <w:bookmarkEnd w:id="0"/>
    <w:bookmarkEnd w:id="1"/>
    <w:p w14:paraId="1BFAA6DF" w14:textId="77777777" w:rsidR="00BD178A" w:rsidRDefault="005C0D10">
      <w:pPr>
        <w:spacing w:line="360" w:lineRule="auto"/>
        <w:ind w:left="720" w:hanging="720"/>
        <w:jc w:val="both"/>
      </w:pPr>
      <w:r>
        <w:rPr>
          <w:rFonts w:hint="cs"/>
          <w:rtl/>
        </w:rPr>
        <w:t>1.</w:t>
      </w:r>
      <w:r>
        <w:rPr>
          <w:rFonts w:hint="cs"/>
          <w:rtl/>
        </w:rPr>
        <w:tab/>
      </w:r>
      <w:bookmarkStart w:id="6" w:name="ABSTRACT_START"/>
      <w:bookmarkEnd w:id="6"/>
      <w:r>
        <w:rPr>
          <w:rFonts w:hint="cs"/>
          <w:rtl/>
        </w:rPr>
        <w:t>הנאשם הורשע על יסוד הודאתו בביצוע עבירות של כניסה והתפרצות למ</w:t>
      </w:r>
      <w:r w:rsidR="00E179DD">
        <w:rPr>
          <w:rFonts w:hint="cs"/>
          <w:rtl/>
        </w:rPr>
        <w:t xml:space="preserve">קום מגורים וגניבה, לפי סעיף </w:t>
      </w:r>
      <w:hyperlink r:id="rId10" w:history="1">
        <w:r w:rsidR="00E179DD" w:rsidRPr="00E179DD">
          <w:rPr>
            <w:color w:val="0000FF"/>
            <w:u w:val="single"/>
            <w:rtl/>
          </w:rPr>
          <w:t>406(ב)</w:t>
        </w:r>
      </w:hyperlink>
      <w:r>
        <w:rPr>
          <w:rFonts w:hint="cs"/>
          <w:rtl/>
        </w:rPr>
        <w:t xml:space="preserve"> סיפא ל</w:t>
      </w:r>
      <w:hyperlink r:id="rId11" w:history="1">
        <w:r w:rsidR="003E60CA" w:rsidRPr="003E60CA">
          <w:rPr>
            <w:rStyle w:val="Hyperlink"/>
            <w:rtl/>
          </w:rPr>
          <w:t>חוק העונשין</w:t>
        </w:r>
      </w:hyperlink>
      <w:r>
        <w:rPr>
          <w:rFonts w:hint="cs"/>
          <w:rtl/>
        </w:rPr>
        <w:t xml:space="preserve">, התשל"ז-1977 (להלן: "חוק העונשין") והחזקת אבזר של נשק ותחמושת, לפי </w:t>
      </w:r>
      <w:hyperlink r:id="rId12" w:history="1">
        <w:r w:rsidR="00E179DD" w:rsidRPr="00E179DD">
          <w:rPr>
            <w:color w:val="0000FF"/>
            <w:u w:val="single"/>
            <w:rtl/>
          </w:rPr>
          <w:t>סעיף 144(א)</w:t>
        </w:r>
      </w:hyperlink>
      <w:r>
        <w:rPr>
          <w:rFonts w:hint="cs"/>
          <w:rtl/>
        </w:rPr>
        <w:t xml:space="preserve"> סיפא לחוק העונשין.</w:t>
      </w:r>
      <w:bookmarkStart w:id="7" w:name="ABSTRACT_END"/>
      <w:bookmarkEnd w:id="7"/>
    </w:p>
    <w:p w14:paraId="79E06837" w14:textId="77777777" w:rsidR="00BD178A" w:rsidRDefault="00BD178A">
      <w:pPr>
        <w:spacing w:line="360" w:lineRule="auto"/>
        <w:jc w:val="both"/>
        <w:rPr>
          <w:rtl/>
        </w:rPr>
      </w:pPr>
    </w:p>
    <w:p w14:paraId="310AF074" w14:textId="77777777" w:rsidR="00BD178A" w:rsidRDefault="005C0D10">
      <w:pPr>
        <w:spacing w:line="360" w:lineRule="auto"/>
        <w:ind w:left="720" w:hanging="720"/>
        <w:jc w:val="both"/>
        <w:rPr>
          <w:rtl/>
        </w:rPr>
      </w:pPr>
      <w:r>
        <w:rPr>
          <w:rFonts w:hint="cs"/>
          <w:rtl/>
        </w:rPr>
        <w:t>2.</w:t>
      </w:r>
      <w:r>
        <w:rPr>
          <w:rFonts w:hint="cs"/>
          <w:rtl/>
        </w:rPr>
        <w:tab/>
        <w:t>על-פי האישום הראשון, בין המועדים 18.10.11 – 17.10.11, התפרץ הנאשם לבית בישוב יד חנה, בכך שפתח את חלון הבית באמצעות מברג וגנב משחזה ומקדחה.</w:t>
      </w:r>
    </w:p>
    <w:p w14:paraId="0BB77054" w14:textId="77777777" w:rsidR="00BD178A" w:rsidRDefault="00BD178A">
      <w:pPr>
        <w:spacing w:line="360" w:lineRule="auto"/>
        <w:rPr>
          <w:rtl/>
        </w:rPr>
      </w:pPr>
    </w:p>
    <w:p w14:paraId="175D065B" w14:textId="77777777" w:rsidR="00BD178A" w:rsidRDefault="005C0D10">
      <w:pPr>
        <w:spacing w:line="360" w:lineRule="auto"/>
        <w:ind w:left="720" w:hanging="720"/>
        <w:rPr>
          <w:rtl/>
        </w:rPr>
      </w:pPr>
      <w:r>
        <w:rPr>
          <w:rFonts w:hint="cs"/>
          <w:rtl/>
        </w:rPr>
        <w:tab/>
        <w:t>על פי האישום השני, ביום 1.12.11 במהלך חיפוש שבוצע בביתו של הנאשם בטייבה, נמצא מחזיק בתוך מגירה במחסנית נשק ו- 6 כדורי תחמושת.</w:t>
      </w:r>
    </w:p>
    <w:p w14:paraId="66C9A19B" w14:textId="77777777" w:rsidR="00BD178A" w:rsidRDefault="00BD178A">
      <w:pPr>
        <w:spacing w:line="360" w:lineRule="auto"/>
        <w:rPr>
          <w:rtl/>
        </w:rPr>
      </w:pPr>
    </w:p>
    <w:p w14:paraId="60499B43" w14:textId="77777777" w:rsidR="00BD178A" w:rsidRDefault="005C0D10">
      <w:pPr>
        <w:spacing w:line="360" w:lineRule="auto"/>
        <w:ind w:left="720" w:hanging="720"/>
        <w:jc w:val="both"/>
        <w:rPr>
          <w:rtl/>
        </w:rPr>
      </w:pPr>
      <w:r>
        <w:rPr>
          <w:rFonts w:hint="cs"/>
          <w:rtl/>
        </w:rPr>
        <w:t>3.</w:t>
      </w:r>
      <w:r>
        <w:rPr>
          <w:rFonts w:hint="cs"/>
          <w:rtl/>
        </w:rPr>
        <w:tab/>
        <w:t xml:space="preserve">במסגרת ההסדר, הוסכם על שליחת הנאשם לקבלת תסקיר בעניינו. לאחר שהתקבלו שני תסקירים נדברו ב"כ הצדדים ביניהם, אך לא התגבשו הסכמות לעניין העונש.  </w:t>
      </w:r>
    </w:p>
    <w:p w14:paraId="02D63F06" w14:textId="77777777" w:rsidR="00BD178A" w:rsidRDefault="00BD178A">
      <w:pPr>
        <w:spacing w:line="360" w:lineRule="auto"/>
        <w:ind w:left="720" w:hanging="720"/>
        <w:jc w:val="both"/>
        <w:rPr>
          <w:rtl/>
        </w:rPr>
      </w:pPr>
    </w:p>
    <w:p w14:paraId="703C68F2" w14:textId="77777777" w:rsidR="00BD178A" w:rsidRDefault="005C0D10">
      <w:pPr>
        <w:spacing w:line="360" w:lineRule="auto"/>
        <w:ind w:left="720" w:hanging="720"/>
        <w:jc w:val="both"/>
        <w:rPr>
          <w:rtl/>
        </w:rPr>
      </w:pPr>
      <w:r>
        <w:rPr>
          <w:rFonts w:hint="cs"/>
          <w:rtl/>
        </w:rPr>
        <w:t>4.</w:t>
      </w:r>
      <w:r>
        <w:rPr>
          <w:rFonts w:hint="cs"/>
          <w:rtl/>
        </w:rPr>
        <w:tab/>
        <w:t xml:space="preserve">מתסקירי שירות המבחן שהוגשו בעניינו של הנאשם עולה כי הנאשם בן 37, נשוי ואב לשני ילדים רכים בני שנתיים ושלוש שנים.  בעברו הרשעה אחת בעבירה של החזקת סמים שלא לצריכה עצמית משנת 2001 (רישום פלילי הוגש - ת/1) בגינה הוטל עליו מאסר מותנה. הנאשם נפגע בתאונת דרכים קשה בשנת 2005, נחבל בראש ובאגן ובתחילה טען, כי מאז אינו עובד, מוכר ע"י המוסד לביטוח לאומי כבעל נכות בשיעור 65% ומקבל תמיכה כלכלית ממשפחתו. הנאשם שיתף את שירות המבחן כי השתמש בסמים באופן חברתי בגיל 18, אך מזה 10 שנים הפסיק השימוש. בתסקיר הראשון מיום 31.5.12 מצויין, כי הופנה לבדיקת שתן – פתע, בה נמצאו שרידי סם מסוכן "קוקאין". הנאשם עומת עם ממצאי הבדיקה ומסר לקצינת המבחן כי שב להשתמש בסמים על רקע שהייתו ב"מעצר בית" בגין ההליך דנן. הנאשם לא שיתף בדפוסי שימוש ולא נתן הסבר לפער בין הצהרותיו בדבר הפסקת שימוש לממצאי הבדיקה. הנאשם תיאר בפני קצינת המבחן כי ביכולתו להפסיק שימוש בסמים תוך שהתמקד ברצונו לסיים את ההליך המשפטי אשר לדבריו היה מרתיע עבורו. </w:t>
      </w:r>
    </w:p>
    <w:p w14:paraId="58930CB8" w14:textId="77777777" w:rsidR="00BD178A" w:rsidRDefault="00BD178A">
      <w:pPr>
        <w:spacing w:line="360" w:lineRule="auto"/>
        <w:ind w:left="720" w:hanging="720"/>
        <w:jc w:val="both"/>
        <w:rPr>
          <w:rtl/>
        </w:rPr>
      </w:pPr>
    </w:p>
    <w:p w14:paraId="1C5BC28B" w14:textId="77777777" w:rsidR="00BD178A" w:rsidRDefault="005C0D10">
      <w:pPr>
        <w:spacing w:line="360" w:lineRule="auto"/>
        <w:ind w:left="720"/>
        <w:jc w:val="both"/>
        <w:rPr>
          <w:rtl/>
        </w:rPr>
      </w:pPr>
      <w:r>
        <w:rPr>
          <w:rFonts w:hint="cs"/>
          <w:rtl/>
        </w:rPr>
        <w:t>למרות העדר המלצה טיפולית כבר בתסקיר הראשון, ניתנה לנאשם הזדמנות נוספת לשתף פעולה עם שירות המבחן, והדיון נדחה לקבלת תסקיר משלים. קצינת המבחן מציינת את התרשמותה, כי הגיע לפגישה מרושל כשהוא תחת השפעת סמים, אך הוא שלל זאת. טען כי הוא עובד כאינסטלטור – עצמאי וממוקד בפרנסת משפחתו,  אך לא הציג כל מסמך או תלוש אשר אישר זאת. הנאשם מסר 4 בדיקות שתן, כשבשלושה מהן נמצאו שרידי קריאטאנין במינון נמוך; בדיקת השתן האחרונה הייתה נקייה משרידי סם. הנאשם התקשה להסביר את ממצאי הבדיקות, חזר וטען כי הפסיק להשתמש בסם וכי אינו זקוק לכל טיפול בנושא.</w:t>
      </w:r>
    </w:p>
    <w:p w14:paraId="0742FDDB" w14:textId="77777777" w:rsidR="00BD178A" w:rsidRDefault="00BD178A">
      <w:pPr>
        <w:spacing w:line="360" w:lineRule="auto"/>
        <w:ind w:left="720"/>
        <w:jc w:val="both"/>
        <w:rPr>
          <w:rtl/>
        </w:rPr>
      </w:pPr>
    </w:p>
    <w:p w14:paraId="3011663E" w14:textId="77777777" w:rsidR="00BD178A" w:rsidRDefault="005C0D10">
      <w:pPr>
        <w:spacing w:line="360" w:lineRule="auto"/>
        <w:ind w:left="720"/>
        <w:jc w:val="both"/>
        <w:rPr>
          <w:rtl/>
        </w:rPr>
      </w:pPr>
      <w:r>
        <w:rPr>
          <w:rFonts w:hint="cs"/>
          <w:rtl/>
        </w:rPr>
        <w:t xml:space="preserve">בהתייחס למעורבותו בעבירות דנן, הנאשם מסר הסברים ילדותיים, התקשה לבדוק את הרקע הרגשי למעורבותו בפלילים, נטה להמעיט מחומרת העבירות והדגיש חרטתו על הסתבכויותיו. </w:t>
      </w:r>
    </w:p>
    <w:p w14:paraId="268C2E65" w14:textId="77777777" w:rsidR="00BD178A" w:rsidRDefault="005C0D10">
      <w:pPr>
        <w:spacing w:line="360" w:lineRule="auto"/>
        <w:ind w:left="720" w:hanging="720"/>
        <w:jc w:val="both"/>
        <w:rPr>
          <w:rtl/>
        </w:rPr>
      </w:pPr>
      <w:r>
        <w:rPr>
          <w:rFonts w:hint="cs"/>
          <w:rtl/>
        </w:rPr>
        <w:tab/>
      </w:r>
    </w:p>
    <w:p w14:paraId="6ADC924F" w14:textId="77777777" w:rsidR="00BD178A" w:rsidRDefault="005C0D10">
      <w:pPr>
        <w:spacing w:line="360" w:lineRule="auto"/>
        <w:ind w:left="720" w:hanging="720"/>
        <w:jc w:val="both"/>
        <w:rPr>
          <w:rtl/>
        </w:rPr>
      </w:pPr>
      <w:r>
        <w:rPr>
          <w:rFonts w:hint="cs"/>
          <w:rtl/>
        </w:rPr>
        <w:tab/>
        <w:t>קצינת המבחן התרשמה מאדם חלש, אשר חבר בגיל צעיר לחברה שולית והשתמש בסמים, המבטא רחמים עצמיים וקורבנות סביב מצבו הרפואי, אינו יציב מבחינה תעסוקתית, ממעיט מחומרת מעורבותו בעבירות דנן ואינו מגלה הבנה לבעייתיות  שבשימוש בסם.</w:t>
      </w:r>
    </w:p>
    <w:p w14:paraId="2AE5D4B1" w14:textId="77777777" w:rsidR="00BD178A" w:rsidRDefault="00BD178A">
      <w:pPr>
        <w:spacing w:line="360" w:lineRule="auto"/>
        <w:ind w:left="720" w:hanging="720"/>
        <w:jc w:val="both"/>
        <w:rPr>
          <w:rtl/>
        </w:rPr>
      </w:pPr>
    </w:p>
    <w:p w14:paraId="4E1D44AB" w14:textId="77777777" w:rsidR="00BD178A" w:rsidRDefault="005C0D10">
      <w:pPr>
        <w:spacing w:line="360" w:lineRule="auto"/>
        <w:ind w:left="720" w:hanging="720"/>
        <w:jc w:val="both"/>
        <w:rPr>
          <w:rtl/>
        </w:rPr>
      </w:pPr>
      <w:r>
        <w:rPr>
          <w:rFonts w:hint="cs"/>
          <w:rtl/>
        </w:rPr>
        <w:tab/>
        <w:t>לאור מכלול הנתונים, מאחר והנאשם מטשטש מצבו בנושא השימוש בסמים ונוכח סירובו להשתלב בטיפול גמילה, חזרה קצינת המבחן על עמדתה תוך שנמנעה מהמלצה טיפולית בעניינו.</w:t>
      </w:r>
    </w:p>
    <w:p w14:paraId="53E04111" w14:textId="77777777" w:rsidR="00BD178A" w:rsidRDefault="005C0D10">
      <w:pPr>
        <w:spacing w:line="360" w:lineRule="auto"/>
        <w:ind w:left="720" w:hanging="720"/>
        <w:jc w:val="both"/>
        <w:rPr>
          <w:rtl/>
        </w:rPr>
      </w:pPr>
      <w:r>
        <w:rPr>
          <w:rFonts w:hint="cs"/>
          <w:rtl/>
        </w:rPr>
        <w:tab/>
      </w:r>
    </w:p>
    <w:p w14:paraId="5D2D070F" w14:textId="77777777" w:rsidR="00BD178A" w:rsidRDefault="005C0D10">
      <w:pPr>
        <w:spacing w:line="360" w:lineRule="auto"/>
        <w:ind w:left="720" w:hanging="720"/>
        <w:jc w:val="both"/>
        <w:rPr>
          <w:rtl/>
        </w:rPr>
      </w:pPr>
      <w:r>
        <w:rPr>
          <w:rFonts w:hint="cs"/>
          <w:rtl/>
        </w:rPr>
        <w:lastRenderedPageBreak/>
        <w:t>5.</w:t>
      </w:r>
      <w:r>
        <w:rPr>
          <w:rFonts w:hint="cs"/>
          <w:rtl/>
        </w:rPr>
        <w:tab/>
        <w:t>ב"כ המאשימה עתרה להשית על הנאשם מאסר בפועל, מאסר על תנאי, קנס ופיצוי למתלונן. ב"כ הנאשם עתר להסתפק בהשתת מאסר שירוצה בדרך עבודות שירות.</w:t>
      </w:r>
    </w:p>
    <w:p w14:paraId="2374BB25" w14:textId="77777777" w:rsidR="00BD178A" w:rsidRDefault="00BD178A">
      <w:pPr>
        <w:spacing w:line="360" w:lineRule="auto"/>
        <w:jc w:val="both"/>
        <w:rPr>
          <w:rtl/>
        </w:rPr>
      </w:pPr>
    </w:p>
    <w:p w14:paraId="503C351C" w14:textId="77777777" w:rsidR="00BD178A" w:rsidRDefault="005C0D10">
      <w:pPr>
        <w:spacing w:line="360" w:lineRule="auto"/>
        <w:ind w:left="720"/>
        <w:jc w:val="both"/>
        <w:rPr>
          <w:rtl/>
        </w:rPr>
      </w:pPr>
      <w:r>
        <w:rPr>
          <w:rFonts w:hint="cs"/>
          <w:rtl/>
        </w:rPr>
        <w:t>ב"כ המאשימה הדגישה את חומרת העבירות שביצע הנאשם, ואת הסיכון הטמון בהתפרצות לבית אשר עלולה להתפתח ולהסלים לאלימות; זאת, בשעה שבנוסף, החזיק הנאשם אביזרי נשק בביתו. ב"כ המאשימה הפנתה לאמור בתסקיר שירות המבחן באשר לרקע לביצוע העבירות – צריכת סמים, העדר תובנה לחומרת העבירות ולצורך בגמילה, וכן הדגישה העדרה של המלצה טיפולית על רקע סירובו להשתלב בטיפול.</w:t>
      </w:r>
    </w:p>
    <w:p w14:paraId="30CE55A1" w14:textId="77777777" w:rsidR="00BD178A" w:rsidRDefault="00BD178A">
      <w:pPr>
        <w:spacing w:line="360" w:lineRule="auto"/>
        <w:ind w:left="720" w:hanging="720"/>
        <w:jc w:val="both"/>
        <w:rPr>
          <w:rtl/>
        </w:rPr>
      </w:pPr>
    </w:p>
    <w:p w14:paraId="76B7CEE3" w14:textId="77777777" w:rsidR="00BD178A" w:rsidRDefault="005C0D10">
      <w:pPr>
        <w:spacing w:line="360" w:lineRule="auto"/>
        <w:ind w:left="720"/>
        <w:jc w:val="both"/>
        <w:rPr>
          <w:rtl/>
        </w:rPr>
      </w:pPr>
      <w:r>
        <w:rPr>
          <w:rFonts w:hint="cs"/>
          <w:rtl/>
        </w:rPr>
        <w:t>הסנגור ביקש לשכנע, כי ממצאי בדיקות השתן אינן מצביעות על ממצא ברור – במיוחד על רקע השימוש בתרופות נוכח מצבו הרפואי, כשהדגיש כי בדיקת השתן האחרונה נמצאה נקיה. פירט את השיקולים העומדים לזכותו של הנאשם: הודאת הנאשם במיוחס לו, נטילת אחריות בגין מעשיו וכן היפנה לעברו הפלילי המינורי, כשלא ריצה מאסר בפועל בחייו. עוד ביקש להתחשב במצבו הבריאותי נוכח תאונת הדרכים שעבר. בהקשר של נסיבות ביצוע העבירות הזכיר, כי לא נתפס בביתו של הנאשם נשק אלא מחסנית וכדורים בלבד. הסנגור עתר לאפשר דחיה נוספת לצורך מסירת בדיקות שתן (בקשה אשר לא נתקבלה) ולהפנות את הנאשם לממונה על עבודות שירות על-מנת לבחון ריצוי עונש המאסר בדרך זו.</w:t>
      </w:r>
    </w:p>
    <w:p w14:paraId="0488CCA9" w14:textId="77777777" w:rsidR="00BD178A" w:rsidRDefault="005C0D10">
      <w:pPr>
        <w:spacing w:line="360" w:lineRule="auto"/>
        <w:ind w:left="720" w:hanging="720"/>
        <w:jc w:val="both"/>
        <w:rPr>
          <w:rtl/>
        </w:rPr>
      </w:pPr>
      <w:r>
        <w:rPr>
          <w:rFonts w:hint="cs"/>
          <w:rtl/>
        </w:rPr>
        <w:t xml:space="preserve"> </w:t>
      </w:r>
    </w:p>
    <w:p w14:paraId="0F201BFB" w14:textId="77777777" w:rsidR="00BD178A" w:rsidRDefault="005C0D10">
      <w:pPr>
        <w:spacing w:line="360" w:lineRule="auto"/>
        <w:ind w:left="720" w:hanging="720"/>
        <w:jc w:val="both"/>
        <w:rPr>
          <w:rtl/>
        </w:rPr>
      </w:pPr>
      <w:r>
        <w:rPr>
          <w:rFonts w:hint="cs"/>
          <w:rtl/>
        </w:rPr>
        <w:t>6.</w:t>
      </w:r>
      <w:r>
        <w:rPr>
          <w:rFonts w:hint="cs"/>
          <w:rtl/>
        </w:rPr>
        <w:tab/>
        <w:t>הנאשם בחר שלא לומר דבר לבית-המשפט.</w:t>
      </w:r>
    </w:p>
    <w:p w14:paraId="5DDE2294" w14:textId="77777777" w:rsidR="00BD178A" w:rsidRDefault="00BD178A">
      <w:pPr>
        <w:spacing w:line="360" w:lineRule="auto"/>
        <w:ind w:left="720" w:hanging="720"/>
        <w:jc w:val="both"/>
        <w:rPr>
          <w:rtl/>
        </w:rPr>
      </w:pPr>
    </w:p>
    <w:p w14:paraId="2DE18306" w14:textId="77777777" w:rsidR="00BD178A" w:rsidRDefault="005C0D10">
      <w:pPr>
        <w:spacing w:line="360" w:lineRule="auto"/>
        <w:ind w:left="720" w:hanging="720"/>
        <w:jc w:val="both"/>
        <w:rPr>
          <w:rtl/>
        </w:rPr>
      </w:pPr>
      <w:r>
        <w:rPr>
          <w:rFonts w:hint="cs"/>
          <w:rtl/>
        </w:rPr>
        <w:t>7.</w:t>
      </w:r>
      <w:r>
        <w:rPr>
          <w:rFonts w:hint="cs"/>
          <w:rtl/>
        </w:rPr>
        <w:tab/>
        <w:t>נסיבות ביצוע העבירות, חומרתן ונפיצותן  - לצד מצבו של הנאשם, מבססים את גישת התביעה לפיה יש להטיל על הנאשם ענישה כגמול על מעשיו, באשר פגע הוא בביתו-מבצרו של המתלונן, בתחושת הבטחון שלו וברכושו, כשבנוסף נמצא מחזיק בתחמושת בביתו שלו במהלך אותה תקופה.</w:t>
      </w:r>
    </w:p>
    <w:p w14:paraId="3F6C4F4D" w14:textId="77777777" w:rsidR="00BD178A" w:rsidRDefault="00BD178A">
      <w:pPr>
        <w:spacing w:line="360" w:lineRule="auto"/>
        <w:ind w:left="720"/>
        <w:jc w:val="both"/>
        <w:rPr>
          <w:rtl/>
        </w:rPr>
      </w:pPr>
    </w:p>
    <w:p w14:paraId="392B19CF" w14:textId="77777777" w:rsidR="00BD178A" w:rsidRDefault="005C0D10">
      <w:pPr>
        <w:spacing w:line="360" w:lineRule="auto"/>
        <w:ind w:left="720" w:hanging="720"/>
        <w:jc w:val="both"/>
        <w:rPr>
          <w:rtl/>
        </w:rPr>
      </w:pPr>
      <w:r>
        <w:rPr>
          <w:rFonts w:hint="cs"/>
          <w:rtl/>
        </w:rPr>
        <w:t>8.</w:t>
      </w:r>
      <w:r>
        <w:rPr>
          <w:rFonts w:hint="cs"/>
          <w:rtl/>
        </w:rPr>
        <w:tab/>
        <w:t>לעניין מדיניות הענישה המתחייבת בנסיבות, ראוי להזכיר את דבריו של כב' השופט מלצר ב</w:t>
      </w:r>
      <w:hyperlink r:id="rId13" w:history="1">
        <w:r w:rsidR="003E60CA" w:rsidRPr="003E60CA">
          <w:rPr>
            <w:rStyle w:val="Hyperlink"/>
            <w:rtl/>
          </w:rPr>
          <w:t>ע"פ 7453/08</w:t>
        </w:r>
      </w:hyperlink>
      <w:r>
        <w:rPr>
          <w:rFonts w:hint="cs"/>
          <w:rtl/>
        </w:rPr>
        <w:t xml:space="preserve">, </w:t>
      </w:r>
      <w:r>
        <w:rPr>
          <w:rFonts w:hint="cs"/>
          <w:b/>
          <w:bCs/>
          <w:rtl/>
        </w:rPr>
        <w:t>מדינת ישראל נגד אואזנה ואח'</w:t>
      </w:r>
      <w:r>
        <w:rPr>
          <w:rFonts w:hint="cs"/>
          <w:rtl/>
        </w:rPr>
        <w:t>, (פורסם בנבו, מיום 31.12.2008):</w:t>
      </w:r>
    </w:p>
    <w:p w14:paraId="4589F610" w14:textId="77777777" w:rsidR="00BD178A" w:rsidRDefault="00BD178A">
      <w:pPr>
        <w:spacing w:line="360" w:lineRule="auto"/>
        <w:ind w:left="1440"/>
        <w:jc w:val="both"/>
        <w:rPr>
          <w:b/>
          <w:bCs/>
          <w:rtl/>
        </w:rPr>
      </w:pPr>
    </w:p>
    <w:p w14:paraId="58B191D0" w14:textId="77777777" w:rsidR="00BD178A" w:rsidRDefault="005C0D10">
      <w:pPr>
        <w:spacing w:line="360" w:lineRule="auto"/>
        <w:ind w:left="1106" w:right="1080"/>
        <w:jc w:val="both"/>
        <w:rPr>
          <w:rtl/>
        </w:rPr>
      </w:pPr>
      <w:r>
        <w:rPr>
          <w:rFonts w:hint="cs"/>
          <w:b/>
          <w:bCs/>
          <w:rtl/>
        </w:rPr>
        <w:t xml:space="preserve">"לגישתי, כינוי עבירות של פריצה וגניבה מבתים, רק כ'עבירות נגד הרכוש' (כפי שמקובל לקרוא לעבירות מסוג זה), הינה הגדרה מוטעית. זאת מאחר שפריצה לביתו של אדם, טומנת בחובה לעיתים קרובות לא רק נזק כלכלי רב, אלא גם צער ועוגמת נפש הנגרמים לקרבנות של עבירות אלה. הנה כי כן, אין מדובר בעבירות נגד רכוש גרידא, אלא בעבירות המפרות את פרטיותו של האדם בצורה הגבוהה ביותר. זאת ועוד: הגדרת עבירות אלו כ'עבירות רכוש', נותנת תחושה מצמצמת וקונוטציה שגויה – לסובבים, באשר למהות העבירות שהתבצעו, הפוגעות במהות המתמצית באמירה 'ביתו של אדם – מבצרו'. ברגע שביתו של אדם נפרץ, תחושת חוסר אונים וחוסר בטחון ממלאת את ליבו. הנה כי כן, הפריצה אינה רק לבית – מבחינה פיזית, אלא בעיקרה חדירה לתך התא האישי – משפחתי השמור ביותר של האדם..." </w:t>
      </w:r>
      <w:r>
        <w:rPr>
          <w:rFonts w:hint="cs"/>
          <w:rtl/>
        </w:rPr>
        <w:t>(סעיף 8 לפסק-הדין).</w:t>
      </w:r>
    </w:p>
    <w:p w14:paraId="2F33B5C6" w14:textId="77777777" w:rsidR="00BD178A" w:rsidRDefault="00BD178A">
      <w:pPr>
        <w:spacing w:line="360" w:lineRule="auto"/>
        <w:ind w:left="1106" w:right="1080"/>
        <w:jc w:val="both"/>
        <w:rPr>
          <w:rtl/>
        </w:rPr>
      </w:pPr>
    </w:p>
    <w:p w14:paraId="6DD14545" w14:textId="77777777" w:rsidR="00BD178A" w:rsidRDefault="005C0D10">
      <w:pPr>
        <w:spacing w:line="360" w:lineRule="auto"/>
        <w:ind w:left="720"/>
        <w:jc w:val="both"/>
        <w:rPr>
          <w:rtl/>
        </w:rPr>
      </w:pPr>
      <w:r>
        <w:rPr>
          <w:rFonts w:hint="cs"/>
          <w:rtl/>
        </w:rPr>
        <w:t>בהמשך, חוזר כב' השופט מלצר על פסיקת בית-המשפט העליון ממנה עולה הדרישה להחמרה בעונשם של עבריינים הפורצים לבתיהם של אזרחים תמימים (סעיף 10 לפסק-הדין).</w:t>
      </w:r>
    </w:p>
    <w:p w14:paraId="105B47D4" w14:textId="77777777" w:rsidR="00BD178A" w:rsidRDefault="00BD178A">
      <w:pPr>
        <w:spacing w:line="360" w:lineRule="auto"/>
        <w:ind w:left="720" w:hanging="720"/>
        <w:jc w:val="both"/>
        <w:rPr>
          <w:rtl/>
        </w:rPr>
      </w:pPr>
    </w:p>
    <w:p w14:paraId="18DF48E4" w14:textId="77777777" w:rsidR="00BD178A" w:rsidRDefault="005C0D10">
      <w:pPr>
        <w:spacing w:line="360" w:lineRule="auto"/>
        <w:ind w:left="720" w:hanging="720"/>
        <w:jc w:val="both"/>
        <w:rPr>
          <w:rtl/>
        </w:rPr>
      </w:pPr>
      <w:r>
        <w:rPr>
          <w:rFonts w:hint="cs"/>
          <w:rtl/>
        </w:rPr>
        <w:t>9.</w:t>
      </w:r>
      <w:r>
        <w:rPr>
          <w:rFonts w:hint="cs"/>
          <w:rtl/>
        </w:rPr>
        <w:tab/>
        <w:t>הדברים נכונים במיוחד בעניינו של הנאשם, כאשר התסקירים בעניינו מבססים את הצורך בהרתעה אישית. עולה תמונה של אדם המצוי בסיכון להישנות עבירות בעתיד, כאשר אין אינדיקציה שהפסיק את השימוש בסמים, אינו בעל תובנה לחומרת מעשיו ומצבו ואינו מעוניין בטיפול.</w:t>
      </w:r>
    </w:p>
    <w:p w14:paraId="48FC0122" w14:textId="77777777" w:rsidR="00BD178A" w:rsidRDefault="00BD178A">
      <w:pPr>
        <w:spacing w:line="360" w:lineRule="auto"/>
        <w:ind w:left="720" w:hanging="720"/>
        <w:jc w:val="both"/>
        <w:rPr>
          <w:rtl/>
        </w:rPr>
      </w:pPr>
    </w:p>
    <w:p w14:paraId="06C458EF" w14:textId="77777777" w:rsidR="00BD178A" w:rsidRDefault="005C0D10">
      <w:pPr>
        <w:spacing w:line="360" w:lineRule="auto"/>
        <w:ind w:left="720" w:hanging="720"/>
        <w:jc w:val="both"/>
        <w:rPr>
          <w:rtl/>
        </w:rPr>
      </w:pPr>
      <w:r>
        <w:rPr>
          <w:rFonts w:hint="cs"/>
          <w:rtl/>
        </w:rPr>
        <w:t>10.</w:t>
      </w:r>
      <w:r>
        <w:rPr>
          <w:rFonts w:hint="cs"/>
          <w:rtl/>
        </w:rPr>
        <w:tab/>
        <w:t>לאור מדיניות הענישה המחייבת, הפגיעה בפרטיותו וברכושו של המתלונן, כשבאותה תקופה נמצא הנאשם מחזיק במחסנית ובכדורים בביתו וכן נוכח נסיבות העושה, עתירת ב"כ המאשימה להטיל על הנאשם מאסר בפועל מאחורי סורג ובריח היא אכן מבוססת וראויה.</w:t>
      </w:r>
    </w:p>
    <w:p w14:paraId="35948BA9" w14:textId="77777777" w:rsidR="00BD178A" w:rsidRDefault="00BD178A">
      <w:pPr>
        <w:spacing w:line="360" w:lineRule="auto"/>
        <w:ind w:left="720" w:hanging="720"/>
        <w:jc w:val="both"/>
        <w:rPr>
          <w:rtl/>
        </w:rPr>
      </w:pPr>
    </w:p>
    <w:p w14:paraId="1EBEAD23" w14:textId="77777777" w:rsidR="00BD178A" w:rsidRDefault="005C0D10">
      <w:pPr>
        <w:spacing w:line="360" w:lineRule="auto"/>
        <w:ind w:left="720" w:hanging="720"/>
        <w:jc w:val="both"/>
        <w:rPr>
          <w:rtl/>
        </w:rPr>
      </w:pPr>
      <w:r>
        <w:rPr>
          <w:rFonts w:hint="cs"/>
          <w:rtl/>
        </w:rPr>
        <w:t>11.</w:t>
      </w:r>
      <w:r>
        <w:rPr>
          <w:rFonts w:hint="cs"/>
          <w:rtl/>
        </w:rPr>
        <w:tab/>
        <w:t xml:space="preserve">לצורך חישוב תקופת המאסר ההולמת, יש לזקוף לטובתו של הנאשם את הודאתו במיוחס לו, ולהתחשב במצבו הרפואי והמשפחתי וכן בתקופה הממושכת בה שהה בתנאים מגבילים. עוד יש ליתן משקל לעובדה שהמדובר במאסר ראשון מאחורי סורג ובריח לנאשם בעל עבר פלילי מינורי. </w:t>
      </w:r>
    </w:p>
    <w:p w14:paraId="1404C9EB" w14:textId="77777777" w:rsidR="00BD178A" w:rsidRDefault="00BD178A">
      <w:pPr>
        <w:spacing w:line="360" w:lineRule="auto"/>
        <w:ind w:left="720" w:hanging="720"/>
        <w:jc w:val="both"/>
        <w:rPr>
          <w:rtl/>
        </w:rPr>
      </w:pPr>
    </w:p>
    <w:p w14:paraId="16C30AAD" w14:textId="77777777" w:rsidR="00BD178A" w:rsidRDefault="005C0D10">
      <w:pPr>
        <w:spacing w:line="360" w:lineRule="auto"/>
        <w:ind w:left="720" w:hanging="720"/>
        <w:jc w:val="both"/>
        <w:rPr>
          <w:rtl/>
        </w:rPr>
      </w:pPr>
      <w:r>
        <w:rPr>
          <w:rFonts w:hint="cs"/>
          <w:rtl/>
        </w:rPr>
        <w:t>12.</w:t>
      </w:r>
      <w:r>
        <w:rPr>
          <w:rFonts w:hint="cs"/>
          <w:rtl/>
        </w:rPr>
        <w:tab/>
        <w:t>אשר על כן, לאחר ששקלתי את כל השיקולים העומדים לזכותו ולחובתו של הנאשם, אני גוזרת עליו את העונשים הבאים:</w:t>
      </w:r>
    </w:p>
    <w:p w14:paraId="537D3B34" w14:textId="77777777" w:rsidR="00BD178A" w:rsidRDefault="005C0D10">
      <w:pPr>
        <w:spacing w:before="100" w:beforeAutospacing="1" w:after="100" w:afterAutospacing="1" w:line="360" w:lineRule="auto"/>
        <w:ind w:left="720"/>
        <w:jc w:val="both"/>
        <w:rPr>
          <w:rFonts w:cs="Times New Roman"/>
          <w:color w:val="FF0000"/>
          <w:rtl/>
        </w:rPr>
      </w:pPr>
      <w:r>
        <w:rPr>
          <w:rFonts w:hint="cs"/>
          <w:rtl/>
        </w:rPr>
        <w:t>10 חודשי מאסר לריצוי בפועל, בניכוי 2 ימי מעצר.</w:t>
      </w:r>
    </w:p>
    <w:p w14:paraId="0655281D" w14:textId="77777777" w:rsidR="00BD178A" w:rsidRDefault="005C0D10">
      <w:pPr>
        <w:spacing w:before="100" w:beforeAutospacing="1" w:after="100" w:afterAutospacing="1" w:line="360" w:lineRule="auto"/>
        <w:ind w:left="720"/>
        <w:jc w:val="both"/>
      </w:pPr>
      <w:r>
        <w:rPr>
          <w:rFonts w:hint="cs"/>
          <w:rtl/>
        </w:rPr>
        <w:t xml:space="preserve">מאסר על תנאי של 10 חודשים למשך 3 שנים מיום שחרורו ממאסר, שלא יעבור עבירות רכוש מסוג פשע ו/או עבירות נשק לפי </w:t>
      </w:r>
      <w:hyperlink r:id="rId14" w:history="1">
        <w:r w:rsidR="00E179DD" w:rsidRPr="00E179DD">
          <w:rPr>
            <w:color w:val="0000FF"/>
            <w:u w:val="single"/>
            <w:rtl/>
          </w:rPr>
          <w:t>סעיף 144</w:t>
        </w:r>
      </w:hyperlink>
      <w:r>
        <w:rPr>
          <w:rFonts w:hint="cs"/>
          <w:rtl/>
        </w:rPr>
        <w:t xml:space="preserve"> ל</w:t>
      </w:r>
      <w:hyperlink r:id="rId15" w:history="1">
        <w:r w:rsidR="003E60CA" w:rsidRPr="003E60CA">
          <w:rPr>
            <w:rStyle w:val="Hyperlink"/>
            <w:rtl/>
          </w:rPr>
          <w:t>חוק העונשין</w:t>
        </w:r>
      </w:hyperlink>
      <w:r>
        <w:rPr>
          <w:rFonts w:hint="cs"/>
          <w:rtl/>
        </w:rPr>
        <w:t xml:space="preserve">; מאסר על תנאי של 4 חודשים למשך 3 שנים מיום שחרורו ממאסר, שלא יעבור עבירות רכוש מסוג עוון. </w:t>
      </w:r>
    </w:p>
    <w:p w14:paraId="0BF09B6F" w14:textId="77777777" w:rsidR="00BD178A" w:rsidRDefault="005C0D10">
      <w:pPr>
        <w:spacing w:line="360" w:lineRule="auto"/>
        <w:ind w:left="720"/>
        <w:jc w:val="both"/>
        <w:rPr>
          <w:rFonts w:cs="Times New Roman"/>
          <w:rtl/>
        </w:rPr>
      </w:pPr>
      <w:r>
        <w:rPr>
          <w:rFonts w:hint="cs"/>
          <w:rtl/>
        </w:rPr>
        <w:t xml:space="preserve">הנאשם ישלם פיצוי על סך 2000₪ למתלונן (ע"ת 7), אשר יופקד בקופת בית-המשפט עד ליום 1.5.13. </w:t>
      </w:r>
    </w:p>
    <w:p w14:paraId="28879BF6" w14:textId="77777777" w:rsidR="00BD178A" w:rsidRDefault="005C0D10">
      <w:pPr>
        <w:spacing w:line="360" w:lineRule="auto"/>
        <w:ind w:left="720"/>
        <w:jc w:val="both"/>
        <w:rPr>
          <w:rtl/>
        </w:rPr>
      </w:pPr>
      <w:r>
        <w:rPr>
          <w:rFonts w:hint="cs"/>
          <w:rtl/>
        </w:rPr>
        <w:t xml:space="preserve">ב"כ המאשימה תודיע למתלונן אודות הפיצוי שנפסק, ותמסור למזכירות פרטי חשבון הבנק שלו. </w:t>
      </w:r>
    </w:p>
    <w:p w14:paraId="7576ED67" w14:textId="77777777" w:rsidR="00BD178A" w:rsidRDefault="005C0D10">
      <w:pPr>
        <w:spacing w:before="100" w:beforeAutospacing="1" w:after="100" w:afterAutospacing="1" w:line="360" w:lineRule="auto"/>
        <w:ind w:left="720"/>
        <w:jc w:val="both"/>
        <w:rPr>
          <w:rtl/>
        </w:rPr>
      </w:pPr>
      <w:r>
        <w:rPr>
          <w:rFonts w:hint="cs"/>
          <w:rtl/>
        </w:rPr>
        <w:t>כמו כן, מטילה על הנאשם קנס בסך 2000₪ או 20 ימי מאסר תמורתו, לתשלום עד ליום 1.8.13.</w:t>
      </w:r>
    </w:p>
    <w:p w14:paraId="6E7E7BBB" w14:textId="77777777" w:rsidR="00BD178A" w:rsidRDefault="005C0D10">
      <w:pPr>
        <w:spacing w:before="100" w:beforeAutospacing="1" w:after="100" w:afterAutospacing="1" w:line="360" w:lineRule="auto"/>
        <w:ind w:left="720"/>
        <w:jc w:val="both"/>
        <w:rPr>
          <w:rtl/>
        </w:rPr>
      </w:pPr>
      <w:r>
        <w:rPr>
          <w:rFonts w:hint="cs"/>
          <w:rtl/>
        </w:rPr>
        <w:t>ניתן צו להשמדת המחסנית והתחמושת.</w:t>
      </w:r>
    </w:p>
    <w:p w14:paraId="055DA3C2" w14:textId="77777777" w:rsidR="00BD178A" w:rsidRDefault="005C0D10">
      <w:pPr>
        <w:spacing w:before="100" w:beforeAutospacing="1" w:after="100" w:afterAutospacing="1" w:line="360" w:lineRule="auto"/>
        <w:jc w:val="both"/>
        <w:rPr>
          <w:rFonts w:ascii="Arial" w:hAnsi="Arial"/>
          <w:rtl/>
        </w:rPr>
      </w:pPr>
      <w:r w:rsidRPr="005C0D10">
        <w:rPr>
          <w:b/>
          <w:bCs/>
          <w:color w:val="FFFFFF"/>
          <w:sz w:val="2"/>
          <w:szCs w:val="2"/>
          <w:rtl/>
        </w:rPr>
        <w:t>5129371</w:t>
      </w:r>
      <w:r>
        <w:rPr>
          <w:rFonts w:hint="cs"/>
          <w:b/>
          <w:bCs/>
          <w:rtl/>
        </w:rPr>
        <w:t xml:space="preserve">הודעה זכות ערעור לבית-המשפט המחוזי בתוך 45 יום. </w:t>
      </w:r>
      <w:bookmarkStart w:id="8" w:name="_GoBack"/>
      <w:bookmarkEnd w:id="8"/>
    </w:p>
    <w:p w14:paraId="745FEF76" w14:textId="77777777" w:rsidR="00BD178A" w:rsidRDefault="00DA169E">
      <w:pPr>
        <w:rPr>
          <w:rFonts w:cs="FrankRuehl"/>
          <w:sz w:val="28"/>
          <w:szCs w:val="28"/>
          <w:rtl/>
        </w:rPr>
      </w:pPr>
      <w:r w:rsidRPr="00DA169E">
        <w:rPr>
          <w:rFonts w:ascii="Arial" w:hAnsi="Arial"/>
          <w:color w:val="FFFFFF"/>
          <w:sz w:val="2"/>
          <w:szCs w:val="2"/>
          <w:rtl/>
        </w:rPr>
        <w:t>5129371</w:t>
      </w:r>
      <w:r w:rsidR="005C0D10" w:rsidRPr="005C0D10">
        <w:rPr>
          <w:rFonts w:ascii="Arial" w:hAnsi="Arial"/>
          <w:color w:val="FFFFFF"/>
          <w:sz w:val="2"/>
          <w:szCs w:val="2"/>
          <w:rtl/>
        </w:rPr>
        <w:t>54678313</w:t>
      </w:r>
      <w:r w:rsidR="005C0D10">
        <w:rPr>
          <w:rFonts w:ascii="Arial" w:hAnsi="Arial"/>
          <w:rtl/>
        </w:rPr>
        <w:t xml:space="preserve">ניתן היום,  11 פברואר 2013, במעמד הנוכחים. </w:t>
      </w:r>
    </w:p>
    <w:p w14:paraId="1F728598" w14:textId="77777777" w:rsidR="005C0D10" w:rsidRPr="00DA169E" w:rsidRDefault="00DA169E" w:rsidP="005C0D10">
      <w:pPr>
        <w:keepNext/>
        <w:rPr>
          <w:rFonts w:ascii="David" w:hAnsi="David"/>
          <w:color w:val="FFFFFF"/>
          <w:sz w:val="2"/>
          <w:szCs w:val="2"/>
          <w:rtl/>
        </w:rPr>
      </w:pPr>
      <w:r w:rsidRPr="00DA169E">
        <w:rPr>
          <w:rFonts w:ascii="David" w:hAnsi="David"/>
          <w:color w:val="FFFFFF"/>
          <w:sz w:val="2"/>
          <w:szCs w:val="2"/>
          <w:rtl/>
        </w:rPr>
        <w:t>54678313</w:t>
      </w:r>
    </w:p>
    <w:p w14:paraId="077BD849" w14:textId="77777777" w:rsidR="00DA169E" w:rsidRPr="00DA169E" w:rsidRDefault="00DA169E" w:rsidP="00DA169E">
      <w:pPr>
        <w:keepNext/>
        <w:rPr>
          <w:rFonts w:ascii="David" w:hAnsi="David"/>
          <w:color w:val="000000"/>
          <w:sz w:val="22"/>
          <w:szCs w:val="22"/>
          <w:rtl/>
        </w:rPr>
      </w:pPr>
    </w:p>
    <w:p w14:paraId="3525279C" w14:textId="77777777" w:rsidR="00DA169E" w:rsidRPr="00DA169E" w:rsidRDefault="00DA169E" w:rsidP="00DA169E">
      <w:pPr>
        <w:keepNext/>
        <w:rPr>
          <w:rFonts w:ascii="David" w:hAnsi="David"/>
          <w:color w:val="000000"/>
          <w:sz w:val="22"/>
          <w:szCs w:val="22"/>
          <w:rtl/>
        </w:rPr>
      </w:pPr>
      <w:r w:rsidRPr="00DA169E">
        <w:rPr>
          <w:rFonts w:ascii="David" w:hAnsi="David"/>
          <w:color w:val="000000"/>
          <w:sz w:val="22"/>
          <w:szCs w:val="22"/>
          <w:rtl/>
        </w:rPr>
        <w:t>דנה מרשק מרום 54678313-/</w:t>
      </w:r>
    </w:p>
    <w:p w14:paraId="6D6D6343" w14:textId="77777777" w:rsidR="005C0D10" w:rsidRDefault="005C0D10" w:rsidP="005C0D10">
      <w:r w:rsidRPr="005C0D10">
        <w:rPr>
          <w:color w:val="000000"/>
          <w:rtl/>
        </w:rPr>
        <w:t>נוסח מסמך זה כפוף לשינויי ניסוח ועריכה</w:t>
      </w:r>
    </w:p>
    <w:p w14:paraId="1885E825" w14:textId="77777777" w:rsidR="005C0D10" w:rsidRDefault="005C0D10" w:rsidP="005C0D10">
      <w:pPr>
        <w:rPr>
          <w:rtl/>
        </w:rPr>
      </w:pPr>
    </w:p>
    <w:p w14:paraId="64278F02" w14:textId="77777777" w:rsidR="005C0D10" w:rsidRDefault="005C0D10" w:rsidP="005C0D10">
      <w:pPr>
        <w:jc w:val="center"/>
        <w:rPr>
          <w:color w:val="0000FF"/>
          <w:u w:val="single"/>
        </w:rPr>
      </w:pPr>
      <w:r w:rsidRPr="008F2576">
        <w:rPr>
          <w:color w:val="000000"/>
          <w:rtl/>
        </w:rPr>
        <w:t>בעניין עריכה ושינויים במסמכי פסיקה, חקיקה ועוד באתר נבו – הקש כאן</w:t>
      </w:r>
    </w:p>
    <w:sectPr w:rsidR="005C0D10" w:rsidSect="00DA169E">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63606" w14:textId="77777777" w:rsidR="002E7C64" w:rsidRPr="00455DA8" w:rsidRDefault="002E7C64">
      <w:pPr>
        <w:rPr>
          <w:rFonts w:cs="Arial"/>
          <w:szCs w:val="20"/>
        </w:rPr>
      </w:pPr>
      <w:r>
        <w:separator/>
      </w:r>
    </w:p>
  </w:endnote>
  <w:endnote w:type="continuationSeparator" w:id="0">
    <w:p w14:paraId="452DAC2A" w14:textId="77777777" w:rsidR="002E7C64" w:rsidRPr="00455DA8" w:rsidRDefault="002E7C6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DB80F" w14:textId="77777777" w:rsidR="005C2B38" w:rsidRDefault="005C2B38" w:rsidP="00DA169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0BAD3EA" w14:textId="77777777" w:rsidR="005C2B38" w:rsidRPr="00DA169E" w:rsidRDefault="005C2B38" w:rsidP="00DA169E">
    <w:pPr>
      <w:pStyle w:val="a4"/>
      <w:pBdr>
        <w:top w:val="single" w:sz="4" w:space="1" w:color="auto"/>
        <w:between w:val="single" w:sz="4" w:space="0" w:color="auto"/>
      </w:pBdr>
      <w:spacing w:after="60"/>
      <w:jc w:val="center"/>
      <w:rPr>
        <w:rFonts w:ascii="FrankRuehl" w:hAnsi="FrankRuehl" w:cs="FrankRuehl"/>
        <w:color w:val="000000"/>
      </w:rPr>
    </w:pPr>
    <w:r w:rsidRPr="00DA16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37CD6" w14:textId="77777777" w:rsidR="005C2B38" w:rsidRDefault="005C2B38" w:rsidP="00DA169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6DD7">
      <w:rPr>
        <w:rFonts w:ascii="FrankRuehl" w:hAnsi="FrankRuehl" w:cs="FrankRuehl"/>
        <w:noProof/>
        <w:rtl/>
      </w:rPr>
      <w:t>1</w:t>
    </w:r>
    <w:r>
      <w:rPr>
        <w:rFonts w:ascii="FrankRuehl" w:hAnsi="FrankRuehl" w:cs="FrankRuehl"/>
        <w:rtl/>
      </w:rPr>
      <w:fldChar w:fldCharType="end"/>
    </w:r>
  </w:p>
  <w:p w14:paraId="4178F290" w14:textId="77777777" w:rsidR="005C2B38" w:rsidRPr="00DA169E" w:rsidRDefault="005C2B38" w:rsidP="00DA169E">
    <w:pPr>
      <w:pStyle w:val="a4"/>
      <w:pBdr>
        <w:top w:val="single" w:sz="4" w:space="1" w:color="auto"/>
        <w:between w:val="single" w:sz="4" w:space="0" w:color="auto"/>
      </w:pBdr>
      <w:spacing w:after="60"/>
      <w:jc w:val="center"/>
      <w:rPr>
        <w:rFonts w:ascii="FrankRuehl" w:hAnsi="FrankRuehl" w:cs="FrankRuehl"/>
        <w:color w:val="000000"/>
      </w:rPr>
    </w:pPr>
    <w:r w:rsidRPr="00DA169E">
      <w:rPr>
        <w:rFonts w:ascii="FrankRuehl" w:hAnsi="FrankRuehl" w:cs="FrankRuehl"/>
        <w:color w:val="000000"/>
      </w:rPr>
      <w:pict w14:anchorId="4DCC7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2A693" w14:textId="77777777" w:rsidR="002E7C64" w:rsidRPr="00455DA8" w:rsidRDefault="002E7C64">
      <w:pPr>
        <w:rPr>
          <w:rFonts w:cs="Arial"/>
          <w:szCs w:val="20"/>
        </w:rPr>
      </w:pPr>
      <w:r>
        <w:separator/>
      </w:r>
    </w:p>
  </w:footnote>
  <w:footnote w:type="continuationSeparator" w:id="0">
    <w:p w14:paraId="729CDD67" w14:textId="77777777" w:rsidR="002E7C64" w:rsidRPr="00455DA8" w:rsidRDefault="002E7C6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DEDA0" w14:textId="77777777" w:rsidR="005C2B38" w:rsidRPr="00DA169E" w:rsidRDefault="005C2B38" w:rsidP="00DA16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4934-12-11</w:t>
    </w:r>
    <w:r>
      <w:rPr>
        <w:rFonts w:ascii="David" w:hAnsi="David"/>
        <w:color w:val="000000"/>
        <w:sz w:val="22"/>
        <w:szCs w:val="22"/>
        <w:rtl/>
      </w:rPr>
      <w:tab/>
      <w:t xml:space="preserve"> מדינת ישראל נ' סאמי בלעום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D394A" w14:textId="77777777" w:rsidR="005C2B38" w:rsidRPr="00DA169E" w:rsidRDefault="005C2B38" w:rsidP="00DA16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4934-12-11</w:t>
    </w:r>
    <w:r>
      <w:rPr>
        <w:rFonts w:ascii="David" w:hAnsi="David"/>
        <w:color w:val="000000"/>
        <w:sz w:val="22"/>
        <w:szCs w:val="22"/>
        <w:rtl/>
      </w:rPr>
      <w:tab/>
      <w:t xml:space="preserve"> מדינת ישראל נ' סאמי בלעום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178A"/>
    <w:rsid w:val="000405AF"/>
    <w:rsid w:val="000D60DD"/>
    <w:rsid w:val="002E7C64"/>
    <w:rsid w:val="003E60CA"/>
    <w:rsid w:val="005C0D10"/>
    <w:rsid w:val="005C2B38"/>
    <w:rsid w:val="00705ED0"/>
    <w:rsid w:val="008F2576"/>
    <w:rsid w:val="00BA1A2C"/>
    <w:rsid w:val="00BD178A"/>
    <w:rsid w:val="00DA169E"/>
    <w:rsid w:val="00DC2E30"/>
    <w:rsid w:val="00E179DD"/>
    <w:rsid w:val="00EA6DD7"/>
    <w:rsid w:val="00F36950"/>
    <w:rsid w:val="00F63629"/>
    <w:rsid w:val="00FE10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AD1336"/>
  <w15:chartTrackingRefBased/>
  <w15:docId w15:val="{C9AE0019-3C3C-4FEE-BDA5-9D52ADF1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178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D178A"/>
    <w:pPr>
      <w:tabs>
        <w:tab w:val="center" w:pos="4153"/>
        <w:tab w:val="right" w:pos="8306"/>
      </w:tabs>
    </w:pPr>
  </w:style>
  <w:style w:type="paragraph" w:styleId="a4">
    <w:name w:val="footer"/>
    <w:basedOn w:val="a"/>
    <w:rsid w:val="00BD178A"/>
    <w:pPr>
      <w:tabs>
        <w:tab w:val="center" w:pos="4153"/>
        <w:tab w:val="right" w:pos="8306"/>
      </w:tabs>
    </w:pPr>
  </w:style>
  <w:style w:type="character" w:styleId="a5">
    <w:name w:val="page number"/>
    <w:basedOn w:val="a0"/>
    <w:rsid w:val="00BD178A"/>
  </w:style>
  <w:style w:type="character" w:styleId="Hyperlink">
    <w:name w:val="Hyperlink"/>
    <w:rsid w:val="005C0D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701236"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144" TargetMode="External"/><Relationship Id="rId12" Type="http://schemas.openxmlformats.org/officeDocument/2006/relationships/hyperlink" Target="http://www.nevo.co.il/law/70301/144.a"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10" Type="http://schemas.openxmlformats.org/officeDocument/2006/relationships/hyperlink" Target="http://www.nevo.co.il/law/70301/406.b"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6.b" TargetMode="External"/><Relationship Id="rId14"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1252</Words>
  <Characters>6260</Characters>
  <Application>Microsoft Office Word</Application>
  <DocSecurity>0</DocSecurity>
  <Lines>52</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7498</CharactersWithSpaces>
  <SharedDoc>false</SharedDoc>
  <HLinks>
    <vt:vector size="60" baseType="variant">
      <vt:variant>
        <vt:i4>7995492</vt:i4>
      </vt:variant>
      <vt:variant>
        <vt:i4>27</vt:i4>
      </vt:variant>
      <vt:variant>
        <vt:i4>0</vt:i4>
      </vt:variant>
      <vt:variant>
        <vt:i4>5</vt:i4>
      </vt:variant>
      <vt:variant>
        <vt:lpwstr>http://www.nevo.co.il/law/70301</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3211377</vt:i4>
      </vt:variant>
      <vt:variant>
        <vt:i4>21</vt:i4>
      </vt:variant>
      <vt:variant>
        <vt:i4>0</vt:i4>
      </vt:variant>
      <vt:variant>
        <vt:i4>5</vt:i4>
      </vt:variant>
      <vt:variant>
        <vt:lpwstr>http://www.nevo.co.il/case/5701236</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4915287</vt:i4>
      </vt:variant>
      <vt:variant>
        <vt:i4>12</vt:i4>
      </vt:variant>
      <vt:variant>
        <vt:i4>0</vt:i4>
      </vt:variant>
      <vt:variant>
        <vt:i4>5</vt:i4>
      </vt:variant>
      <vt:variant>
        <vt:lpwstr>http://www.nevo.co.il/law/70301/406.b</vt:lpwstr>
      </vt:variant>
      <vt:variant>
        <vt:lpwstr/>
      </vt:variant>
      <vt:variant>
        <vt:i4>4915287</vt:i4>
      </vt:variant>
      <vt:variant>
        <vt:i4>9</vt:i4>
      </vt:variant>
      <vt:variant>
        <vt:i4>0</vt:i4>
      </vt:variant>
      <vt:variant>
        <vt:i4>5</vt:i4>
      </vt:variant>
      <vt:variant>
        <vt:lpwstr>http://www.nevo.co.il/law/70301/406.b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4934</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סאמי בלעום</vt:lpwstr>
  </property>
  <property fmtid="{D5CDD505-2E9C-101B-9397-08002B2CF9AE}" pid="10" name="LAWYER">
    <vt:lpwstr>צאלים;פרידמן;זילברמן</vt:lpwstr>
  </property>
  <property fmtid="{D5CDD505-2E9C-101B-9397-08002B2CF9AE}" pid="11" name="JUDGE">
    <vt:lpwstr>דנה מרשק מרום</vt:lpwstr>
  </property>
  <property fmtid="{D5CDD505-2E9C-101B-9397-08002B2CF9AE}" pid="12" name="CITY">
    <vt:lpwstr>כ"ס</vt:lpwstr>
  </property>
  <property fmtid="{D5CDD505-2E9C-101B-9397-08002B2CF9AE}" pid="13" name="DATE">
    <vt:lpwstr>20130211</vt:lpwstr>
  </property>
  <property fmtid="{D5CDD505-2E9C-101B-9397-08002B2CF9AE}" pid="14" name="TYPE_N_DATE">
    <vt:lpwstr>38020130211</vt:lpwstr>
  </property>
  <property fmtid="{D5CDD505-2E9C-101B-9397-08002B2CF9AE}" pid="15" name="WORDNUMPAGES">
    <vt:lpwstr>5</vt:lpwstr>
  </property>
  <property fmtid="{D5CDD505-2E9C-101B-9397-08002B2CF9AE}" pid="16" name="TYPE_ABS_DATE">
    <vt:lpwstr>380020130211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5701236</vt:lpwstr>
  </property>
  <property fmtid="{D5CDD505-2E9C-101B-9397-08002B2CF9AE}" pid="36" name="LAWLISTTMP1">
    <vt:lpwstr>70301/406.b;144.a;144</vt:lpwstr>
  </property>
</Properties>
</file>