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C43CE" w:rsidRPr="004E02DF" w14:paraId="2E369CAF" w14:textId="77777777">
        <w:trPr>
          <w:trHeight w:hRule="exact" w:val="418"/>
          <w:jc w:val="center"/>
        </w:trPr>
        <w:tc>
          <w:tcPr>
            <w:tcW w:w="8721" w:type="dxa"/>
            <w:gridSpan w:val="2"/>
          </w:tcPr>
          <w:p w14:paraId="497BD210" w14:textId="77777777" w:rsidR="00DC43CE" w:rsidRPr="004E02DF" w:rsidRDefault="004E02DF">
            <w:pPr>
              <w:pStyle w:val="a3"/>
              <w:jc w:val="center"/>
              <w:rPr>
                <w:rFonts w:ascii="Tahoma" w:hAnsi="Tahoma" w:cs="Tahoma"/>
                <w:color w:val="000080"/>
                <w:rtl/>
              </w:rPr>
            </w:pPr>
            <w:bookmarkStart w:id="0" w:name="LastJudge"/>
            <w:r w:rsidRPr="004E02DF">
              <w:rPr>
                <w:rFonts w:ascii="Tahoma" w:hAnsi="Tahoma" w:cs="Tahoma"/>
                <w:b/>
                <w:bCs/>
                <w:color w:val="000080"/>
                <w:rtl/>
              </w:rPr>
              <w:t>בית משפט השלום ברמלה</w:t>
            </w:r>
          </w:p>
        </w:tc>
      </w:tr>
      <w:tr w:rsidR="00DC43CE" w:rsidRPr="004E02DF" w14:paraId="10329F27" w14:textId="77777777">
        <w:trPr>
          <w:trHeight w:val="337"/>
          <w:jc w:val="center"/>
        </w:trPr>
        <w:tc>
          <w:tcPr>
            <w:tcW w:w="5058" w:type="dxa"/>
          </w:tcPr>
          <w:p w14:paraId="0025BC7F" w14:textId="77777777" w:rsidR="00DC43CE" w:rsidRPr="004E02DF" w:rsidRDefault="004E02DF">
            <w:pPr>
              <w:rPr>
                <w:rFonts w:cs="FrankRuehl"/>
                <w:sz w:val="28"/>
                <w:szCs w:val="28"/>
                <w:rtl/>
              </w:rPr>
            </w:pPr>
            <w:r w:rsidRPr="004E02DF">
              <w:rPr>
                <w:rFonts w:cs="FrankRuehl"/>
                <w:sz w:val="28"/>
                <w:szCs w:val="28"/>
                <w:rtl/>
              </w:rPr>
              <w:t>ת"פ</w:t>
            </w:r>
            <w:r w:rsidRPr="004E02DF">
              <w:rPr>
                <w:rFonts w:cs="FrankRuehl" w:hint="cs"/>
                <w:sz w:val="28"/>
                <w:szCs w:val="28"/>
                <w:rtl/>
              </w:rPr>
              <w:t xml:space="preserve"> </w:t>
            </w:r>
            <w:r w:rsidRPr="004E02DF">
              <w:rPr>
                <w:rFonts w:cs="FrankRuehl"/>
                <w:sz w:val="28"/>
                <w:szCs w:val="28"/>
                <w:rtl/>
              </w:rPr>
              <w:t>1509-03-12</w:t>
            </w:r>
            <w:r w:rsidRPr="004E02DF">
              <w:rPr>
                <w:rFonts w:cs="FrankRuehl" w:hint="cs"/>
                <w:sz w:val="28"/>
                <w:szCs w:val="28"/>
                <w:rtl/>
              </w:rPr>
              <w:t xml:space="preserve"> </w:t>
            </w:r>
            <w:r w:rsidRPr="004E02DF">
              <w:rPr>
                <w:rFonts w:cs="FrankRuehl"/>
                <w:sz w:val="28"/>
                <w:szCs w:val="28"/>
                <w:rtl/>
              </w:rPr>
              <w:t>פרקליטות מחוז מרכז נ' אבו גריבה(עציר)</w:t>
            </w:r>
          </w:p>
          <w:p w14:paraId="42BCFC39" w14:textId="77777777" w:rsidR="00DC43CE" w:rsidRPr="004E02DF" w:rsidRDefault="00DC43CE">
            <w:pPr>
              <w:pStyle w:val="a3"/>
              <w:rPr>
                <w:rFonts w:cs="FrankRuehl"/>
                <w:sz w:val="28"/>
                <w:szCs w:val="28"/>
                <w:rtl/>
              </w:rPr>
            </w:pPr>
          </w:p>
        </w:tc>
        <w:tc>
          <w:tcPr>
            <w:tcW w:w="3663" w:type="dxa"/>
          </w:tcPr>
          <w:p w14:paraId="6724F75D" w14:textId="77777777" w:rsidR="00DC43CE" w:rsidRPr="004E02DF" w:rsidRDefault="00DC43CE">
            <w:pPr>
              <w:pStyle w:val="a3"/>
              <w:jc w:val="right"/>
              <w:rPr>
                <w:rFonts w:cs="FrankRuehl"/>
                <w:sz w:val="28"/>
                <w:szCs w:val="28"/>
                <w:rtl/>
              </w:rPr>
            </w:pPr>
          </w:p>
        </w:tc>
      </w:tr>
    </w:tbl>
    <w:p w14:paraId="01105205" w14:textId="77777777" w:rsidR="00DC43CE" w:rsidRPr="004E02DF" w:rsidRDefault="004E02DF">
      <w:pPr>
        <w:pStyle w:val="a3"/>
        <w:rPr>
          <w:rtl/>
        </w:rPr>
      </w:pPr>
      <w:r w:rsidRPr="004E02DF">
        <w:rPr>
          <w:rFonts w:hint="cs"/>
          <w:rtl/>
        </w:rPr>
        <w:t xml:space="preserve"> </w:t>
      </w:r>
    </w:p>
    <w:p w14:paraId="6A273BCB" w14:textId="77777777" w:rsidR="00DC43CE" w:rsidRPr="004E02DF" w:rsidRDefault="00DC43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DC43CE" w:rsidRPr="004E02DF" w14:paraId="55D8501D" w14:textId="77777777">
        <w:trPr>
          <w:trHeight w:val="295"/>
          <w:jc w:val="center"/>
        </w:trPr>
        <w:tc>
          <w:tcPr>
            <w:tcW w:w="923" w:type="dxa"/>
            <w:tcBorders>
              <w:top w:val="nil"/>
              <w:left w:val="nil"/>
              <w:bottom w:val="nil"/>
              <w:right w:val="nil"/>
            </w:tcBorders>
          </w:tcPr>
          <w:p w14:paraId="7E2DBA81" w14:textId="77777777" w:rsidR="00DC43CE" w:rsidRPr="004E02DF" w:rsidRDefault="004E02DF">
            <w:pPr>
              <w:jc w:val="both"/>
              <w:rPr>
                <w:rFonts w:ascii="Arial" w:hAnsi="Arial"/>
                <w:b/>
                <w:bCs/>
                <w:sz w:val="28"/>
                <w:szCs w:val="28"/>
              </w:rPr>
            </w:pPr>
            <w:r w:rsidRPr="004E02DF">
              <w:rPr>
                <w:rFonts w:ascii="Arial" w:hAnsi="Arial" w:hint="cs"/>
                <w:b/>
                <w:bCs/>
                <w:sz w:val="28"/>
                <w:szCs w:val="28"/>
                <w:rtl/>
              </w:rPr>
              <w:t>ב</w:t>
            </w:r>
            <w:r w:rsidRPr="004E02DF">
              <w:rPr>
                <w:rFonts w:ascii="Arial" w:hAnsi="Arial"/>
                <w:b/>
                <w:bCs/>
                <w:sz w:val="28"/>
                <w:szCs w:val="28"/>
                <w:rtl/>
              </w:rPr>
              <w:t xml:space="preserve">פני </w:t>
            </w:r>
          </w:p>
        </w:tc>
        <w:tc>
          <w:tcPr>
            <w:tcW w:w="7897" w:type="dxa"/>
            <w:gridSpan w:val="2"/>
            <w:tcBorders>
              <w:top w:val="nil"/>
              <w:left w:val="nil"/>
              <w:bottom w:val="nil"/>
              <w:right w:val="nil"/>
            </w:tcBorders>
          </w:tcPr>
          <w:p w14:paraId="3B58D169" w14:textId="77777777" w:rsidR="00DC43CE" w:rsidRPr="004E02DF" w:rsidRDefault="004E02DF">
            <w:pPr>
              <w:rPr>
                <w:rFonts w:ascii="Arial" w:hAnsi="Arial"/>
                <w:b/>
                <w:bCs/>
                <w:sz w:val="28"/>
                <w:szCs w:val="28"/>
                <w:rtl/>
              </w:rPr>
            </w:pPr>
            <w:r w:rsidRPr="004E02DF">
              <w:rPr>
                <w:rFonts w:ascii="Arial" w:hAnsi="Arial" w:hint="cs"/>
                <w:b/>
                <w:bCs/>
                <w:sz w:val="28"/>
                <w:szCs w:val="28"/>
                <w:rtl/>
              </w:rPr>
              <w:t>כב' ה</w:t>
            </w:r>
            <w:r w:rsidRPr="004E02DF">
              <w:rPr>
                <w:rFonts w:hint="cs"/>
                <w:b/>
                <w:bCs/>
                <w:sz w:val="28"/>
                <w:szCs w:val="28"/>
                <w:rtl/>
              </w:rPr>
              <w:t>שופט</w:t>
            </w:r>
            <w:r w:rsidRPr="004E02DF">
              <w:rPr>
                <w:rFonts w:ascii="Arial" w:hAnsi="Arial" w:hint="cs"/>
                <w:b/>
                <w:bCs/>
                <w:sz w:val="28"/>
                <w:szCs w:val="28"/>
                <w:rtl/>
              </w:rPr>
              <w:t xml:space="preserve">  </w:t>
            </w:r>
            <w:r w:rsidRPr="004E02DF">
              <w:rPr>
                <w:rFonts w:hint="cs"/>
                <w:b/>
                <w:bCs/>
                <w:sz w:val="28"/>
                <w:szCs w:val="28"/>
                <w:rtl/>
              </w:rPr>
              <w:t>הישאם  אבו שחאדה</w:t>
            </w:r>
          </w:p>
          <w:p w14:paraId="59668E5F" w14:textId="77777777" w:rsidR="00DC43CE" w:rsidRPr="004E02DF" w:rsidRDefault="00DC43CE">
            <w:pPr>
              <w:rPr>
                <w:b/>
                <w:bCs/>
                <w:sz w:val="28"/>
                <w:szCs w:val="28"/>
                <w:rtl/>
              </w:rPr>
            </w:pPr>
          </w:p>
          <w:p w14:paraId="4E70BB90" w14:textId="77777777" w:rsidR="00DC43CE" w:rsidRPr="004E02DF" w:rsidRDefault="00DC43CE">
            <w:pPr>
              <w:jc w:val="both"/>
              <w:rPr>
                <w:rFonts w:ascii="Arial" w:hAnsi="Arial"/>
                <w:b/>
                <w:bCs/>
                <w:sz w:val="28"/>
                <w:szCs w:val="28"/>
              </w:rPr>
            </w:pPr>
          </w:p>
        </w:tc>
      </w:tr>
      <w:tr w:rsidR="00DC43CE" w:rsidRPr="004E02DF" w14:paraId="2280AA56" w14:textId="77777777">
        <w:trPr>
          <w:trHeight w:val="355"/>
          <w:jc w:val="center"/>
        </w:trPr>
        <w:tc>
          <w:tcPr>
            <w:tcW w:w="923" w:type="dxa"/>
            <w:tcBorders>
              <w:top w:val="nil"/>
              <w:left w:val="nil"/>
              <w:bottom w:val="nil"/>
              <w:right w:val="nil"/>
            </w:tcBorders>
          </w:tcPr>
          <w:p w14:paraId="66864957" w14:textId="77777777" w:rsidR="00DC43CE" w:rsidRPr="004E02DF" w:rsidRDefault="004E02DF">
            <w:pPr>
              <w:jc w:val="both"/>
              <w:rPr>
                <w:rFonts w:ascii="Arial" w:hAnsi="Arial"/>
                <w:b/>
                <w:bCs/>
                <w:sz w:val="28"/>
                <w:szCs w:val="28"/>
              </w:rPr>
            </w:pPr>
            <w:bookmarkStart w:id="1" w:name="FirstAppellant"/>
            <w:r w:rsidRPr="004E02DF">
              <w:rPr>
                <w:rFonts w:ascii="Arial" w:hAnsi="Arial" w:hint="cs"/>
                <w:b/>
                <w:bCs/>
                <w:sz w:val="28"/>
                <w:szCs w:val="28"/>
                <w:rtl/>
              </w:rPr>
              <w:t>בעניין:</w:t>
            </w:r>
          </w:p>
        </w:tc>
        <w:tc>
          <w:tcPr>
            <w:tcW w:w="4126" w:type="dxa"/>
            <w:tcBorders>
              <w:top w:val="nil"/>
              <w:left w:val="nil"/>
              <w:bottom w:val="nil"/>
              <w:right w:val="nil"/>
            </w:tcBorders>
          </w:tcPr>
          <w:p w14:paraId="48B88285" w14:textId="77777777" w:rsidR="00DC43CE" w:rsidRPr="004E02DF" w:rsidRDefault="004E02DF">
            <w:pPr>
              <w:rPr>
                <w:b/>
                <w:bCs/>
                <w:sz w:val="28"/>
                <w:szCs w:val="28"/>
              </w:rPr>
            </w:pPr>
            <w:r w:rsidRPr="004E02DF">
              <w:rPr>
                <w:rFonts w:hint="cs"/>
                <w:b/>
                <w:bCs/>
                <w:sz w:val="28"/>
                <w:szCs w:val="28"/>
                <w:rtl/>
              </w:rPr>
              <w:t>המאשימה – מדינת ישראל</w:t>
            </w:r>
            <w:r w:rsidRPr="004E02DF">
              <w:rPr>
                <w:rFonts w:hint="cs"/>
                <w:b/>
                <w:bCs/>
                <w:sz w:val="28"/>
                <w:szCs w:val="28"/>
                <w:rtl/>
              </w:rPr>
              <w:br/>
              <w:t>באמצעות פרקליטות מחוז מרכז</w:t>
            </w:r>
            <w:r w:rsidRPr="004E02DF">
              <w:rPr>
                <w:rFonts w:hint="cs"/>
                <w:b/>
                <w:bCs/>
                <w:sz w:val="28"/>
                <w:szCs w:val="28"/>
                <w:rtl/>
              </w:rPr>
              <w:br/>
              <w:t xml:space="preserve">ע"י עוה"ד הילה כהן </w:t>
            </w:r>
            <w:r w:rsidRPr="004E02DF">
              <w:rPr>
                <w:rFonts w:hint="cs"/>
                <w:b/>
                <w:bCs/>
                <w:sz w:val="28"/>
                <w:szCs w:val="28"/>
                <w:rtl/>
              </w:rPr>
              <w:br/>
            </w:r>
          </w:p>
        </w:tc>
        <w:tc>
          <w:tcPr>
            <w:tcW w:w="3771" w:type="dxa"/>
            <w:tcBorders>
              <w:top w:val="nil"/>
              <w:left w:val="nil"/>
              <w:bottom w:val="nil"/>
              <w:right w:val="nil"/>
            </w:tcBorders>
          </w:tcPr>
          <w:p w14:paraId="69740214" w14:textId="77777777" w:rsidR="00DC43CE" w:rsidRPr="004E02DF" w:rsidRDefault="00DC43CE">
            <w:pPr>
              <w:jc w:val="both"/>
              <w:rPr>
                <w:rFonts w:ascii="Arial" w:hAnsi="Arial"/>
                <w:b/>
                <w:bCs/>
                <w:sz w:val="28"/>
                <w:szCs w:val="28"/>
              </w:rPr>
            </w:pPr>
          </w:p>
        </w:tc>
      </w:tr>
      <w:bookmarkEnd w:id="1"/>
      <w:tr w:rsidR="00DC43CE" w:rsidRPr="004E02DF" w14:paraId="2ACC362E" w14:textId="77777777">
        <w:trPr>
          <w:gridAfter w:val="2"/>
          <w:wAfter w:w="7875" w:type="dxa"/>
          <w:trHeight w:val="355"/>
          <w:jc w:val="center"/>
        </w:trPr>
        <w:tc>
          <w:tcPr>
            <w:tcW w:w="923" w:type="dxa"/>
            <w:tcBorders>
              <w:top w:val="nil"/>
              <w:left w:val="nil"/>
              <w:bottom w:val="nil"/>
              <w:right w:val="nil"/>
            </w:tcBorders>
          </w:tcPr>
          <w:p w14:paraId="3D135C64" w14:textId="77777777" w:rsidR="00DC43CE" w:rsidRPr="004E02DF" w:rsidRDefault="00DC43CE">
            <w:pPr>
              <w:jc w:val="both"/>
              <w:rPr>
                <w:rFonts w:ascii="Arial" w:hAnsi="Arial"/>
                <w:b/>
                <w:bCs/>
                <w:sz w:val="28"/>
                <w:szCs w:val="28"/>
                <w:rtl/>
              </w:rPr>
            </w:pPr>
          </w:p>
        </w:tc>
      </w:tr>
      <w:tr w:rsidR="00DC43CE" w:rsidRPr="004E02DF" w14:paraId="0A33A603" w14:textId="77777777">
        <w:trPr>
          <w:trHeight w:val="355"/>
          <w:jc w:val="center"/>
        </w:trPr>
        <w:tc>
          <w:tcPr>
            <w:tcW w:w="923" w:type="dxa"/>
            <w:tcBorders>
              <w:top w:val="nil"/>
              <w:left w:val="nil"/>
              <w:bottom w:val="nil"/>
              <w:right w:val="nil"/>
            </w:tcBorders>
          </w:tcPr>
          <w:p w14:paraId="774751FB" w14:textId="77777777" w:rsidR="00DC43CE" w:rsidRPr="004E02DF" w:rsidRDefault="00DC43CE">
            <w:pPr>
              <w:jc w:val="both"/>
              <w:rPr>
                <w:rFonts w:ascii="Arial" w:hAnsi="Arial"/>
                <w:b/>
                <w:bCs/>
                <w:sz w:val="28"/>
                <w:szCs w:val="28"/>
                <w:rtl/>
              </w:rPr>
            </w:pPr>
          </w:p>
        </w:tc>
        <w:tc>
          <w:tcPr>
            <w:tcW w:w="7897" w:type="dxa"/>
            <w:gridSpan w:val="2"/>
            <w:tcBorders>
              <w:top w:val="nil"/>
              <w:left w:val="nil"/>
              <w:bottom w:val="nil"/>
              <w:right w:val="nil"/>
            </w:tcBorders>
          </w:tcPr>
          <w:p w14:paraId="06211122" w14:textId="77777777" w:rsidR="00DC43CE" w:rsidRPr="004E02DF" w:rsidRDefault="00DC43CE">
            <w:pPr>
              <w:rPr>
                <w:rFonts w:ascii="Arial" w:hAnsi="Arial"/>
                <w:b/>
                <w:bCs/>
                <w:sz w:val="28"/>
                <w:szCs w:val="28"/>
                <w:rtl/>
              </w:rPr>
            </w:pPr>
          </w:p>
          <w:p w14:paraId="3D9AFE13" w14:textId="77777777" w:rsidR="00DC43CE" w:rsidRPr="004E02DF" w:rsidRDefault="004E02DF">
            <w:pPr>
              <w:jc w:val="center"/>
              <w:rPr>
                <w:rFonts w:ascii="Arial" w:hAnsi="Arial"/>
                <w:b/>
                <w:bCs/>
                <w:sz w:val="28"/>
                <w:szCs w:val="28"/>
                <w:rtl/>
              </w:rPr>
            </w:pPr>
            <w:r w:rsidRPr="004E02DF">
              <w:rPr>
                <w:rFonts w:ascii="Arial" w:hAnsi="Arial"/>
                <w:b/>
                <w:bCs/>
                <w:sz w:val="28"/>
                <w:szCs w:val="28"/>
                <w:rtl/>
              </w:rPr>
              <w:t>נגד</w:t>
            </w:r>
          </w:p>
          <w:p w14:paraId="7E11E5A2" w14:textId="77777777" w:rsidR="00DC43CE" w:rsidRPr="004E02DF" w:rsidRDefault="00DC43CE">
            <w:pPr>
              <w:jc w:val="both"/>
              <w:rPr>
                <w:rFonts w:ascii="Arial" w:hAnsi="Arial"/>
                <w:b/>
                <w:bCs/>
                <w:sz w:val="28"/>
                <w:szCs w:val="28"/>
                <w:rtl/>
              </w:rPr>
            </w:pPr>
          </w:p>
          <w:p w14:paraId="0FA363AD" w14:textId="77777777" w:rsidR="00DC43CE" w:rsidRPr="004E02DF" w:rsidRDefault="00DC43CE">
            <w:pPr>
              <w:jc w:val="both"/>
              <w:rPr>
                <w:rFonts w:ascii="Arial" w:hAnsi="Arial"/>
                <w:b/>
                <w:bCs/>
                <w:sz w:val="28"/>
                <w:szCs w:val="28"/>
              </w:rPr>
            </w:pPr>
          </w:p>
        </w:tc>
      </w:tr>
      <w:tr w:rsidR="00DC43CE" w:rsidRPr="004E02DF" w14:paraId="255D02A8" w14:textId="77777777">
        <w:trPr>
          <w:trHeight w:val="355"/>
          <w:jc w:val="center"/>
        </w:trPr>
        <w:tc>
          <w:tcPr>
            <w:tcW w:w="923" w:type="dxa"/>
            <w:tcBorders>
              <w:top w:val="nil"/>
              <w:left w:val="nil"/>
              <w:bottom w:val="nil"/>
              <w:right w:val="nil"/>
            </w:tcBorders>
          </w:tcPr>
          <w:p w14:paraId="7A748379" w14:textId="77777777" w:rsidR="00DC43CE" w:rsidRPr="004E02DF" w:rsidRDefault="00DC43CE">
            <w:pPr>
              <w:rPr>
                <w:rFonts w:ascii="Arial" w:hAnsi="Arial"/>
                <w:b/>
                <w:bCs/>
                <w:sz w:val="28"/>
                <w:szCs w:val="28"/>
                <w:rtl/>
              </w:rPr>
            </w:pPr>
          </w:p>
        </w:tc>
        <w:tc>
          <w:tcPr>
            <w:tcW w:w="4126" w:type="dxa"/>
            <w:tcBorders>
              <w:top w:val="nil"/>
              <w:left w:val="nil"/>
              <w:bottom w:val="nil"/>
              <w:right w:val="nil"/>
            </w:tcBorders>
          </w:tcPr>
          <w:p w14:paraId="62E4B69C" w14:textId="77777777" w:rsidR="00DC43CE" w:rsidRPr="004E02DF" w:rsidRDefault="004E02DF">
            <w:pPr>
              <w:rPr>
                <w:b/>
                <w:bCs/>
                <w:sz w:val="28"/>
                <w:szCs w:val="28"/>
                <w:rtl/>
              </w:rPr>
            </w:pPr>
            <w:r w:rsidRPr="004E02DF">
              <w:rPr>
                <w:rFonts w:hint="cs"/>
                <w:b/>
                <w:bCs/>
                <w:sz w:val="28"/>
                <w:szCs w:val="28"/>
                <w:rtl/>
              </w:rPr>
              <w:t xml:space="preserve">הנאשם - מחמד אבו גריבה </w:t>
            </w:r>
            <w:r w:rsidRPr="004E02DF">
              <w:rPr>
                <w:rFonts w:hint="cs"/>
                <w:b/>
                <w:bCs/>
                <w:sz w:val="28"/>
                <w:szCs w:val="28"/>
                <w:rtl/>
              </w:rPr>
              <w:br/>
              <w:t xml:space="preserve">ע"י עוה"ד שוקרי אבו טביק </w:t>
            </w:r>
          </w:p>
        </w:tc>
        <w:tc>
          <w:tcPr>
            <w:tcW w:w="3771" w:type="dxa"/>
            <w:tcBorders>
              <w:top w:val="nil"/>
              <w:left w:val="nil"/>
              <w:bottom w:val="nil"/>
              <w:right w:val="nil"/>
            </w:tcBorders>
          </w:tcPr>
          <w:p w14:paraId="7B3E7009" w14:textId="77777777" w:rsidR="00DC43CE" w:rsidRPr="004E02DF" w:rsidRDefault="00DC43CE">
            <w:pPr>
              <w:jc w:val="right"/>
              <w:rPr>
                <w:rFonts w:ascii="Arial" w:hAnsi="Arial"/>
                <w:b/>
                <w:bCs/>
                <w:sz w:val="28"/>
                <w:szCs w:val="28"/>
              </w:rPr>
            </w:pPr>
          </w:p>
        </w:tc>
      </w:tr>
      <w:tr w:rsidR="00DC43CE" w:rsidRPr="004E02DF" w14:paraId="171EADD5" w14:textId="77777777">
        <w:trPr>
          <w:gridAfter w:val="2"/>
          <w:wAfter w:w="7875" w:type="dxa"/>
          <w:trHeight w:val="355"/>
          <w:jc w:val="center"/>
        </w:trPr>
        <w:tc>
          <w:tcPr>
            <w:tcW w:w="923" w:type="dxa"/>
            <w:tcBorders>
              <w:top w:val="nil"/>
              <w:left w:val="nil"/>
              <w:bottom w:val="nil"/>
              <w:right w:val="nil"/>
            </w:tcBorders>
          </w:tcPr>
          <w:p w14:paraId="7C3BA465" w14:textId="77777777" w:rsidR="00DC43CE" w:rsidRPr="004E02DF" w:rsidRDefault="00DC43CE">
            <w:pPr>
              <w:jc w:val="both"/>
              <w:rPr>
                <w:rFonts w:ascii="Arial" w:hAnsi="Arial"/>
                <w:b/>
                <w:bCs/>
                <w:sz w:val="28"/>
                <w:szCs w:val="28"/>
                <w:rtl/>
              </w:rPr>
            </w:pPr>
          </w:p>
        </w:tc>
      </w:tr>
      <w:tr w:rsidR="00DC43CE" w:rsidRPr="004E02DF" w14:paraId="7891EAA5" w14:textId="77777777">
        <w:trPr>
          <w:gridAfter w:val="2"/>
          <w:wAfter w:w="7875" w:type="dxa"/>
          <w:trHeight w:val="355"/>
          <w:jc w:val="center"/>
        </w:trPr>
        <w:tc>
          <w:tcPr>
            <w:tcW w:w="923" w:type="dxa"/>
            <w:tcBorders>
              <w:top w:val="nil"/>
              <w:left w:val="nil"/>
              <w:bottom w:val="nil"/>
              <w:right w:val="nil"/>
            </w:tcBorders>
          </w:tcPr>
          <w:p w14:paraId="0EFF70AA" w14:textId="77777777" w:rsidR="00DC43CE" w:rsidRPr="004E02DF" w:rsidRDefault="00DC43CE">
            <w:pPr>
              <w:jc w:val="both"/>
              <w:rPr>
                <w:rFonts w:ascii="Arial" w:hAnsi="Arial"/>
                <w:b/>
                <w:bCs/>
                <w:sz w:val="28"/>
                <w:szCs w:val="28"/>
                <w:rtl/>
              </w:rPr>
            </w:pPr>
          </w:p>
        </w:tc>
      </w:tr>
    </w:tbl>
    <w:p w14:paraId="10E3A153" w14:textId="77777777" w:rsidR="00DC43CE" w:rsidRDefault="00DC43CE">
      <w:pPr>
        <w:rPr>
          <w:rFonts w:hint="cs"/>
          <w:rtl/>
        </w:rPr>
      </w:pPr>
    </w:p>
    <w:p w14:paraId="07B0977E" w14:textId="77777777" w:rsidR="00860A29" w:rsidRPr="00860A29" w:rsidRDefault="00860A29" w:rsidP="00860A29">
      <w:pPr>
        <w:spacing w:after="120" w:line="240" w:lineRule="exact"/>
        <w:ind w:left="283" w:hanging="283"/>
        <w:jc w:val="both"/>
        <w:rPr>
          <w:rFonts w:ascii="FrankRuehl" w:hAnsi="FrankRuehl" w:cs="FrankRuehl"/>
          <w:rtl/>
        </w:rPr>
      </w:pPr>
      <w:r w:rsidRPr="00860A29">
        <w:rPr>
          <w:rFonts w:ascii="FrankRuehl" w:hAnsi="FrankRuehl" w:cs="FrankRuehl"/>
          <w:rtl/>
        </w:rPr>
        <w:t xml:space="preserve">חקיקה שאוזכרה: </w:t>
      </w:r>
    </w:p>
    <w:p w14:paraId="1CB061F1" w14:textId="77777777" w:rsidR="00860A29" w:rsidRPr="00860A29" w:rsidRDefault="00860A29" w:rsidP="00860A29">
      <w:pPr>
        <w:spacing w:after="120" w:line="240" w:lineRule="exact"/>
        <w:ind w:left="283" w:hanging="283"/>
        <w:jc w:val="both"/>
        <w:rPr>
          <w:rFonts w:ascii="FrankRuehl" w:hAnsi="FrankRuehl" w:cs="FrankRuehl"/>
          <w:color w:val="0000FF"/>
          <w:u w:val="single"/>
          <w:rtl/>
        </w:rPr>
      </w:pPr>
      <w:hyperlink r:id="rId7" w:history="1">
        <w:r w:rsidRPr="00860A29">
          <w:rPr>
            <w:rStyle w:val="Hyperlink"/>
            <w:rFonts w:ascii="FrankRuehl" w:hAnsi="FrankRuehl" w:cs="FrankRuehl"/>
            <w:rtl/>
          </w:rPr>
          <w:t>חוק העונשין, תשל"ז-1977</w:t>
        </w:r>
      </w:hyperlink>
      <w:r w:rsidRPr="00860A29">
        <w:rPr>
          <w:rFonts w:ascii="FrankRuehl" w:hAnsi="FrankRuehl" w:cs="FrankRuehl"/>
          <w:color w:val="0000FF"/>
          <w:u w:val="single"/>
          <w:rtl/>
        </w:rPr>
        <w:t xml:space="preserve">: סע'  </w:t>
      </w:r>
      <w:hyperlink r:id="rId8" w:history="1">
        <w:r w:rsidRPr="00860A29">
          <w:rPr>
            <w:rStyle w:val="Hyperlink"/>
            <w:rFonts w:ascii="FrankRuehl" w:hAnsi="FrankRuehl" w:cs="FrankRuehl"/>
          </w:rPr>
          <w:t>144(</w:t>
        </w:r>
        <w:r w:rsidRPr="00860A29">
          <w:rPr>
            <w:rStyle w:val="Hyperlink"/>
            <w:rFonts w:ascii="FrankRuehl" w:hAnsi="FrankRuehl" w:cs="FrankRuehl"/>
            <w:rtl/>
          </w:rPr>
          <w:t>א</w:t>
        </w:r>
        <w:r w:rsidRPr="00860A29">
          <w:rPr>
            <w:rStyle w:val="Hyperlink"/>
            <w:rFonts w:ascii="FrankRuehl" w:hAnsi="FrankRuehl" w:cs="FrankRuehl"/>
          </w:rPr>
          <w:t>)</w:t>
        </w:r>
      </w:hyperlink>
      <w:r w:rsidRPr="00860A29">
        <w:rPr>
          <w:rFonts w:ascii="FrankRuehl" w:hAnsi="FrankRuehl" w:cs="FrankRuehl"/>
          <w:color w:val="0000FF"/>
          <w:u w:val="single"/>
          <w:rtl/>
        </w:rPr>
        <w:t xml:space="preserve">, </w:t>
      </w:r>
      <w:hyperlink r:id="rId9" w:history="1">
        <w:r w:rsidRPr="00860A29">
          <w:rPr>
            <w:rStyle w:val="Hyperlink"/>
            <w:rFonts w:ascii="FrankRuehl" w:hAnsi="FrankRuehl" w:cs="FrankRuehl"/>
          </w:rPr>
          <w:t>144(</w:t>
        </w:r>
        <w:r w:rsidRPr="00860A29">
          <w:rPr>
            <w:rStyle w:val="Hyperlink"/>
            <w:rFonts w:ascii="FrankRuehl" w:hAnsi="FrankRuehl" w:cs="FrankRuehl"/>
            <w:rtl/>
          </w:rPr>
          <w:t>ב</w:t>
        </w:r>
        <w:r w:rsidRPr="00860A29">
          <w:rPr>
            <w:rStyle w:val="Hyperlink"/>
            <w:rFonts w:ascii="FrankRuehl" w:hAnsi="FrankRuehl" w:cs="FrankRuehl"/>
          </w:rPr>
          <w:t>)</w:t>
        </w:r>
      </w:hyperlink>
      <w:r w:rsidRPr="00860A29">
        <w:rPr>
          <w:rFonts w:ascii="FrankRuehl" w:hAnsi="FrankRuehl" w:cs="FrankRuehl"/>
          <w:color w:val="0000FF"/>
          <w:u w:val="single"/>
          <w:rtl/>
        </w:rPr>
        <w:t xml:space="preserve">, </w:t>
      </w:r>
      <w:hyperlink r:id="rId10" w:history="1">
        <w:r w:rsidRPr="00860A29">
          <w:rPr>
            <w:rStyle w:val="Hyperlink"/>
            <w:rFonts w:ascii="FrankRuehl" w:hAnsi="FrankRuehl" w:cs="FrankRuehl"/>
          </w:rPr>
          <w:t>144(</w:t>
        </w:r>
        <w:r w:rsidRPr="00860A29">
          <w:rPr>
            <w:rStyle w:val="Hyperlink"/>
            <w:rFonts w:ascii="FrankRuehl" w:hAnsi="FrankRuehl" w:cs="FrankRuehl"/>
            <w:rtl/>
          </w:rPr>
          <w:t>ב2</w:t>
        </w:r>
        <w:r w:rsidRPr="00860A29">
          <w:rPr>
            <w:rStyle w:val="Hyperlink"/>
            <w:rFonts w:ascii="FrankRuehl" w:hAnsi="FrankRuehl" w:cs="FrankRuehl"/>
          </w:rPr>
          <w:t>)</w:t>
        </w:r>
      </w:hyperlink>
      <w:r w:rsidRPr="00860A29">
        <w:rPr>
          <w:rFonts w:ascii="FrankRuehl" w:hAnsi="FrankRuehl" w:cs="FrankRuehl"/>
          <w:color w:val="0000FF"/>
          <w:u w:val="single"/>
          <w:rtl/>
        </w:rPr>
        <w:t xml:space="preserve">, </w:t>
      </w:r>
      <w:hyperlink r:id="rId11" w:history="1">
        <w:r w:rsidRPr="00860A29">
          <w:rPr>
            <w:rStyle w:val="Hyperlink"/>
            <w:rFonts w:ascii="FrankRuehl" w:hAnsi="FrankRuehl" w:cs="FrankRuehl"/>
          </w:rPr>
          <w:t>144(</w:t>
        </w:r>
        <w:r w:rsidRPr="00860A29">
          <w:rPr>
            <w:rStyle w:val="Hyperlink"/>
            <w:rFonts w:ascii="FrankRuehl" w:hAnsi="FrankRuehl" w:cs="FrankRuehl"/>
            <w:rtl/>
          </w:rPr>
          <w:t>ב3</w:t>
        </w:r>
        <w:r w:rsidRPr="00860A29">
          <w:rPr>
            <w:rStyle w:val="Hyperlink"/>
            <w:rFonts w:ascii="FrankRuehl" w:hAnsi="FrankRuehl" w:cs="FrankRuehl"/>
          </w:rPr>
          <w:t>)</w:t>
        </w:r>
      </w:hyperlink>
      <w:r w:rsidRPr="00860A29">
        <w:rPr>
          <w:rFonts w:ascii="FrankRuehl" w:hAnsi="FrankRuehl" w:cs="FrankRuehl"/>
          <w:color w:val="0000FF"/>
          <w:u w:val="single"/>
          <w:rtl/>
        </w:rPr>
        <w:t xml:space="preserve">, </w:t>
      </w:r>
      <w:hyperlink r:id="rId12" w:history="1">
        <w:r w:rsidRPr="00860A29">
          <w:rPr>
            <w:rStyle w:val="Hyperlink"/>
            <w:rFonts w:ascii="FrankRuehl" w:hAnsi="FrankRuehl" w:cs="FrankRuehl"/>
          </w:rPr>
          <w:t>412</w:t>
        </w:r>
      </w:hyperlink>
      <w:r w:rsidRPr="00860A29">
        <w:rPr>
          <w:rFonts w:ascii="FrankRuehl" w:hAnsi="FrankRuehl" w:cs="FrankRuehl"/>
          <w:color w:val="0000FF"/>
          <w:u w:val="single"/>
          <w:rtl/>
        </w:rPr>
        <w:t xml:space="preserve">, </w:t>
      </w:r>
      <w:hyperlink r:id="rId13" w:history="1">
        <w:r w:rsidRPr="00860A29">
          <w:rPr>
            <w:rStyle w:val="Hyperlink"/>
            <w:rFonts w:ascii="FrankRuehl" w:hAnsi="FrankRuehl" w:cs="FrankRuehl"/>
          </w:rPr>
          <w:t>499(</w:t>
        </w:r>
        <w:r w:rsidRPr="00860A29">
          <w:rPr>
            <w:rStyle w:val="Hyperlink"/>
            <w:rFonts w:ascii="FrankRuehl" w:hAnsi="FrankRuehl" w:cs="FrankRuehl"/>
            <w:rtl/>
          </w:rPr>
          <w:t>א)(1</w:t>
        </w:r>
        <w:r w:rsidRPr="00860A29">
          <w:rPr>
            <w:rStyle w:val="Hyperlink"/>
            <w:rFonts w:ascii="FrankRuehl" w:hAnsi="FrankRuehl" w:cs="FrankRuehl"/>
          </w:rPr>
          <w:t>)</w:t>
        </w:r>
      </w:hyperlink>
    </w:p>
    <w:p w14:paraId="35AA11A0" w14:textId="77777777" w:rsidR="00860A29" w:rsidRPr="00860A29" w:rsidRDefault="00860A29" w:rsidP="00860A2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43CE" w:rsidRPr="004E02DF" w14:paraId="4C21961F" w14:textId="77777777">
        <w:trPr>
          <w:trHeight w:val="355"/>
          <w:jc w:val="center"/>
        </w:trPr>
        <w:tc>
          <w:tcPr>
            <w:tcW w:w="8820" w:type="dxa"/>
            <w:tcBorders>
              <w:top w:val="nil"/>
              <w:left w:val="nil"/>
              <w:bottom w:val="nil"/>
              <w:right w:val="nil"/>
            </w:tcBorders>
          </w:tcPr>
          <w:p w14:paraId="5872EE02" w14:textId="77777777" w:rsidR="00DC43CE" w:rsidRPr="004E02DF" w:rsidRDefault="004E02DF">
            <w:pPr>
              <w:jc w:val="center"/>
              <w:rPr>
                <w:rFonts w:ascii="Arial" w:hAnsi="Arial" w:cs="FrankRuehl"/>
                <w:sz w:val="32"/>
                <w:szCs w:val="32"/>
                <w:rtl/>
              </w:rPr>
            </w:pPr>
            <w:bookmarkStart w:id="2" w:name="LawTable_End"/>
            <w:bookmarkStart w:id="3" w:name="PsakDin"/>
            <w:bookmarkEnd w:id="2"/>
            <w:r w:rsidRPr="004E02DF">
              <w:rPr>
                <w:rFonts w:ascii="Arial" w:hAnsi="Arial" w:cs="FrankRuehl" w:hint="cs"/>
                <w:b/>
                <w:bCs/>
                <w:sz w:val="32"/>
                <w:szCs w:val="32"/>
                <w:rtl/>
              </w:rPr>
              <w:t xml:space="preserve">ג ז ר </w:t>
            </w:r>
            <w:r w:rsidRPr="004E02DF">
              <w:rPr>
                <w:rFonts w:ascii="Arial" w:hAnsi="Arial" w:cs="FrankRuehl"/>
                <w:b/>
                <w:bCs/>
                <w:sz w:val="32"/>
                <w:szCs w:val="32"/>
                <w:rtl/>
              </w:rPr>
              <w:t>–</w:t>
            </w:r>
            <w:r w:rsidRPr="004E02DF">
              <w:rPr>
                <w:rFonts w:ascii="Arial" w:hAnsi="Arial" w:cs="FrankRuehl" w:hint="cs"/>
                <w:b/>
                <w:bCs/>
                <w:sz w:val="32"/>
                <w:szCs w:val="32"/>
                <w:rtl/>
              </w:rPr>
              <w:t xml:space="preserve"> ד י ן</w:t>
            </w:r>
            <w:bookmarkEnd w:id="3"/>
          </w:p>
        </w:tc>
      </w:tr>
    </w:tbl>
    <w:p w14:paraId="3F890378" w14:textId="77777777" w:rsidR="00DC43CE" w:rsidRPr="004E02DF" w:rsidRDefault="00DC43CE">
      <w:pPr>
        <w:rPr>
          <w:rFonts w:ascii="Arial" w:hAnsi="Arial"/>
          <w:rtl/>
        </w:rPr>
      </w:pPr>
    </w:p>
    <w:p w14:paraId="0656F521" w14:textId="77777777" w:rsidR="00DC43CE" w:rsidRPr="004E02DF" w:rsidRDefault="00DC43CE">
      <w:pPr>
        <w:spacing w:line="360" w:lineRule="auto"/>
        <w:jc w:val="both"/>
        <w:rPr>
          <w:rtl/>
        </w:rPr>
      </w:pPr>
    </w:p>
    <w:p w14:paraId="5106A0FE" w14:textId="77777777" w:rsidR="00DC43CE" w:rsidRPr="004E02DF" w:rsidRDefault="004E02DF">
      <w:pPr>
        <w:spacing w:line="360" w:lineRule="auto"/>
        <w:jc w:val="both"/>
        <w:rPr>
          <w:b/>
          <w:bCs/>
          <w:sz w:val="28"/>
          <w:szCs w:val="28"/>
          <w:rtl/>
        </w:rPr>
      </w:pPr>
      <w:r w:rsidRPr="004E02DF">
        <w:rPr>
          <w:b/>
          <w:bCs/>
          <w:sz w:val="28"/>
          <w:szCs w:val="28"/>
          <w:rtl/>
        </w:rPr>
        <w:t>כתב האישום</w:t>
      </w:r>
    </w:p>
    <w:p w14:paraId="065B1E59" w14:textId="77777777" w:rsidR="00DC43CE" w:rsidRPr="004E02DF" w:rsidRDefault="00DC43CE">
      <w:pPr>
        <w:spacing w:line="360" w:lineRule="auto"/>
        <w:jc w:val="both"/>
        <w:rPr>
          <w:rtl/>
        </w:rPr>
      </w:pPr>
    </w:p>
    <w:p w14:paraId="70A7E949" w14:textId="77777777" w:rsidR="00DC43CE" w:rsidRPr="004E02DF" w:rsidRDefault="004E02DF">
      <w:pPr>
        <w:spacing w:line="360" w:lineRule="auto"/>
        <w:ind w:left="720" w:hanging="720"/>
        <w:jc w:val="both"/>
        <w:rPr>
          <w:rtl/>
        </w:rPr>
      </w:pPr>
      <w:r w:rsidRPr="004E02DF">
        <w:rPr>
          <w:rFonts w:hint="cs"/>
          <w:rtl/>
        </w:rPr>
        <w:t>1.</w:t>
      </w:r>
      <w:r w:rsidRPr="004E02DF">
        <w:rPr>
          <w:rFonts w:hint="cs"/>
          <w:rtl/>
        </w:rPr>
        <w:tab/>
      </w:r>
      <w:bookmarkStart w:id="4" w:name="ABSTRACT_START"/>
      <w:bookmarkEnd w:id="4"/>
      <w:r w:rsidRPr="004E02DF">
        <w:rPr>
          <w:rtl/>
        </w:rPr>
        <w:t xml:space="preserve">הנאשם הורשע </w:t>
      </w:r>
      <w:r w:rsidRPr="004E02DF">
        <w:rPr>
          <w:rFonts w:hint="cs"/>
          <w:rtl/>
        </w:rPr>
        <w:t xml:space="preserve">בעקבות </w:t>
      </w:r>
      <w:r w:rsidRPr="004E02DF">
        <w:rPr>
          <w:rtl/>
        </w:rPr>
        <w:t xml:space="preserve">הודאתו בעובדות כתב האישום המתוקן בעבירות הבאות: החזקת נשק לפי </w:t>
      </w:r>
      <w:hyperlink r:id="rId14" w:history="1">
        <w:r w:rsidR="00860A29" w:rsidRPr="00860A29">
          <w:rPr>
            <w:rStyle w:val="Hyperlink"/>
            <w:rtl/>
          </w:rPr>
          <w:t>סעיף 144(א)</w:t>
        </w:r>
      </w:hyperlink>
      <w:r w:rsidRPr="004E02DF">
        <w:rPr>
          <w:rtl/>
        </w:rPr>
        <w:t xml:space="preserve"> רישא ל</w:t>
      </w:r>
      <w:hyperlink r:id="rId15" w:history="1">
        <w:r w:rsidRPr="004E02DF">
          <w:rPr>
            <w:color w:val="0000FF"/>
            <w:u w:val="single"/>
            <w:rtl/>
          </w:rPr>
          <w:t>חוק העונשין</w:t>
        </w:r>
      </w:hyperlink>
      <w:r w:rsidRPr="004E02DF">
        <w:rPr>
          <w:rtl/>
        </w:rPr>
        <w:t xml:space="preserve"> התשל"ז – 1977 (להלן: </w:t>
      </w:r>
      <w:r w:rsidRPr="004E02DF">
        <w:rPr>
          <w:b/>
          <w:bCs/>
          <w:rtl/>
        </w:rPr>
        <w:t>חוק העונשין</w:t>
      </w:r>
      <w:r w:rsidRPr="004E02DF">
        <w:rPr>
          <w:rtl/>
        </w:rPr>
        <w:t xml:space="preserve">); החזקת תחמושת לפי </w:t>
      </w:r>
      <w:hyperlink r:id="rId16" w:history="1">
        <w:r w:rsidR="00860A29" w:rsidRPr="00860A29">
          <w:rPr>
            <w:rStyle w:val="Hyperlink"/>
            <w:rtl/>
          </w:rPr>
          <w:t>סעיף 144(א)</w:t>
        </w:r>
      </w:hyperlink>
      <w:r w:rsidRPr="004E02DF">
        <w:rPr>
          <w:rtl/>
        </w:rPr>
        <w:t xml:space="preserve"> סיפא לחוק העונשין; קבלת נכסים שהושגו בעוון לפי </w:t>
      </w:r>
      <w:hyperlink r:id="rId17" w:history="1">
        <w:r w:rsidR="00860A29" w:rsidRPr="00860A29">
          <w:rPr>
            <w:rStyle w:val="Hyperlink"/>
            <w:rtl/>
          </w:rPr>
          <w:t>סעיף 412</w:t>
        </w:r>
      </w:hyperlink>
      <w:r w:rsidRPr="004E02DF">
        <w:rPr>
          <w:rtl/>
        </w:rPr>
        <w:t xml:space="preserve"> לחוק העונשין. על פי עובדות כתב האישום בתאריך 30.9.11 נגנב מבית בתחומי העיר רמת גן אקדח מסוג "קולט" </w:t>
      </w:r>
      <w:smartTag w:uri="urn:schemas-microsoft-com:office:smarttags" w:element="metricconverter">
        <w:smartTagPr>
          <w:attr w:name="ProductID" w:val="9 מ&quot;מ"/>
        </w:smartTagPr>
        <w:r w:rsidRPr="004E02DF">
          <w:rPr>
            <w:rtl/>
          </w:rPr>
          <w:t>9 מ"מ</w:t>
        </w:r>
      </w:smartTag>
      <w:r w:rsidRPr="004E02DF">
        <w:rPr>
          <w:rtl/>
        </w:rPr>
        <w:t xml:space="preserve"> בצבע כסף (להלן: </w:t>
      </w:r>
      <w:r w:rsidRPr="004E02DF">
        <w:rPr>
          <w:b/>
          <w:bCs/>
          <w:rtl/>
        </w:rPr>
        <w:t>האקדח</w:t>
      </w:r>
      <w:r w:rsidRPr="004E02DF">
        <w:rPr>
          <w:rtl/>
        </w:rPr>
        <w:t>). בתאריך 8.1.12 החזיק הנאש</w:t>
      </w:r>
      <w:r w:rsidRPr="004E02DF">
        <w:rPr>
          <w:rFonts w:hint="cs"/>
          <w:rtl/>
        </w:rPr>
        <w:t>ם</w:t>
      </w:r>
      <w:r w:rsidRPr="004E02DF">
        <w:rPr>
          <w:rtl/>
        </w:rPr>
        <w:t xml:space="preserve"> בחצר משפחתו שבתחומי העיר לוד את האקדח ובתוכו מחסנית ובה שישה כדורים </w:t>
      </w:r>
      <w:r w:rsidRPr="004E02DF">
        <w:rPr>
          <w:rFonts w:hint="cs"/>
          <w:rtl/>
        </w:rPr>
        <w:t>כ</w:t>
      </w:r>
      <w:r w:rsidRPr="004E02DF">
        <w:rPr>
          <w:rtl/>
        </w:rPr>
        <w:t xml:space="preserve">שהוא מוסלק בתוך מכולה ועטוף בגרב. </w:t>
      </w:r>
    </w:p>
    <w:p w14:paraId="74AD951F" w14:textId="77777777" w:rsidR="00DC43CE" w:rsidRPr="004E02DF" w:rsidRDefault="00DC43CE">
      <w:pPr>
        <w:spacing w:line="360" w:lineRule="auto"/>
        <w:jc w:val="both"/>
        <w:rPr>
          <w:rtl/>
        </w:rPr>
      </w:pPr>
      <w:bookmarkStart w:id="5" w:name="ABSTRACT_END"/>
      <w:bookmarkEnd w:id="5"/>
    </w:p>
    <w:p w14:paraId="423EACFD" w14:textId="77777777" w:rsidR="00DC43CE" w:rsidRPr="004E02DF" w:rsidRDefault="004E02DF">
      <w:pPr>
        <w:spacing w:line="360" w:lineRule="auto"/>
        <w:ind w:left="720" w:hanging="720"/>
        <w:jc w:val="both"/>
        <w:rPr>
          <w:rtl/>
        </w:rPr>
      </w:pPr>
      <w:r w:rsidRPr="004E02DF">
        <w:rPr>
          <w:rFonts w:hint="cs"/>
          <w:rtl/>
        </w:rPr>
        <w:lastRenderedPageBreak/>
        <w:t>2.</w:t>
      </w:r>
      <w:r w:rsidRPr="004E02DF">
        <w:rPr>
          <w:rFonts w:hint="cs"/>
          <w:rtl/>
        </w:rPr>
        <w:tab/>
      </w:r>
      <w:r w:rsidRPr="004E02DF">
        <w:rPr>
          <w:rtl/>
        </w:rPr>
        <w:t xml:space="preserve">הנאשם הודה בעובדות כתב האישום המתוקן במסגרת הסדר טיעון שאליו הגיעו הצדדים, ואשר לפיו המאשימה תעתור לעונש מאסר של שישה חודשים שירוצו בעבודות שירות ומאסר על תנאי </w:t>
      </w:r>
      <w:r w:rsidRPr="004E02DF">
        <w:rPr>
          <w:rFonts w:hint="cs"/>
          <w:rtl/>
        </w:rPr>
        <w:t>ובעוד ש</w:t>
      </w:r>
      <w:r w:rsidRPr="004E02DF">
        <w:rPr>
          <w:rtl/>
        </w:rPr>
        <w:t>ההגנה רשאית לטעון באופן חופשי. הסדר הטיעון גובש בעיצומה של פרשת התביעה</w:t>
      </w:r>
      <w:r w:rsidRPr="004E02DF">
        <w:rPr>
          <w:rFonts w:hint="cs"/>
          <w:rtl/>
        </w:rPr>
        <w:t xml:space="preserve">, בעקבות מצב הראיות בתיק. </w:t>
      </w:r>
    </w:p>
    <w:p w14:paraId="797F40F2" w14:textId="77777777" w:rsidR="00DC43CE" w:rsidRPr="004E02DF" w:rsidRDefault="00DC43CE">
      <w:pPr>
        <w:spacing w:line="360" w:lineRule="auto"/>
        <w:jc w:val="both"/>
        <w:rPr>
          <w:rtl/>
        </w:rPr>
      </w:pPr>
    </w:p>
    <w:p w14:paraId="21EB785B" w14:textId="77777777" w:rsidR="00DC43CE" w:rsidRPr="004E02DF" w:rsidRDefault="00DC43CE">
      <w:pPr>
        <w:spacing w:line="360" w:lineRule="auto"/>
        <w:jc w:val="both"/>
        <w:rPr>
          <w:rtl/>
        </w:rPr>
      </w:pPr>
    </w:p>
    <w:p w14:paraId="6174F906" w14:textId="77777777" w:rsidR="00DC43CE" w:rsidRPr="004E02DF" w:rsidRDefault="004E02DF">
      <w:pPr>
        <w:spacing w:line="360" w:lineRule="auto"/>
        <w:jc w:val="both"/>
        <w:rPr>
          <w:b/>
          <w:bCs/>
          <w:sz w:val="28"/>
          <w:szCs w:val="28"/>
          <w:rtl/>
        </w:rPr>
      </w:pPr>
      <w:r w:rsidRPr="004E02DF">
        <w:rPr>
          <w:rFonts w:hint="cs"/>
          <w:b/>
          <w:bCs/>
          <w:sz w:val="28"/>
          <w:szCs w:val="28"/>
          <w:rtl/>
        </w:rPr>
        <w:t>טענות הצדדים לעונש</w:t>
      </w:r>
    </w:p>
    <w:p w14:paraId="5F823D56" w14:textId="77777777" w:rsidR="00DC43CE" w:rsidRPr="004E02DF" w:rsidRDefault="00DC43CE">
      <w:pPr>
        <w:spacing w:line="360" w:lineRule="auto"/>
        <w:jc w:val="both"/>
        <w:rPr>
          <w:rtl/>
        </w:rPr>
      </w:pPr>
    </w:p>
    <w:p w14:paraId="2277E423" w14:textId="77777777" w:rsidR="00DC43CE" w:rsidRPr="004E02DF" w:rsidRDefault="004E02DF">
      <w:pPr>
        <w:spacing w:line="360" w:lineRule="auto"/>
        <w:ind w:left="720" w:hanging="720"/>
        <w:jc w:val="both"/>
        <w:rPr>
          <w:rtl/>
        </w:rPr>
      </w:pPr>
      <w:r w:rsidRPr="004E02DF">
        <w:rPr>
          <w:rFonts w:hint="cs"/>
          <w:rtl/>
        </w:rPr>
        <w:t>3.</w:t>
      </w:r>
      <w:r w:rsidRPr="004E02DF">
        <w:rPr>
          <w:rFonts w:hint="cs"/>
          <w:rtl/>
        </w:rPr>
        <w:tab/>
      </w:r>
      <w:r w:rsidRPr="004E02DF">
        <w:rPr>
          <w:rtl/>
        </w:rPr>
        <w:t>המאשימה טענה שיש לאמץ את הרף העליון של העונש שלו עתרה וזאת בהתחשב בחומרה הרבה ש</w:t>
      </w:r>
      <w:r w:rsidRPr="004E02DF">
        <w:rPr>
          <w:rFonts w:hint="cs"/>
          <w:rtl/>
        </w:rPr>
        <w:t>מתלווה ל</w:t>
      </w:r>
      <w:r w:rsidRPr="004E02DF">
        <w:rPr>
          <w:rtl/>
        </w:rPr>
        <w:t xml:space="preserve">עבירות נשק והסכנה שנשקפת לגופו בטחונו ושלומו של הציבור בכללותו מעבירות אלה ובכל מקרה נסיבותיו האישיות של הנאשם נלקחו בחשבון בעת קביעת אותו רף ענישה. הנאשם טען שהחזקת הנשק היתה בשל סכסוך בין משפחתו המורחבת לבין משפחה יריבה </w:t>
      </w:r>
      <w:r w:rsidRPr="004E02DF">
        <w:rPr>
          <w:rFonts w:hint="cs"/>
          <w:rtl/>
        </w:rPr>
        <w:t>המתגוררת בתח</w:t>
      </w:r>
      <w:r w:rsidRPr="004E02DF">
        <w:rPr>
          <w:rtl/>
        </w:rPr>
        <w:t xml:space="preserve">ומי העיר לוד, הידועה כמשפחת אלמרבוע. במסגרת סכסוך זה, נרצחה דודתו של הנאשם ובעלה ובנה נפצעו קשות. בנוסף, בעקבות סכסוך זה, נפצע אחיו של הנאשם באירוע ירי. </w:t>
      </w:r>
      <w:r w:rsidRPr="004E02DF">
        <w:rPr>
          <w:rFonts w:hint="cs"/>
          <w:rtl/>
        </w:rPr>
        <w:t xml:space="preserve">על כן, </w:t>
      </w:r>
      <w:r w:rsidRPr="004E02DF">
        <w:rPr>
          <w:rtl/>
        </w:rPr>
        <w:t>הנאשם חש מאוים מעצם השתייכותו למשפחת אבו גריבה ו</w:t>
      </w:r>
      <w:r w:rsidRPr="004E02DF">
        <w:rPr>
          <w:rFonts w:hint="cs"/>
          <w:rtl/>
        </w:rPr>
        <w:t>לטענתו</w:t>
      </w:r>
      <w:r w:rsidRPr="004E02DF">
        <w:rPr>
          <w:rtl/>
        </w:rPr>
        <w:t xml:space="preserve">, החזיק את האקדח להגנה עצמית. הנאשם יליד שנת 1990 ולחובתו הרשעה אחת מנובמבר 2013  </w:t>
      </w:r>
      <w:r w:rsidRPr="004E02DF">
        <w:rPr>
          <w:rFonts w:hint="cs"/>
          <w:rtl/>
        </w:rPr>
        <w:t>מ</w:t>
      </w:r>
      <w:r w:rsidRPr="004E02DF">
        <w:rPr>
          <w:rtl/>
        </w:rPr>
        <w:t>בית משפט השלום ברמלה בגין עבירת איומים, אשר לטענתו גם היא תוצר לוואי של סכסוך זה. הנאשם עתר למאסר</w:t>
      </w:r>
      <w:r w:rsidRPr="004E02DF">
        <w:rPr>
          <w:rFonts w:hint="cs"/>
          <w:rtl/>
        </w:rPr>
        <w:t xml:space="preserve"> שירוצה</w:t>
      </w:r>
      <w:r w:rsidRPr="004E02DF">
        <w:rPr>
          <w:rtl/>
        </w:rPr>
        <w:t xml:space="preserve"> בעבודות שירות </w:t>
      </w:r>
      <w:r w:rsidRPr="004E02DF">
        <w:rPr>
          <w:rFonts w:hint="cs"/>
          <w:rtl/>
        </w:rPr>
        <w:t>לתקופה קצרה ביותר</w:t>
      </w:r>
      <w:r w:rsidRPr="004E02DF">
        <w:rPr>
          <w:rtl/>
        </w:rPr>
        <w:t xml:space="preserve">. </w:t>
      </w:r>
    </w:p>
    <w:p w14:paraId="6C77C8A9" w14:textId="77777777" w:rsidR="00DC43CE" w:rsidRPr="004E02DF" w:rsidRDefault="00DC43CE">
      <w:pPr>
        <w:spacing w:line="360" w:lineRule="auto"/>
        <w:jc w:val="both"/>
        <w:rPr>
          <w:rtl/>
        </w:rPr>
      </w:pPr>
    </w:p>
    <w:p w14:paraId="4A59F334" w14:textId="77777777" w:rsidR="00DC43CE" w:rsidRPr="004E02DF" w:rsidRDefault="004E02DF">
      <w:pPr>
        <w:spacing w:line="360" w:lineRule="auto"/>
        <w:ind w:left="720" w:hanging="720"/>
        <w:jc w:val="both"/>
        <w:rPr>
          <w:rtl/>
        </w:rPr>
      </w:pPr>
      <w:r w:rsidRPr="004E02DF">
        <w:rPr>
          <w:rFonts w:hint="cs"/>
          <w:rtl/>
        </w:rPr>
        <w:t>4.</w:t>
      </w:r>
      <w:r w:rsidRPr="004E02DF">
        <w:rPr>
          <w:rFonts w:hint="cs"/>
          <w:rtl/>
        </w:rPr>
        <w:tab/>
      </w:r>
      <w:r w:rsidRPr="004E02DF">
        <w:rPr>
          <w:rtl/>
        </w:rPr>
        <w:t>ב</w:t>
      </w:r>
      <w:r w:rsidRPr="004E02DF">
        <w:rPr>
          <w:rFonts w:hint="cs"/>
          <w:rtl/>
        </w:rPr>
        <w:t xml:space="preserve">א </w:t>
      </w:r>
      <w:r w:rsidRPr="004E02DF">
        <w:rPr>
          <w:rtl/>
        </w:rPr>
        <w:t>כ</w:t>
      </w:r>
      <w:r w:rsidRPr="004E02DF">
        <w:rPr>
          <w:rFonts w:hint="cs"/>
          <w:rtl/>
        </w:rPr>
        <w:t>ח</w:t>
      </w:r>
      <w:r w:rsidRPr="004E02DF">
        <w:rPr>
          <w:rtl/>
        </w:rPr>
        <w:t xml:space="preserve"> הנאשם הפנה גם לגזר הדין שניתן בעניינם של שלושה נאשמים ממשפחת אלמרבוע ע"י בית המשפט  המחוזי במחוז מרכז, וזאת כראיה נוספת לסכסוך הדמים שבין שתי המשפחות. גזר הדין </w:t>
      </w:r>
      <w:r w:rsidRPr="004E02DF">
        <w:rPr>
          <w:rFonts w:hint="cs"/>
          <w:rtl/>
        </w:rPr>
        <w:t xml:space="preserve">ניתן במסגרת </w:t>
      </w:r>
      <w:hyperlink r:id="rId18" w:history="1">
        <w:r w:rsidRPr="004E02DF">
          <w:rPr>
            <w:color w:val="0000FF"/>
            <w:u w:val="single"/>
            <w:rtl/>
          </w:rPr>
          <w:t>תפ"ח 30995-07-11</w:t>
        </w:r>
      </w:hyperlink>
      <w:r w:rsidRPr="004E02DF">
        <w:rPr>
          <w:rtl/>
        </w:rPr>
        <w:t xml:space="preserve"> </w:t>
      </w:r>
      <w:r w:rsidRPr="004E02DF">
        <w:rPr>
          <w:b/>
          <w:bCs/>
          <w:rtl/>
        </w:rPr>
        <w:t>מדינת ישראל נ' אלמרבוע</w:t>
      </w:r>
      <w:r w:rsidRPr="004E02DF">
        <w:rPr>
          <w:rtl/>
        </w:rPr>
        <w:t xml:space="preserve"> [פורסם בנבו] (17.10.12). בסעיפים 1 ו-2 לגזר הדין הובאו העובדות הרלוונטיות לכתב האישום ואשר </w:t>
      </w:r>
      <w:r w:rsidRPr="004E02DF">
        <w:rPr>
          <w:rFonts w:hint="cs"/>
          <w:rtl/>
        </w:rPr>
        <w:t xml:space="preserve">שם ואשר </w:t>
      </w:r>
      <w:r w:rsidRPr="004E02DF">
        <w:rPr>
          <w:rtl/>
        </w:rPr>
        <w:t>לפיהן:</w:t>
      </w:r>
    </w:p>
    <w:p w14:paraId="77D3FCCF" w14:textId="77777777" w:rsidR="00DC43CE" w:rsidRPr="004E02DF" w:rsidRDefault="004E02DF">
      <w:pPr>
        <w:spacing w:line="360" w:lineRule="auto"/>
        <w:jc w:val="both"/>
        <w:rPr>
          <w:rtl/>
        </w:rPr>
      </w:pPr>
      <w:r w:rsidRPr="004E02DF">
        <w:rPr>
          <w:rtl/>
        </w:rPr>
        <w:t xml:space="preserve"> </w:t>
      </w:r>
    </w:p>
    <w:p w14:paraId="1A96991F" w14:textId="77777777" w:rsidR="00DC43CE" w:rsidRPr="004E02DF" w:rsidRDefault="004E02DF">
      <w:pPr>
        <w:spacing w:line="360" w:lineRule="auto"/>
        <w:ind w:left="3600" w:hanging="720"/>
        <w:jc w:val="both"/>
        <w:rPr>
          <w:rtl/>
        </w:rPr>
      </w:pPr>
      <w:r w:rsidRPr="004E02DF">
        <w:rPr>
          <w:rtl/>
        </w:rPr>
        <w:t xml:space="preserve">"1. </w:t>
      </w:r>
      <w:r w:rsidRPr="004E02DF">
        <w:rPr>
          <w:rtl/>
        </w:rPr>
        <w:tab/>
        <w:t xml:space="preserve">הנאשמים הורשעו על פי הודאתם בעובדות כתב אישום מתוקן, בעבירה של קשירת קשר לפשע לפי </w:t>
      </w:r>
      <w:hyperlink r:id="rId19" w:history="1">
        <w:r w:rsidR="00860A29" w:rsidRPr="00860A29">
          <w:rPr>
            <w:rStyle w:val="Hyperlink"/>
            <w:rtl/>
          </w:rPr>
          <w:t>סעיף 499(א)(1)</w:t>
        </w:r>
      </w:hyperlink>
      <w:r w:rsidRPr="004E02DF">
        <w:rPr>
          <w:rtl/>
        </w:rPr>
        <w:t xml:space="preserve"> ל</w:t>
      </w:r>
      <w:hyperlink r:id="rId20" w:history="1">
        <w:r w:rsidRPr="004E02DF">
          <w:rPr>
            <w:color w:val="0000FF"/>
            <w:u w:val="single"/>
            <w:rtl/>
          </w:rPr>
          <w:t>חוק העונשין</w:t>
        </w:r>
      </w:hyperlink>
      <w:r w:rsidRPr="004E02DF">
        <w:rPr>
          <w:rtl/>
        </w:rPr>
        <w:t xml:space="preserve"> התשל"ז  - 1977 (להלן: "החוק"),</w:t>
      </w:r>
      <w:r w:rsidRPr="004E02DF">
        <w:rPr>
          <w:rFonts w:hint="cs"/>
          <w:rtl/>
        </w:rPr>
        <w:t xml:space="preserve"> </w:t>
      </w:r>
      <w:r w:rsidRPr="004E02DF">
        <w:rPr>
          <w:rtl/>
        </w:rPr>
        <w:t xml:space="preserve">ובעבירה של נשיאת נשק, לפי </w:t>
      </w:r>
      <w:hyperlink r:id="rId21" w:history="1">
        <w:r w:rsidR="00860A29" w:rsidRPr="00860A29">
          <w:rPr>
            <w:rStyle w:val="Hyperlink"/>
            <w:rtl/>
          </w:rPr>
          <w:t>סעיף 144(ב)</w:t>
        </w:r>
      </w:hyperlink>
      <w:r w:rsidRPr="004E02DF">
        <w:rPr>
          <w:rtl/>
        </w:rPr>
        <w:t xml:space="preserve"> רישא לחוק. </w:t>
      </w:r>
    </w:p>
    <w:p w14:paraId="1E7D00EC" w14:textId="77777777" w:rsidR="00DC43CE" w:rsidRPr="004E02DF" w:rsidRDefault="00DC43CE">
      <w:pPr>
        <w:spacing w:line="360" w:lineRule="auto"/>
        <w:ind w:left="3600" w:hanging="720"/>
        <w:jc w:val="both"/>
        <w:rPr>
          <w:rtl/>
        </w:rPr>
      </w:pPr>
    </w:p>
    <w:p w14:paraId="3C991C3A" w14:textId="77777777" w:rsidR="00DC43CE" w:rsidRPr="004E02DF" w:rsidRDefault="004E02DF">
      <w:pPr>
        <w:spacing w:line="360" w:lineRule="auto"/>
        <w:ind w:left="3600" w:hanging="720"/>
        <w:jc w:val="both"/>
        <w:rPr>
          <w:rtl/>
        </w:rPr>
      </w:pPr>
      <w:r w:rsidRPr="004E02DF">
        <w:rPr>
          <w:rtl/>
        </w:rPr>
        <w:t>2.</w:t>
      </w:r>
      <w:r w:rsidRPr="004E02DF">
        <w:rPr>
          <w:rtl/>
        </w:rPr>
        <w:tab/>
        <w:t xml:space="preserve">לפי העובדות בהן הודו הנאשמים: עובר ליום 13.6.11 נתגלע סכסוך בין משפחות אלמרבוע ומשפחת אבו גריבה המתגוררות בלוד. ביום 13.6.11, משהחריף הסכסוך, </w:t>
      </w:r>
      <w:r w:rsidRPr="004E02DF">
        <w:rPr>
          <w:rtl/>
        </w:rPr>
        <w:lastRenderedPageBreak/>
        <w:t>הוזהרו נציגי המשפחות ע"י המשטרה לבל יפגעו זו בזו. ביום 13.6.11 קשרו הנאשמים קשר לפגוע באנשים ממשפחת אבו גריבה ולצורך כך הצטיידו בשני אקדחים טעונים בכדורים. בהמשך, נסעו הנאשמים יחדיו ברכב ברחוב בו מתגוררים חלק מבני משפחת אבו גריבה, שהם נושאים עימם את האקדחים".</w:t>
      </w:r>
    </w:p>
    <w:p w14:paraId="58DCA347" w14:textId="77777777" w:rsidR="00DC43CE" w:rsidRPr="004E02DF" w:rsidRDefault="00DC43CE">
      <w:pPr>
        <w:spacing w:line="360" w:lineRule="auto"/>
        <w:jc w:val="both"/>
        <w:rPr>
          <w:rtl/>
        </w:rPr>
      </w:pPr>
    </w:p>
    <w:p w14:paraId="2370BC34" w14:textId="77777777" w:rsidR="00DC43CE" w:rsidRPr="004E02DF" w:rsidRDefault="004E02DF">
      <w:pPr>
        <w:spacing w:line="360" w:lineRule="auto"/>
        <w:ind w:left="720" w:hanging="720"/>
        <w:jc w:val="both"/>
        <w:rPr>
          <w:rtl/>
        </w:rPr>
      </w:pPr>
      <w:r w:rsidRPr="004E02DF">
        <w:rPr>
          <w:rFonts w:hint="cs"/>
          <w:rtl/>
        </w:rPr>
        <w:t>5.</w:t>
      </w:r>
      <w:r w:rsidRPr="004E02DF">
        <w:rPr>
          <w:rFonts w:hint="cs"/>
          <w:rtl/>
        </w:rPr>
        <w:tab/>
      </w:r>
      <w:r w:rsidRPr="004E02DF">
        <w:rPr>
          <w:rtl/>
        </w:rPr>
        <w:t>בתיק הנ"ל, שנגע ל</w:t>
      </w:r>
      <w:r w:rsidRPr="004E02DF">
        <w:rPr>
          <w:rFonts w:hint="cs"/>
          <w:rtl/>
        </w:rPr>
        <w:t xml:space="preserve">שלושה נאשמים הנמנים על </w:t>
      </w:r>
      <w:r w:rsidRPr="004E02DF">
        <w:rPr>
          <w:rtl/>
        </w:rPr>
        <w:t xml:space="preserve">משפחת אלמרבוע הושתו </w:t>
      </w:r>
      <w:r w:rsidRPr="004E02DF">
        <w:rPr>
          <w:rFonts w:hint="cs"/>
          <w:rtl/>
        </w:rPr>
        <w:t>עליהם</w:t>
      </w:r>
      <w:r w:rsidRPr="004E02DF">
        <w:rPr>
          <w:rtl/>
        </w:rPr>
        <w:t xml:space="preserve"> בגין העבירות שפורטו לעיל, עונש מאסר בפועל של שבע שנים במסגרת הסדר טיעון. </w:t>
      </w:r>
    </w:p>
    <w:p w14:paraId="36F0CF76" w14:textId="77777777" w:rsidR="00DC43CE" w:rsidRPr="004E02DF" w:rsidRDefault="00DC43CE">
      <w:pPr>
        <w:spacing w:line="360" w:lineRule="auto"/>
        <w:jc w:val="both"/>
        <w:rPr>
          <w:rtl/>
        </w:rPr>
      </w:pPr>
    </w:p>
    <w:p w14:paraId="4F53C107" w14:textId="77777777" w:rsidR="00DC43CE" w:rsidRPr="004E02DF" w:rsidRDefault="004E02DF">
      <w:pPr>
        <w:spacing w:line="360" w:lineRule="auto"/>
        <w:jc w:val="both"/>
        <w:rPr>
          <w:b/>
          <w:bCs/>
          <w:sz w:val="28"/>
          <w:szCs w:val="28"/>
          <w:rtl/>
        </w:rPr>
      </w:pPr>
      <w:r w:rsidRPr="004E02DF">
        <w:rPr>
          <w:b/>
          <w:bCs/>
          <w:sz w:val="28"/>
          <w:szCs w:val="28"/>
          <w:rtl/>
        </w:rPr>
        <w:t xml:space="preserve">על דרגות האשם השונות בעבירה של החזקת נשק </w:t>
      </w:r>
    </w:p>
    <w:p w14:paraId="5B20F73E" w14:textId="77777777" w:rsidR="00DC43CE" w:rsidRPr="004E02DF" w:rsidRDefault="00DC43CE">
      <w:pPr>
        <w:spacing w:line="360" w:lineRule="auto"/>
        <w:jc w:val="both"/>
        <w:rPr>
          <w:rtl/>
        </w:rPr>
      </w:pPr>
    </w:p>
    <w:p w14:paraId="1AB9ED3A" w14:textId="77777777" w:rsidR="00DC43CE" w:rsidRPr="004E02DF" w:rsidRDefault="004E02DF">
      <w:pPr>
        <w:spacing w:line="360" w:lineRule="auto"/>
        <w:jc w:val="both"/>
        <w:rPr>
          <w:rtl/>
        </w:rPr>
      </w:pPr>
      <w:r w:rsidRPr="004E02DF">
        <w:rPr>
          <w:rFonts w:hint="cs"/>
          <w:rtl/>
        </w:rPr>
        <w:t>6.</w:t>
      </w:r>
      <w:r w:rsidRPr="004E02DF">
        <w:rPr>
          <w:rFonts w:hint="cs"/>
          <w:rtl/>
        </w:rPr>
        <w:tab/>
      </w:r>
      <w:r w:rsidRPr="004E02DF">
        <w:rPr>
          <w:rtl/>
        </w:rPr>
        <w:t>ב-</w:t>
      </w:r>
      <w:hyperlink r:id="rId22" w:history="1">
        <w:r w:rsidRPr="004E02DF">
          <w:rPr>
            <w:color w:val="0000FF"/>
            <w:u w:val="single"/>
            <w:rtl/>
          </w:rPr>
          <w:t>ב"ש 625/82 אבו מוך נ' מדינת ישראל פ"ד לז</w:t>
        </w:r>
      </w:hyperlink>
      <w:r w:rsidRPr="004E02DF">
        <w:rPr>
          <w:rtl/>
        </w:rPr>
        <w:t xml:space="preserve"> (3) 668, 671</w:t>
      </w:r>
      <w:r w:rsidRPr="004E02DF">
        <w:rPr>
          <w:rFonts w:hint="cs"/>
          <w:rtl/>
        </w:rPr>
        <w:t xml:space="preserve">, </w:t>
      </w:r>
      <w:r w:rsidRPr="004E02DF">
        <w:rPr>
          <w:rtl/>
        </w:rPr>
        <w:t>כבוד השופט בך קבע כדלקמן:</w:t>
      </w:r>
    </w:p>
    <w:p w14:paraId="69CE8C88" w14:textId="77777777" w:rsidR="00DC43CE" w:rsidRPr="004E02DF" w:rsidRDefault="00DC43CE">
      <w:pPr>
        <w:spacing w:line="360" w:lineRule="auto"/>
        <w:jc w:val="both"/>
        <w:rPr>
          <w:rtl/>
        </w:rPr>
      </w:pPr>
    </w:p>
    <w:p w14:paraId="33F21BAB" w14:textId="77777777" w:rsidR="00DC43CE" w:rsidRPr="004E02DF" w:rsidRDefault="004E02DF">
      <w:pPr>
        <w:spacing w:line="360" w:lineRule="auto"/>
        <w:ind w:left="2880"/>
        <w:jc w:val="both"/>
        <w:rPr>
          <w:rtl/>
        </w:rPr>
      </w:pPr>
      <w:r w:rsidRPr="004E02DF">
        <w:rPr>
          <w:rtl/>
        </w:rPr>
        <w:t>"שותף אני לדעה, שהובאה במספר החלטות, עליהם הסתמכו ב</w:t>
      </w:r>
      <w:r w:rsidRPr="004E02DF">
        <w:rPr>
          <w:rFonts w:hint="cs"/>
          <w:rtl/>
        </w:rPr>
        <w:t>אי כח</w:t>
      </w:r>
      <w:r w:rsidRPr="004E02DF">
        <w:rPr>
          <w:rtl/>
        </w:rPr>
        <w:t xml:space="preserve"> העורר, לפיה אין העבירה של החזקת נשק ללא היתר כדין, כשלעצמה, מגיעה בכל הנסיבות לדרגת חומרה, המחייבת או המצדיקה את החזקתו של החשוד, או הנאשם בביצועה, במעצר. מאידך גיסא, אין ספק בליבי, כי רבים הם המקרים, בהם יש לייחס חומרה מירבית לעבירות מהסוג הנדון. אנסה לסווג את העבירות של החזקת נ</w:t>
      </w:r>
      <w:r w:rsidRPr="004E02DF">
        <w:rPr>
          <w:rFonts w:hint="cs"/>
          <w:rtl/>
        </w:rPr>
        <w:t>ש</w:t>
      </w:r>
      <w:r w:rsidRPr="004E02DF">
        <w:rPr>
          <w:rtl/>
        </w:rPr>
        <w:t>ק שלא כדין לקטגוריות השונות שביניה</w:t>
      </w:r>
      <w:r w:rsidRPr="004E02DF">
        <w:rPr>
          <w:rFonts w:hint="cs"/>
          <w:rtl/>
        </w:rPr>
        <w:t>ן</w:t>
      </w:r>
      <w:r w:rsidRPr="004E02DF">
        <w:rPr>
          <w:rtl/>
        </w:rPr>
        <w:t>, אם כי ער אני לכך, שלא ניתן לכלול את כל האפשרויות במסגרת סיווג כזה. אלך מהכבד אל הקל מבחינת חומרתן של העבירות:</w:t>
      </w:r>
    </w:p>
    <w:p w14:paraId="6A1C35ED" w14:textId="77777777" w:rsidR="00DC43CE" w:rsidRPr="004E02DF" w:rsidRDefault="004E02DF">
      <w:pPr>
        <w:spacing w:line="360" w:lineRule="auto"/>
        <w:ind w:left="2880"/>
        <w:jc w:val="both"/>
        <w:rPr>
          <w:rtl/>
        </w:rPr>
      </w:pPr>
      <w:r w:rsidRPr="004E02DF">
        <w:rPr>
          <w:rtl/>
        </w:rPr>
        <w:t xml:space="preserve"> </w:t>
      </w:r>
    </w:p>
    <w:p w14:paraId="574DB7E3" w14:textId="77777777" w:rsidR="00DC43CE" w:rsidRPr="004E02DF" w:rsidRDefault="004E02DF">
      <w:pPr>
        <w:numPr>
          <w:ilvl w:val="0"/>
          <w:numId w:val="1"/>
        </w:numPr>
        <w:spacing w:line="360" w:lineRule="auto"/>
        <w:jc w:val="both"/>
        <w:rPr>
          <w:rtl/>
        </w:rPr>
      </w:pPr>
      <w:r w:rsidRPr="004E02DF">
        <w:rPr>
          <w:rtl/>
        </w:rPr>
        <w:t>החזקת הנשק לשם ביצוע מעשים, המיועדים לפגוע בביטחון המדינה או בביטחון הציבור.</w:t>
      </w:r>
    </w:p>
    <w:p w14:paraId="5B9463CB" w14:textId="77777777" w:rsidR="00DC43CE" w:rsidRPr="004E02DF" w:rsidRDefault="004E02DF">
      <w:pPr>
        <w:numPr>
          <w:ilvl w:val="0"/>
          <w:numId w:val="1"/>
        </w:numPr>
        <w:spacing w:line="360" w:lineRule="auto"/>
        <w:jc w:val="both"/>
      </w:pPr>
      <w:r w:rsidRPr="004E02DF">
        <w:rPr>
          <w:rtl/>
        </w:rPr>
        <w:t>החזקת הנשק לשם ביצוע עבירה פלילית ספציפית כגון רצח, שוד, התפרצות, תקיפה וכו'.</w:t>
      </w:r>
    </w:p>
    <w:p w14:paraId="66C544E6" w14:textId="77777777" w:rsidR="00DC43CE" w:rsidRPr="004E02DF" w:rsidRDefault="004E02DF">
      <w:pPr>
        <w:numPr>
          <w:ilvl w:val="0"/>
          <w:numId w:val="1"/>
        </w:numPr>
        <w:spacing w:line="360" w:lineRule="auto"/>
        <w:jc w:val="both"/>
      </w:pPr>
      <w:r w:rsidRPr="004E02DF">
        <w:rPr>
          <w:rtl/>
        </w:rPr>
        <w:t xml:space="preserve">החזקת הנשק "לעת מצוא" כדי לאפשר פעילות פלילית בעתיד. </w:t>
      </w:r>
    </w:p>
    <w:p w14:paraId="38F129CF" w14:textId="77777777" w:rsidR="00DC43CE" w:rsidRPr="004E02DF" w:rsidRDefault="004E02DF">
      <w:pPr>
        <w:numPr>
          <w:ilvl w:val="0"/>
          <w:numId w:val="1"/>
        </w:numPr>
        <w:spacing w:line="360" w:lineRule="auto"/>
        <w:jc w:val="both"/>
      </w:pPr>
      <w:r w:rsidRPr="004E02DF">
        <w:rPr>
          <w:rtl/>
        </w:rPr>
        <w:t xml:space="preserve">צבירת נשק ע"י קבוצה פוליטית, עדתית או אידיאולוגית, במטרה לחזק בדרך זו את כוחה כנגד קבוצות יריבות. </w:t>
      </w:r>
    </w:p>
    <w:p w14:paraId="16DDC684" w14:textId="77777777" w:rsidR="00DC43CE" w:rsidRPr="004E02DF" w:rsidRDefault="004E02DF">
      <w:pPr>
        <w:numPr>
          <w:ilvl w:val="0"/>
          <w:numId w:val="1"/>
        </w:numPr>
        <w:spacing w:line="360" w:lineRule="auto"/>
        <w:jc w:val="both"/>
      </w:pPr>
      <w:r w:rsidRPr="004E02DF">
        <w:rPr>
          <w:rtl/>
        </w:rPr>
        <w:t>החזקת הנשק לצורך הגנה עצמ</w:t>
      </w:r>
      <w:r w:rsidRPr="004E02DF">
        <w:rPr>
          <w:rFonts w:hint="cs"/>
          <w:rtl/>
        </w:rPr>
        <w:t>ית</w:t>
      </w:r>
      <w:r w:rsidRPr="004E02DF">
        <w:rPr>
          <w:rtl/>
        </w:rPr>
        <w:t xml:space="preserve"> או לצורך הגנה על הציבור, המשפחה או ה-"חמולה", אליהם הנאשם משתייך. </w:t>
      </w:r>
    </w:p>
    <w:p w14:paraId="55156109" w14:textId="77777777" w:rsidR="00DC43CE" w:rsidRPr="004E02DF" w:rsidRDefault="004E02DF">
      <w:pPr>
        <w:numPr>
          <w:ilvl w:val="0"/>
          <w:numId w:val="1"/>
        </w:numPr>
        <w:spacing w:line="360" w:lineRule="auto"/>
        <w:jc w:val="both"/>
      </w:pPr>
      <w:r w:rsidRPr="004E02DF">
        <w:rPr>
          <w:rtl/>
        </w:rPr>
        <w:t xml:space="preserve">החזקת כלי הנשק לצורך ספורט, צייד או שעשוע. </w:t>
      </w:r>
    </w:p>
    <w:p w14:paraId="3038811E" w14:textId="77777777" w:rsidR="00DC43CE" w:rsidRPr="004E02DF" w:rsidRDefault="004E02DF">
      <w:pPr>
        <w:numPr>
          <w:ilvl w:val="0"/>
          <w:numId w:val="1"/>
        </w:numPr>
        <w:spacing w:line="360" w:lineRule="auto"/>
        <w:jc w:val="both"/>
      </w:pPr>
      <w:r w:rsidRPr="004E02DF">
        <w:rPr>
          <w:rtl/>
        </w:rPr>
        <w:t>החזקת כלי נשק ע</w:t>
      </w:r>
      <w:r w:rsidRPr="004E02DF">
        <w:rPr>
          <w:rFonts w:hint="cs"/>
          <w:rtl/>
        </w:rPr>
        <w:t>ל ידי</w:t>
      </w:r>
      <w:r w:rsidRPr="004E02DF">
        <w:rPr>
          <w:rtl/>
        </w:rPr>
        <w:t xml:space="preserve"> הנאשם בתור מזכרת או כאספן של כלים כאלה. </w:t>
      </w:r>
    </w:p>
    <w:p w14:paraId="02BE367E" w14:textId="77777777" w:rsidR="00DC43CE" w:rsidRPr="004E02DF" w:rsidRDefault="004E02DF">
      <w:pPr>
        <w:numPr>
          <w:ilvl w:val="0"/>
          <w:numId w:val="1"/>
        </w:numPr>
        <w:spacing w:line="360" w:lineRule="auto"/>
        <w:jc w:val="both"/>
      </w:pPr>
      <w:r w:rsidRPr="004E02DF">
        <w:rPr>
          <w:rtl/>
        </w:rPr>
        <w:t>החזקת כלי הנשק, שפג תוקף רישיונו והנאשם נמנע מלחדש את הרישיון בעיתו."</w:t>
      </w:r>
    </w:p>
    <w:p w14:paraId="563D240A" w14:textId="77777777" w:rsidR="00DC43CE" w:rsidRPr="004E02DF" w:rsidRDefault="00DC43CE">
      <w:pPr>
        <w:spacing w:line="360" w:lineRule="auto"/>
        <w:jc w:val="both"/>
        <w:rPr>
          <w:rtl/>
        </w:rPr>
      </w:pPr>
    </w:p>
    <w:p w14:paraId="029C6A2E" w14:textId="77777777" w:rsidR="00DC43CE" w:rsidRPr="004E02DF" w:rsidRDefault="004E02DF">
      <w:pPr>
        <w:spacing w:line="360" w:lineRule="auto"/>
        <w:ind w:left="720" w:hanging="720"/>
        <w:jc w:val="both"/>
        <w:rPr>
          <w:rtl/>
        </w:rPr>
      </w:pPr>
      <w:r w:rsidRPr="004E02DF">
        <w:rPr>
          <w:rFonts w:hint="cs"/>
          <w:rtl/>
        </w:rPr>
        <w:t>7.</w:t>
      </w:r>
      <w:r w:rsidRPr="004E02DF">
        <w:rPr>
          <w:rFonts w:hint="cs"/>
          <w:rtl/>
        </w:rPr>
        <w:tab/>
      </w:r>
      <w:r w:rsidRPr="004E02DF">
        <w:rPr>
          <w:rtl/>
        </w:rPr>
        <w:t xml:space="preserve">במקרה שבפני, הנאשם נכלל בקטגוריה ה', שכן הנאשם החזיק באקדח מחשש לשלומו ושלום משפחתו עקב סכסוך ממשי עם משפחה יריבה  שכבר גבה קורבנות ממשפחתו של הנאשם. </w:t>
      </w:r>
    </w:p>
    <w:p w14:paraId="45A22952" w14:textId="77777777" w:rsidR="00DC43CE" w:rsidRPr="004E02DF" w:rsidRDefault="00DC43CE">
      <w:pPr>
        <w:spacing w:line="360" w:lineRule="auto"/>
        <w:jc w:val="both"/>
        <w:rPr>
          <w:rtl/>
        </w:rPr>
      </w:pPr>
    </w:p>
    <w:p w14:paraId="79181AFC" w14:textId="77777777" w:rsidR="00DC43CE" w:rsidRPr="004E02DF" w:rsidRDefault="004E02DF">
      <w:pPr>
        <w:spacing w:line="360" w:lineRule="auto"/>
        <w:ind w:left="720" w:hanging="720"/>
        <w:jc w:val="both"/>
        <w:rPr>
          <w:rtl/>
        </w:rPr>
      </w:pPr>
      <w:r w:rsidRPr="004E02DF">
        <w:rPr>
          <w:rFonts w:hint="cs"/>
          <w:rtl/>
        </w:rPr>
        <w:t>8.</w:t>
      </w:r>
      <w:r w:rsidRPr="004E02DF">
        <w:rPr>
          <w:rFonts w:hint="cs"/>
          <w:rtl/>
        </w:rPr>
        <w:tab/>
      </w:r>
      <w:r w:rsidRPr="004E02DF">
        <w:rPr>
          <w:rtl/>
        </w:rPr>
        <w:t xml:space="preserve">יתר על כן, בעת שמדובר בעבירות נשק, המחוקק קבע מדרג </w:t>
      </w:r>
      <w:r w:rsidRPr="004E02DF">
        <w:rPr>
          <w:rFonts w:hint="cs"/>
          <w:rtl/>
        </w:rPr>
        <w:t xml:space="preserve">של חומרה </w:t>
      </w:r>
      <w:r w:rsidRPr="004E02DF">
        <w:rPr>
          <w:rtl/>
        </w:rPr>
        <w:t>בביצוען של עבירות אלה:</w:t>
      </w:r>
    </w:p>
    <w:p w14:paraId="2CD0317B" w14:textId="77777777" w:rsidR="00DC43CE" w:rsidRPr="004E02DF" w:rsidRDefault="00DC43CE">
      <w:pPr>
        <w:spacing w:line="360" w:lineRule="auto"/>
        <w:jc w:val="both"/>
        <w:rPr>
          <w:rtl/>
        </w:rPr>
      </w:pPr>
    </w:p>
    <w:p w14:paraId="4A06FFF1" w14:textId="77777777" w:rsidR="00DC43CE" w:rsidRPr="004E02DF" w:rsidRDefault="004E02DF">
      <w:pPr>
        <w:numPr>
          <w:ilvl w:val="0"/>
          <w:numId w:val="2"/>
        </w:numPr>
        <w:spacing w:line="360" w:lineRule="auto"/>
        <w:jc w:val="both"/>
        <w:rPr>
          <w:rtl/>
        </w:rPr>
      </w:pPr>
      <w:r w:rsidRPr="004E02DF">
        <w:rPr>
          <w:rtl/>
        </w:rPr>
        <w:t xml:space="preserve">החזקת נשק עם עונש מקסימאלי של 7 שנות מאסר – </w:t>
      </w:r>
      <w:hyperlink r:id="rId23" w:history="1">
        <w:r w:rsidR="00860A29" w:rsidRPr="00860A29">
          <w:rPr>
            <w:rStyle w:val="Hyperlink"/>
            <w:rtl/>
          </w:rPr>
          <w:t>סעיף 144(א)</w:t>
        </w:r>
      </w:hyperlink>
      <w:r w:rsidRPr="004E02DF">
        <w:rPr>
          <w:rtl/>
        </w:rPr>
        <w:t xml:space="preserve"> רישא ל</w:t>
      </w:r>
      <w:hyperlink r:id="rId24" w:history="1">
        <w:r w:rsidRPr="004E02DF">
          <w:rPr>
            <w:color w:val="0000FF"/>
            <w:u w:val="single"/>
            <w:rtl/>
          </w:rPr>
          <w:t>חוק העונשין</w:t>
        </w:r>
      </w:hyperlink>
      <w:r w:rsidRPr="004E02DF">
        <w:rPr>
          <w:rtl/>
        </w:rPr>
        <w:t xml:space="preserve">. זו גם הקטגוריה של הנאשם שבפני. </w:t>
      </w:r>
    </w:p>
    <w:p w14:paraId="0995AC9A" w14:textId="77777777" w:rsidR="00DC43CE" w:rsidRPr="004E02DF" w:rsidRDefault="004E02DF">
      <w:pPr>
        <w:numPr>
          <w:ilvl w:val="0"/>
          <w:numId w:val="2"/>
        </w:numPr>
        <w:spacing w:line="360" w:lineRule="auto"/>
        <w:jc w:val="both"/>
      </w:pPr>
      <w:r w:rsidRPr="004E02DF">
        <w:rPr>
          <w:rtl/>
        </w:rPr>
        <w:t xml:space="preserve">נשיאה או הובלה של נשק עם עונש מקסימאלי של 10 שנות מאסר - </w:t>
      </w:r>
      <w:hyperlink r:id="rId25" w:history="1">
        <w:r w:rsidR="00860A29" w:rsidRPr="00860A29">
          <w:rPr>
            <w:rStyle w:val="Hyperlink"/>
            <w:rtl/>
          </w:rPr>
          <w:t>סעיף 144(ב)</w:t>
        </w:r>
      </w:hyperlink>
      <w:r w:rsidRPr="004E02DF">
        <w:rPr>
          <w:rtl/>
        </w:rPr>
        <w:t xml:space="preserve"> רישא ל</w:t>
      </w:r>
      <w:hyperlink r:id="rId26" w:history="1">
        <w:r w:rsidRPr="004E02DF">
          <w:rPr>
            <w:color w:val="0000FF"/>
            <w:u w:val="single"/>
            <w:rtl/>
          </w:rPr>
          <w:t>חוק העונשין</w:t>
        </w:r>
      </w:hyperlink>
      <w:r w:rsidRPr="004E02DF">
        <w:rPr>
          <w:rtl/>
        </w:rPr>
        <w:t xml:space="preserve">. </w:t>
      </w:r>
    </w:p>
    <w:p w14:paraId="4E0B4093" w14:textId="77777777" w:rsidR="00DC43CE" w:rsidRPr="004E02DF" w:rsidRDefault="004E02DF">
      <w:pPr>
        <w:numPr>
          <w:ilvl w:val="0"/>
          <w:numId w:val="2"/>
        </w:numPr>
        <w:spacing w:line="360" w:lineRule="auto"/>
        <w:jc w:val="both"/>
      </w:pPr>
      <w:r w:rsidRPr="004E02DF">
        <w:rPr>
          <w:rtl/>
        </w:rPr>
        <w:t>יצור, יבוא,</w:t>
      </w:r>
      <w:r w:rsidRPr="004E02DF">
        <w:rPr>
          <w:rFonts w:hint="cs"/>
          <w:rtl/>
        </w:rPr>
        <w:t xml:space="preserve"> </w:t>
      </w:r>
      <w:r w:rsidRPr="004E02DF">
        <w:rPr>
          <w:rtl/>
        </w:rPr>
        <w:t xml:space="preserve">ייצוא וסחר או כל עסקה אחרת בנשק, עם עונש מקסימאלי של 15 שנות מאסר – </w:t>
      </w:r>
      <w:hyperlink r:id="rId27" w:history="1">
        <w:r w:rsidR="00860A29" w:rsidRPr="00860A29">
          <w:rPr>
            <w:rStyle w:val="Hyperlink"/>
            <w:rtl/>
          </w:rPr>
          <w:t>סעיף 144(ב2)</w:t>
        </w:r>
      </w:hyperlink>
      <w:r w:rsidRPr="004E02DF">
        <w:rPr>
          <w:rtl/>
        </w:rPr>
        <w:t xml:space="preserve"> וכן גם </w:t>
      </w:r>
      <w:hyperlink r:id="rId28" w:history="1">
        <w:r w:rsidR="00860A29" w:rsidRPr="00860A29">
          <w:rPr>
            <w:rStyle w:val="Hyperlink"/>
            <w:rtl/>
          </w:rPr>
          <w:t>144(ב3)</w:t>
        </w:r>
      </w:hyperlink>
      <w:r w:rsidRPr="004E02DF">
        <w:rPr>
          <w:rtl/>
        </w:rPr>
        <w:t xml:space="preserve"> ל</w:t>
      </w:r>
      <w:hyperlink r:id="rId29" w:history="1">
        <w:r w:rsidRPr="004E02DF">
          <w:rPr>
            <w:color w:val="0000FF"/>
            <w:u w:val="single"/>
            <w:rtl/>
          </w:rPr>
          <w:t>חוק העונשין</w:t>
        </w:r>
      </w:hyperlink>
      <w:r w:rsidRPr="004E02DF">
        <w:rPr>
          <w:rtl/>
        </w:rPr>
        <w:t xml:space="preserve">. </w:t>
      </w:r>
    </w:p>
    <w:p w14:paraId="20B91CD3" w14:textId="77777777" w:rsidR="00DC43CE" w:rsidRPr="004E02DF" w:rsidRDefault="00DC43CE">
      <w:pPr>
        <w:spacing w:line="360" w:lineRule="auto"/>
        <w:jc w:val="both"/>
        <w:rPr>
          <w:rtl/>
        </w:rPr>
      </w:pPr>
    </w:p>
    <w:p w14:paraId="789380D3" w14:textId="77777777" w:rsidR="00DC43CE" w:rsidRPr="004E02DF" w:rsidRDefault="004E02DF">
      <w:pPr>
        <w:spacing w:line="360" w:lineRule="auto"/>
        <w:ind w:left="720" w:hanging="720"/>
        <w:jc w:val="both"/>
        <w:rPr>
          <w:rtl/>
        </w:rPr>
      </w:pPr>
      <w:r w:rsidRPr="004E02DF">
        <w:rPr>
          <w:rFonts w:hint="cs"/>
          <w:rtl/>
        </w:rPr>
        <w:t>9.</w:t>
      </w:r>
      <w:r w:rsidRPr="004E02DF">
        <w:rPr>
          <w:rFonts w:hint="cs"/>
          <w:rtl/>
        </w:rPr>
        <w:tab/>
      </w:r>
      <w:r w:rsidRPr="004E02DF">
        <w:rPr>
          <w:rtl/>
        </w:rPr>
        <w:t xml:space="preserve">על </w:t>
      </w:r>
      <w:r w:rsidRPr="004E02DF">
        <w:rPr>
          <w:rFonts w:hint="cs"/>
          <w:rtl/>
        </w:rPr>
        <w:t xml:space="preserve">עובדת קיומם של </w:t>
      </w:r>
      <w:r w:rsidRPr="004E02DF">
        <w:rPr>
          <w:rtl/>
        </w:rPr>
        <w:t xml:space="preserve">מתחמי עונש שונים </w:t>
      </w:r>
      <w:r w:rsidRPr="004E02DF">
        <w:rPr>
          <w:rFonts w:hint="cs"/>
          <w:rtl/>
        </w:rPr>
        <w:t>ל</w:t>
      </w:r>
      <w:r w:rsidRPr="004E02DF">
        <w:rPr>
          <w:rtl/>
        </w:rPr>
        <w:t xml:space="preserve">שלושת </w:t>
      </w:r>
      <w:r w:rsidRPr="004E02DF">
        <w:rPr>
          <w:rFonts w:hint="cs"/>
          <w:rtl/>
        </w:rPr>
        <w:t xml:space="preserve">הדרגות האמורות, </w:t>
      </w:r>
      <w:r w:rsidRPr="004E02DF">
        <w:rPr>
          <w:rtl/>
        </w:rPr>
        <w:t>ראו פסק דינה של כבוד השופטת ארבל ב-</w:t>
      </w:r>
      <w:hyperlink r:id="rId30" w:history="1">
        <w:r w:rsidRPr="004E02DF">
          <w:rPr>
            <w:color w:val="0000FF"/>
            <w:u w:val="single"/>
            <w:rtl/>
          </w:rPr>
          <w:t>ע"פ 4945/13</w:t>
        </w:r>
      </w:hyperlink>
      <w:r w:rsidRPr="004E02DF">
        <w:rPr>
          <w:rtl/>
        </w:rPr>
        <w:t xml:space="preserve"> </w:t>
      </w:r>
      <w:r w:rsidRPr="004E02DF">
        <w:rPr>
          <w:b/>
          <w:bCs/>
          <w:rtl/>
        </w:rPr>
        <w:t>מדינת ישראל נ' סלימאן</w:t>
      </w:r>
      <w:r w:rsidRPr="004E02DF">
        <w:rPr>
          <w:rtl/>
        </w:rPr>
        <w:t xml:space="preserve"> [פורסם בנבו] (19.1.14). </w:t>
      </w:r>
    </w:p>
    <w:p w14:paraId="4DC20501" w14:textId="77777777" w:rsidR="00DC43CE" w:rsidRPr="004E02DF" w:rsidRDefault="00DC43CE">
      <w:pPr>
        <w:spacing w:line="360" w:lineRule="auto"/>
        <w:jc w:val="both"/>
        <w:rPr>
          <w:rtl/>
        </w:rPr>
      </w:pPr>
    </w:p>
    <w:p w14:paraId="2746D600" w14:textId="77777777" w:rsidR="00DC43CE" w:rsidRPr="004E02DF" w:rsidRDefault="004E02DF">
      <w:pPr>
        <w:spacing w:line="360" w:lineRule="auto"/>
        <w:jc w:val="both"/>
        <w:rPr>
          <w:b/>
          <w:bCs/>
          <w:sz w:val="28"/>
          <w:szCs w:val="28"/>
          <w:rtl/>
        </w:rPr>
      </w:pPr>
      <w:r w:rsidRPr="004E02DF">
        <w:rPr>
          <w:b/>
          <w:bCs/>
          <w:sz w:val="28"/>
          <w:szCs w:val="28"/>
          <w:rtl/>
        </w:rPr>
        <w:t>מדיניות הענישה הנוהגת בעבירה של החזקת נשק בשל תחושת איום</w:t>
      </w:r>
    </w:p>
    <w:p w14:paraId="638C8149" w14:textId="77777777" w:rsidR="00DC43CE" w:rsidRPr="004E02DF" w:rsidRDefault="00DC43CE">
      <w:pPr>
        <w:spacing w:line="360" w:lineRule="auto"/>
        <w:jc w:val="both"/>
        <w:rPr>
          <w:rtl/>
        </w:rPr>
      </w:pPr>
    </w:p>
    <w:p w14:paraId="2048ABB5" w14:textId="77777777" w:rsidR="00DC43CE" w:rsidRPr="004E02DF" w:rsidRDefault="004E02DF">
      <w:pPr>
        <w:pStyle w:val="a6"/>
        <w:ind w:left="720" w:hanging="720"/>
        <w:rPr>
          <w:rFonts w:cs="David"/>
          <w:rtl/>
        </w:rPr>
      </w:pPr>
      <w:r w:rsidRPr="004E02DF">
        <w:rPr>
          <w:rFonts w:hint="cs"/>
          <w:rtl/>
        </w:rPr>
        <w:t>10.</w:t>
      </w:r>
      <w:r w:rsidRPr="004E02DF">
        <w:rPr>
          <w:rFonts w:hint="cs"/>
          <w:rtl/>
        </w:rPr>
        <w:tab/>
      </w:r>
      <w:r w:rsidRPr="004E02DF">
        <w:rPr>
          <w:rFonts w:cs="David"/>
          <w:rtl/>
        </w:rPr>
        <w:t xml:space="preserve">נביא להלן דוגמאות </w:t>
      </w:r>
      <w:r w:rsidRPr="004E02DF">
        <w:rPr>
          <w:rFonts w:cs="David" w:hint="cs"/>
          <w:rtl/>
        </w:rPr>
        <w:t xml:space="preserve">לענישה שניתנה בפסיקתו של </w:t>
      </w:r>
      <w:r w:rsidRPr="004E02DF">
        <w:rPr>
          <w:rFonts w:cs="David"/>
          <w:rtl/>
        </w:rPr>
        <w:t xml:space="preserve"> בית המשפט העליון בעבירה של החזקת נשק שלא כדין לפי </w:t>
      </w:r>
      <w:hyperlink r:id="rId31" w:history="1">
        <w:r w:rsidR="00860A29" w:rsidRPr="00860A29">
          <w:rPr>
            <w:rStyle w:val="Hyperlink"/>
            <w:rFonts w:cs="David"/>
            <w:rtl/>
          </w:rPr>
          <w:t>סעיף 144(א)</w:t>
        </w:r>
      </w:hyperlink>
      <w:r w:rsidRPr="004E02DF">
        <w:rPr>
          <w:rFonts w:cs="David"/>
          <w:rtl/>
        </w:rPr>
        <w:t xml:space="preserve"> רישא ל</w:t>
      </w:r>
      <w:hyperlink r:id="rId32" w:history="1">
        <w:r w:rsidRPr="004E02DF">
          <w:rPr>
            <w:rFonts w:cs="David"/>
            <w:color w:val="0000FF"/>
            <w:u w:val="single"/>
            <w:rtl/>
          </w:rPr>
          <w:t>חוק העונשין</w:t>
        </w:r>
      </w:hyperlink>
      <w:r w:rsidRPr="004E02DF">
        <w:rPr>
          <w:rFonts w:cs="David"/>
          <w:rtl/>
        </w:rPr>
        <w:t xml:space="preserve">, כאשר נטענה טענה של החזקת הנשק מחמת תחושת איום וצורך בהגנה עצמית: </w:t>
      </w:r>
    </w:p>
    <w:p w14:paraId="1EEFFE98" w14:textId="77777777" w:rsidR="00DC43CE" w:rsidRPr="004E02DF" w:rsidRDefault="00DC43CE">
      <w:pPr>
        <w:spacing w:line="360" w:lineRule="auto"/>
        <w:jc w:val="both"/>
        <w:rPr>
          <w:rtl/>
        </w:rPr>
      </w:pPr>
    </w:p>
    <w:p w14:paraId="7806DDC3" w14:textId="77777777" w:rsidR="004E02DF" w:rsidRPr="004E02DF" w:rsidRDefault="004E02DF" w:rsidP="00860A29">
      <w:pPr>
        <w:spacing w:line="360" w:lineRule="auto"/>
        <w:ind w:left="1080" w:hanging="360"/>
        <w:jc w:val="both"/>
        <w:rPr>
          <w:bCs/>
          <w:rtl/>
        </w:rPr>
      </w:pPr>
      <w:r w:rsidRPr="004E02DF">
        <w:rPr>
          <w:rFonts w:hint="cs"/>
          <w:rtl/>
        </w:rPr>
        <w:t>א.</w:t>
      </w:r>
      <w:r w:rsidRPr="004E02DF">
        <w:rPr>
          <w:rFonts w:hint="cs"/>
          <w:rtl/>
        </w:rPr>
        <w:tab/>
      </w:r>
      <w:hyperlink r:id="rId33" w:history="1">
        <w:r w:rsidRPr="004E02DF">
          <w:rPr>
            <w:color w:val="0000FF"/>
            <w:u w:val="single"/>
            <w:rtl/>
          </w:rPr>
          <w:t>ע"פ 7502/12</w:t>
        </w:r>
      </w:hyperlink>
      <w:r w:rsidRPr="004E02DF">
        <w:rPr>
          <w:rtl/>
        </w:rPr>
        <w:t xml:space="preserve"> </w:t>
      </w:r>
      <w:r w:rsidRPr="004E02DF">
        <w:rPr>
          <w:b/>
          <w:bCs/>
          <w:rtl/>
        </w:rPr>
        <w:t>כוויס נ' מדינת ישראל</w:t>
      </w:r>
      <w:r w:rsidRPr="004E02DF">
        <w:rPr>
          <w:rtl/>
        </w:rPr>
        <w:t xml:space="preserve"> [פורסם בנבו] (25.6.13). המער</w:t>
      </w:r>
      <w:r w:rsidRPr="004E02DF">
        <w:rPr>
          <w:rFonts w:hint="cs"/>
          <w:rtl/>
        </w:rPr>
        <w:t>ע</w:t>
      </w:r>
      <w:r w:rsidRPr="004E02DF">
        <w:rPr>
          <w:rtl/>
        </w:rPr>
        <w:t>ר החזיק במגירה בביתו אקדח, שתי מחסניות ו-15 כדורים. לנאשם הרשעה קודמת של בית המשפט הצבאי בגין ביצוע עבירות ביטחון. מאז שנת 1993 הנאשם מנהל אורח חיים נורמטיבי</w:t>
      </w:r>
      <w:r w:rsidRPr="004E02DF">
        <w:rPr>
          <w:rFonts w:hint="cs"/>
          <w:rtl/>
        </w:rPr>
        <w:t>.</w:t>
      </w:r>
      <w:r w:rsidRPr="004E02DF">
        <w:rPr>
          <w:rtl/>
        </w:rPr>
        <w:t xml:space="preserve"> בנוסף, מדובר בנאשם נשוי ואב לשישה ילדים, ואשר טען כי רכש את האקדח ואת ית</w:t>
      </w:r>
      <w:bookmarkStart w:id="6" w:name="LawTable"/>
      <w:bookmarkEnd w:id="6"/>
      <w:r w:rsidRPr="00860A29">
        <w:rPr>
          <w:rtl/>
        </w:rPr>
        <w:t>ר</w:t>
      </w:r>
      <w:bookmarkEnd w:id="0"/>
    </w:p>
    <w:p w14:paraId="3A768C28" w14:textId="77777777" w:rsidR="004E02DF" w:rsidRPr="004E02DF" w:rsidRDefault="004E02DF" w:rsidP="004E02DF">
      <w:pPr>
        <w:spacing w:line="360" w:lineRule="auto"/>
        <w:ind w:left="1080" w:hanging="360"/>
        <w:jc w:val="center"/>
        <w:rPr>
          <w:bCs/>
          <w:rtl/>
        </w:rPr>
      </w:pPr>
      <w:r w:rsidRPr="004E02DF">
        <w:rPr>
          <w:bCs/>
          <w:rtl/>
        </w:rPr>
        <w:t>החלקים לצורך הגנה עצמית בהיותו בעל עסק פרטי להשכרת רכב. הנאשם הסתיר את</w:t>
      </w:r>
    </w:p>
    <w:p w14:paraId="70EBC05B" w14:textId="77777777" w:rsidR="00DC43CE" w:rsidRDefault="004E02DF">
      <w:pPr>
        <w:spacing w:line="360" w:lineRule="auto"/>
        <w:ind w:left="1080" w:hanging="360"/>
        <w:jc w:val="both"/>
        <w:rPr>
          <w:rtl/>
        </w:rPr>
      </w:pPr>
      <w:r>
        <w:rPr>
          <w:rtl/>
        </w:rPr>
        <w:t xml:space="preserve">הנשק בביתו ומאז רכישתו לא עשה בו כל שימוש. בית משפט המחוזי בירושלים הטיל עליו </w:t>
      </w:r>
      <w:r>
        <w:rPr>
          <w:u w:val="single"/>
          <w:rtl/>
        </w:rPr>
        <w:t>7 חודשי מאסר לריצוי בפועל</w:t>
      </w:r>
      <w:r>
        <w:rPr>
          <w:rtl/>
        </w:rPr>
        <w:t xml:space="preserve">. ערעורו לבית המשפט העליון נדחה. </w:t>
      </w:r>
    </w:p>
    <w:p w14:paraId="1F3F5D7E" w14:textId="77777777" w:rsidR="00DC43CE" w:rsidRDefault="00DC43CE">
      <w:pPr>
        <w:spacing w:line="360" w:lineRule="auto"/>
        <w:ind w:left="1080" w:hanging="360"/>
        <w:jc w:val="both"/>
        <w:rPr>
          <w:rtl/>
        </w:rPr>
      </w:pPr>
    </w:p>
    <w:p w14:paraId="5CF27D1E" w14:textId="77777777" w:rsidR="00DC43CE" w:rsidRDefault="004E02DF">
      <w:pPr>
        <w:spacing w:line="360" w:lineRule="auto"/>
        <w:ind w:left="1080" w:hanging="360"/>
        <w:jc w:val="both"/>
        <w:rPr>
          <w:rtl/>
        </w:rPr>
      </w:pPr>
      <w:r>
        <w:rPr>
          <w:rFonts w:hint="cs"/>
          <w:rtl/>
        </w:rPr>
        <w:t>ב.</w:t>
      </w:r>
      <w:r>
        <w:rPr>
          <w:rFonts w:hint="cs"/>
          <w:rtl/>
        </w:rPr>
        <w:tab/>
      </w:r>
      <w:hyperlink r:id="rId34" w:history="1">
        <w:r w:rsidRPr="004E02DF">
          <w:rPr>
            <w:color w:val="0000FF"/>
            <w:u w:val="single"/>
            <w:rtl/>
          </w:rPr>
          <w:t>ע"פ 6294/10</w:t>
        </w:r>
      </w:hyperlink>
      <w:r>
        <w:rPr>
          <w:rtl/>
        </w:rPr>
        <w:t xml:space="preserve"> </w:t>
      </w:r>
      <w:r>
        <w:rPr>
          <w:b/>
          <w:bCs/>
          <w:rtl/>
        </w:rPr>
        <w:t>אלקיעאן נ' מדינת ישראל</w:t>
      </w:r>
      <w:r>
        <w:rPr>
          <w:rtl/>
        </w:rPr>
        <w:t xml:space="preserve"> [פורסם בנבו] (13.2.11). המערער הורשע </w:t>
      </w:r>
      <w:r>
        <w:rPr>
          <w:rFonts w:hint="cs"/>
          <w:rtl/>
        </w:rPr>
        <w:t xml:space="preserve">על ידי בית המשפט </w:t>
      </w:r>
      <w:r>
        <w:rPr>
          <w:rtl/>
        </w:rPr>
        <w:t>המחוזי בבאר שבע בגין ביצוע עבירה של החזקת נשק שלא כדין, בדמות אקדח טעון ומחסנית. המערער טען כי החזיק את הנשק לצורך הגנה עצמית על רקע סכסוך שבטי. טענתו זו נדחתה ע"י בית משפט המחוזי מאחר ולא הוכח שקיים סכסוך כזה ובכל מקרה נקבע שגם אם היה סכסוך כזה, אי</w:t>
      </w:r>
      <w:r>
        <w:rPr>
          <w:rFonts w:hint="cs"/>
          <w:rtl/>
        </w:rPr>
        <w:t>ן</w:t>
      </w:r>
      <w:r>
        <w:rPr>
          <w:rtl/>
        </w:rPr>
        <w:t xml:space="preserve"> בכך להצדיק את ביצוע העבירה שבה הורשע. המערער נדון ל-</w:t>
      </w:r>
      <w:r>
        <w:rPr>
          <w:u w:val="single"/>
          <w:rtl/>
        </w:rPr>
        <w:t>10 חודשי מאסר בפועל</w:t>
      </w:r>
      <w:r>
        <w:rPr>
          <w:rtl/>
        </w:rPr>
        <w:t xml:space="preserve"> וערעורו לבית המשפט העליון נדחה. </w:t>
      </w:r>
    </w:p>
    <w:p w14:paraId="5DB6D9A3" w14:textId="77777777" w:rsidR="00DC43CE" w:rsidRDefault="00DC43CE">
      <w:pPr>
        <w:spacing w:line="360" w:lineRule="auto"/>
        <w:ind w:left="1080" w:hanging="360"/>
        <w:jc w:val="both"/>
        <w:rPr>
          <w:rtl/>
        </w:rPr>
      </w:pPr>
    </w:p>
    <w:p w14:paraId="4AC83814" w14:textId="77777777" w:rsidR="00DC43CE" w:rsidRDefault="004E02DF">
      <w:pPr>
        <w:spacing w:line="360" w:lineRule="auto"/>
        <w:ind w:left="1080" w:hanging="360"/>
        <w:jc w:val="both"/>
        <w:rPr>
          <w:rtl/>
        </w:rPr>
      </w:pPr>
      <w:r>
        <w:rPr>
          <w:rFonts w:hint="cs"/>
          <w:rtl/>
        </w:rPr>
        <w:t>ג.</w:t>
      </w:r>
      <w:r>
        <w:rPr>
          <w:rFonts w:hint="cs"/>
          <w:rtl/>
        </w:rPr>
        <w:tab/>
      </w:r>
      <w:hyperlink r:id="rId35" w:history="1">
        <w:r w:rsidRPr="004E02DF">
          <w:rPr>
            <w:color w:val="0000FF"/>
            <w:u w:val="single"/>
            <w:rtl/>
          </w:rPr>
          <w:t>ע"פ 1069/12</w:t>
        </w:r>
      </w:hyperlink>
      <w:r>
        <w:rPr>
          <w:rtl/>
        </w:rPr>
        <w:t xml:space="preserve"> </w:t>
      </w:r>
      <w:r>
        <w:rPr>
          <w:b/>
          <w:bCs/>
          <w:rtl/>
        </w:rPr>
        <w:t>אלנבארי נ' מדינת ישראל</w:t>
      </w:r>
      <w:r>
        <w:rPr>
          <w:rtl/>
        </w:rPr>
        <w:t xml:space="preserve"> [פורסם בנבו] (26.7.12). המערער הורשע ע"י בית משפט המחוזי בבאר שבע בעבירה של החזקת נשק, החזקת תחמושת וכן סחר בנשק ונשיאה והובלה של נשק. הנאשם רכש אקדח ותחמושת והחזיקם בביתו משנת 1999 ועד שנת 2004. בשנת 2004 פנה אליו אדם לרכישת הנשק, המערער נפגש עימו וכך נשא והוביל את הנשק לביתו של אותו אדם ושם מסר לו את הנשק בתמורה כספית. המערער טען כי רכש את הנשק להגנה עצמית ולא עשה בו כל שימוש. המערער נדון ל-</w:t>
      </w:r>
      <w:r>
        <w:rPr>
          <w:u w:val="single"/>
          <w:rtl/>
        </w:rPr>
        <w:t>9 חודשי מאסר בפועל</w:t>
      </w:r>
      <w:r>
        <w:rPr>
          <w:rtl/>
        </w:rPr>
        <w:t xml:space="preserve"> וערעורו לבית המשפט העליון נדחה. </w:t>
      </w:r>
    </w:p>
    <w:p w14:paraId="7E1C2663" w14:textId="77777777" w:rsidR="00DC43CE" w:rsidRDefault="00DC43CE">
      <w:pPr>
        <w:spacing w:line="360" w:lineRule="auto"/>
        <w:ind w:left="1080" w:hanging="360"/>
        <w:jc w:val="both"/>
        <w:rPr>
          <w:rtl/>
        </w:rPr>
      </w:pPr>
    </w:p>
    <w:p w14:paraId="18F99CFA" w14:textId="77777777" w:rsidR="00DC43CE" w:rsidRDefault="004E02DF">
      <w:pPr>
        <w:spacing w:line="360" w:lineRule="auto"/>
        <w:ind w:left="1080" w:hanging="360"/>
        <w:jc w:val="both"/>
        <w:rPr>
          <w:rtl/>
        </w:rPr>
      </w:pPr>
      <w:r>
        <w:rPr>
          <w:rFonts w:hint="cs"/>
          <w:rtl/>
        </w:rPr>
        <w:t>ד.</w:t>
      </w:r>
      <w:r>
        <w:rPr>
          <w:rFonts w:hint="cs"/>
          <w:rtl/>
        </w:rPr>
        <w:tab/>
      </w:r>
      <w:hyperlink r:id="rId36" w:history="1">
        <w:r w:rsidRPr="004E02DF">
          <w:rPr>
            <w:color w:val="0000FF"/>
            <w:u w:val="single"/>
            <w:rtl/>
          </w:rPr>
          <w:t>רע"פ 2822/12</w:t>
        </w:r>
      </w:hyperlink>
      <w:r>
        <w:rPr>
          <w:rtl/>
        </w:rPr>
        <w:t xml:space="preserve"> </w:t>
      </w:r>
      <w:r>
        <w:rPr>
          <w:b/>
          <w:bCs/>
          <w:rtl/>
        </w:rPr>
        <w:t>דואהרי נ' מדינת ישראל</w:t>
      </w:r>
      <w:r>
        <w:rPr>
          <w:rtl/>
        </w:rPr>
        <w:t xml:space="preserve"> [פורסם בנבו] (25.4.12). המבקש הורשע בבי</w:t>
      </w:r>
      <w:r>
        <w:rPr>
          <w:rFonts w:hint="cs"/>
          <w:rtl/>
        </w:rPr>
        <w:t>ת משפט</w:t>
      </w:r>
      <w:r>
        <w:rPr>
          <w:rtl/>
        </w:rPr>
        <w:t xml:space="preserve"> השלום בעבירה של החזקת נשק ונדון לעונש של </w:t>
      </w:r>
      <w:r>
        <w:rPr>
          <w:rFonts w:hint="cs"/>
          <w:rtl/>
        </w:rPr>
        <w:t>15</w:t>
      </w:r>
      <w:r>
        <w:rPr>
          <w:rtl/>
        </w:rPr>
        <w:t xml:space="preserve"> חודשי מאסר בפועל, כאשר היה תלוי ועומד כנגדו מאסר מותנה של 10 חודשים</w:t>
      </w:r>
      <w:r>
        <w:rPr>
          <w:rFonts w:hint="cs"/>
          <w:rtl/>
        </w:rPr>
        <w:t>, שהופעל חלקו בחופף וחלקו במצטבר, כך שסה"כ הושתו עליו 20 חודשי מאסר</w:t>
      </w:r>
      <w:r>
        <w:rPr>
          <w:rtl/>
        </w:rPr>
        <w:t>. בנסיבות העניין, היה מדובר במי שיש לו שתי הרשעות קודמות בעבירות נשק ואשר טען כי החזיק בנשק מתוך תחושת איום תמידית שמרחפת מעל ראשו במשך מספר שנים וגורמת לו לחרדה. המבקש בטיעוניו הפנה לאירוע ירי שבו נפצע קשה בעבר. המדינה הגישה ערעור על קולת העונש לבי</w:t>
      </w:r>
      <w:r>
        <w:rPr>
          <w:rFonts w:hint="cs"/>
          <w:rtl/>
        </w:rPr>
        <w:t xml:space="preserve">ת המשפט </w:t>
      </w:r>
      <w:r>
        <w:rPr>
          <w:rtl/>
        </w:rPr>
        <w:t>המחוזי במחוז מרכז, ערעורה התקבל והעונש הועמד על</w:t>
      </w:r>
      <w:r>
        <w:rPr>
          <w:u w:val="single"/>
          <w:rtl/>
        </w:rPr>
        <w:t xml:space="preserve"> 20 חודשי מאסר בפועל</w:t>
      </w:r>
      <w:r>
        <w:rPr>
          <w:rtl/>
        </w:rPr>
        <w:t xml:space="preserve">, תוך הפעלה של </w:t>
      </w:r>
      <w:r>
        <w:rPr>
          <w:rFonts w:hint="cs"/>
          <w:rtl/>
        </w:rPr>
        <w:t>ה</w:t>
      </w:r>
      <w:r>
        <w:rPr>
          <w:rtl/>
        </w:rPr>
        <w:t xml:space="preserve">מאסר </w:t>
      </w:r>
      <w:r>
        <w:rPr>
          <w:rFonts w:hint="cs"/>
          <w:rtl/>
        </w:rPr>
        <w:t>ה</w:t>
      </w:r>
      <w:r>
        <w:rPr>
          <w:rtl/>
        </w:rPr>
        <w:t xml:space="preserve">מותנה של 10 חודשים במצטבר, סה"כ 30 חודשים. בקשת רשות ערעור שהוגשה לבית המשפט העליון ע"י המבקש נדחתה. </w:t>
      </w:r>
    </w:p>
    <w:p w14:paraId="3B07E3C9" w14:textId="77777777" w:rsidR="00DC43CE" w:rsidRDefault="00DC43CE">
      <w:pPr>
        <w:spacing w:line="360" w:lineRule="auto"/>
        <w:jc w:val="both"/>
        <w:rPr>
          <w:rtl/>
        </w:rPr>
      </w:pPr>
    </w:p>
    <w:p w14:paraId="38BA5C01" w14:textId="77777777" w:rsidR="00DC43CE" w:rsidRDefault="004E02DF">
      <w:pPr>
        <w:spacing w:line="360" w:lineRule="auto"/>
        <w:ind w:left="720" w:hanging="720"/>
        <w:jc w:val="both"/>
        <w:rPr>
          <w:rtl/>
        </w:rPr>
      </w:pPr>
      <w:r>
        <w:rPr>
          <w:rFonts w:hint="cs"/>
          <w:rtl/>
        </w:rPr>
        <w:t>11.</w:t>
      </w:r>
      <w:r>
        <w:rPr>
          <w:rFonts w:hint="cs"/>
          <w:rtl/>
        </w:rPr>
        <w:tab/>
      </w:r>
      <w:r>
        <w:rPr>
          <w:rtl/>
        </w:rPr>
        <w:t xml:space="preserve">על כן, הנני קובע כי מתחם העונש ההולם בעבירה נשוא כתב האישום נע </w:t>
      </w:r>
      <w:r>
        <w:rPr>
          <w:u w:val="single"/>
          <w:rtl/>
        </w:rPr>
        <w:t>בין 6 חודשי מאסר בפועל ל-20 חודשי מאסר בפועל</w:t>
      </w:r>
      <w:r>
        <w:rPr>
          <w:rtl/>
        </w:rPr>
        <w:t xml:space="preserve">. </w:t>
      </w:r>
    </w:p>
    <w:p w14:paraId="60685EDD" w14:textId="77777777" w:rsidR="00DC43CE" w:rsidRDefault="00DC43CE">
      <w:pPr>
        <w:spacing w:line="360" w:lineRule="auto"/>
        <w:jc w:val="both"/>
        <w:rPr>
          <w:rtl/>
        </w:rPr>
      </w:pPr>
    </w:p>
    <w:p w14:paraId="1F0C2F96" w14:textId="77777777" w:rsidR="00DC43CE" w:rsidRDefault="004E02DF">
      <w:pPr>
        <w:spacing w:line="360" w:lineRule="auto"/>
        <w:jc w:val="both"/>
        <w:rPr>
          <w:b/>
          <w:bCs/>
          <w:sz w:val="28"/>
          <w:szCs w:val="28"/>
          <w:u w:val="single"/>
          <w:rtl/>
        </w:rPr>
      </w:pPr>
      <w:r>
        <w:rPr>
          <w:b/>
          <w:bCs/>
          <w:sz w:val="28"/>
          <w:szCs w:val="28"/>
          <w:u w:val="single"/>
          <w:rtl/>
        </w:rPr>
        <w:t>העונש המתאים</w:t>
      </w:r>
      <w:r>
        <w:rPr>
          <w:rFonts w:hint="cs"/>
          <w:b/>
          <w:bCs/>
          <w:sz w:val="28"/>
          <w:szCs w:val="28"/>
          <w:u w:val="single"/>
          <w:rtl/>
        </w:rPr>
        <w:t xml:space="preserve"> בתוך מתחם העונש ההולם </w:t>
      </w:r>
    </w:p>
    <w:p w14:paraId="318A452A" w14:textId="77777777" w:rsidR="00DC43CE" w:rsidRDefault="00DC43CE">
      <w:pPr>
        <w:spacing w:line="360" w:lineRule="auto"/>
        <w:jc w:val="both"/>
        <w:rPr>
          <w:rtl/>
        </w:rPr>
      </w:pPr>
    </w:p>
    <w:p w14:paraId="208C3487" w14:textId="77777777" w:rsidR="00DC43CE" w:rsidRDefault="004E02DF">
      <w:pPr>
        <w:spacing w:line="360" w:lineRule="auto"/>
        <w:ind w:left="720" w:hanging="720"/>
        <w:jc w:val="both"/>
        <w:rPr>
          <w:rtl/>
        </w:rPr>
      </w:pPr>
      <w:r>
        <w:rPr>
          <w:rFonts w:hint="cs"/>
          <w:rtl/>
        </w:rPr>
        <w:t>12.</w:t>
      </w:r>
      <w:r>
        <w:rPr>
          <w:rFonts w:hint="cs"/>
          <w:rtl/>
        </w:rPr>
        <w:tab/>
      </w:r>
      <w:r>
        <w:rPr>
          <w:rtl/>
        </w:rPr>
        <w:t>העונש שלו עתרה המאשימה נמצא בחלקו התחתון של מתחם העונש ההולם שקבעתי לעיל. הלכה פסוקה היא שיש לכבד הסדרי טיעון וחזקה על ב</w:t>
      </w:r>
      <w:r>
        <w:rPr>
          <w:rFonts w:hint="cs"/>
          <w:rtl/>
        </w:rPr>
        <w:t>אי כח</w:t>
      </w:r>
      <w:r>
        <w:rPr>
          <w:rtl/>
        </w:rPr>
        <w:t xml:space="preserve"> הצדדים שלקחו בחשבון את כל השיקולים הרלוונטיים, הן מבחינת האינטרס הציבורי והן מבחינת נסיבותיו האישיות של הנאשם (</w:t>
      </w:r>
      <w:hyperlink r:id="rId37" w:history="1">
        <w:r w:rsidRPr="004E02DF">
          <w:rPr>
            <w:color w:val="0000FF"/>
            <w:u w:val="single"/>
            <w:rtl/>
          </w:rPr>
          <w:t>ע"פ 1958/98</w:t>
        </w:r>
      </w:hyperlink>
      <w:r>
        <w:rPr>
          <w:rtl/>
        </w:rPr>
        <w:t xml:space="preserve"> </w:t>
      </w:r>
      <w:r>
        <w:rPr>
          <w:b/>
          <w:bCs/>
          <w:rtl/>
        </w:rPr>
        <w:t xml:space="preserve">פלוני נ' מדינת ישראל </w:t>
      </w:r>
      <w:r>
        <w:rPr>
          <w:rtl/>
        </w:rPr>
        <w:t>פד נז (1) 577 (2002)). בנוסף, כאשר הצדדים מסכימים על טווח ענישה, על בית משפט לבחון אם טווח זה נמצא בתוך מתחם העונש ההולם או לא (</w:t>
      </w:r>
      <w:hyperlink r:id="rId38" w:history="1">
        <w:r w:rsidRPr="004E02DF">
          <w:rPr>
            <w:color w:val="0000FF"/>
            <w:u w:val="single"/>
            <w:rtl/>
          </w:rPr>
          <w:t>ע"פ 512/13</w:t>
        </w:r>
      </w:hyperlink>
      <w:r>
        <w:rPr>
          <w:rtl/>
        </w:rPr>
        <w:t xml:space="preserve"> </w:t>
      </w:r>
      <w:r>
        <w:rPr>
          <w:b/>
          <w:bCs/>
          <w:rtl/>
        </w:rPr>
        <w:t>פלוני נ' מדינת ישראל</w:t>
      </w:r>
      <w:r>
        <w:rPr>
          <w:rtl/>
        </w:rPr>
        <w:t xml:space="preserve"> [פורסם בנבו] (4.12.13) פסקה 19 לפסק דינו של כבוד השופט מלצר). בנסיבות העניין, המאשימה עתרה למאסר בפועל של שישה חודשים שיכול וירוצו בעבודות שירות וההגנה טענה באופן פתוח. </w:t>
      </w:r>
      <w:r>
        <w:rPr>
          <w:rFonts w:hint="cs"/>
          <w:rtl/>
        </w:rPr>
        <w:t>יוצא מכך</w:t>
      </w:r>
      <w:r>
        <w:rPr>
          <w:rtl/>
        </w:rPr>
        <w:t xml:space="preserve">, </w:t>
      </w:r>
      <w:r>
        <w:rPr>
          <w:rFonts w:hint="cs"/>
          <w:rtl/>
        </w:rPr>
        <w:t>ש</w:t>
      </w:r>
      <w:r>
        <w:rPr>
          <w:rtl/>
        </w:rPr>
        <w:t>העתירה של ההגנה לעונש מאסר בפועל קצר יותר משישה חודשים, חורגת</w:t>
      </w:r>
      <w:r>
        <w:rPr>
          <w:rFonts w:hint="cs"/>
          <w:rtl/>
        </w:rPr>
        <w:t xml:space="preserve"> לקולא</w:t>
      </w:r>
      <w:r>
        <w:rPr>
          <w:rtl/>
        </w:rPr>
        <w:t xml:space="preserve"> ממתחם העונש ההולם שקבעתי. </w:t>
      </w:r>
    </w:p>
    <w:p w14:paraId="3DC7D178" w14:textId="77777777" w:rsidR="00DC43CE" w:rsidRDefault="00DC43CE">
      <w:pPr>
        <w:spacing w:line="360" w:lineRule="auto"/>
        <w:jc w:val="both"/>
        <w:rPr>
          <w:rtl/>
        </w:rPr>
      </w:pPr>
    </w:p>
    <w:p w14:paraId="35BBCBCD" w14:textId="77777777" w:rsidR="00DC43CE" w:rsidRDefault="004E02DF">
      <w:pPr>
        <w:spacing w:line="360" w:lineRule="auto"/>
        <w:ind w:left="720" w:hanging="720"/>
        <w:jc w:val="both"/>
        <w:rPr>
          <w:rtl/>
        </w:rPr>
      </w:pPr>
      <w:r>
        <w:rPr>
          <w:rFonts w:hint="cs"/>
          <w:rtl/>
        </w:rPr>
        <w:t>13.</w:t>
      </w:r>
      <w:r>
        <w:rPr>
          <w:rFonts w:hint="cs"/>
          <w:rtl/>
        </w:rPr>
        <w:tab/>
      </w:r>
      <w:r>
        <w:rPr>
          <w:rtl/>
        </w:rPr>
        <w:t xml:space="preserve">מן הראוי לתת את הדעת גם </w:t>
      </w:r>
      <w:r>
        <w:rPr>
          <w:b/>
          <w:bCs/>
          <w:rtl/>
        </w:rPr>
        <w:t xml:space="preserve">לעיקרון </w:t>
      </w:r>
      <w:r>
        <w:rPr>
          <w:rFonts w:hint="cs"/>
          <w:b/>
          <w:bCs/>
          <w:rtl/>
        </w:rPr>
        <w:t>ה</w:t>
      </w:r>
      <w:r>
        <w:rPr>
          <w:b/>
          <w:bCs/>
          <w:rtl/>
        </w:rPr>
        <w:t>אחידות בענישה</w:t>
      </w:r>
      <w:r>
        <w:rPr>
          <w:rtl/>
        </w:rPr>
        <w:t xml:space="preserve"> ביחס לבני משפחה נוספים של הנאשם שהחזיקו בנשק במסגרת הסכסוך שבין משפחתו לבין המשפחה היריבה: </w:t>
      </w:r>
    </w:p>
    <w:p w14:paraId="00863DD6" w14:textId="77777777" w:rsidR="00DC43CE" w:rsidRDefault="00DC43CE">
      <w:pPr>
        <w:spacing w:line="360" w:lineRule="auto"/>
        <w:ind w:left="720" w:hanging="720"/>
        <w:jc w:val="both"/>
        <w:rPr>
          <w:rtl/>
        </w:rPr>
      </w:pPr>
    </w:p>
    <w:p w14:paraId="38FEDD5C" w14:textId="77777777" w:rsidR="00DC43CE" w:rsidRDefault="004E02DF">
      <w:pPr>
        <w:spacing w:line="360" w:lineRule="auto"/>
        <w:ind w:left="1440" w:hanging="720"/>
        <w:jc w:val="both"/>
        <w:rPr>
          <w:rtl/>
        </w:rPr>
      </w:pPr>
      <w:r>
        <w:rPr>
          <w:rFonts w:hint="cs"/>
          <w:rtl/>
        </w:rPr>
        <w:t>א.</w:t>
      </w:r>
      <w:r>
        <w:rPr>
          <w:rFonts w:hint="cs"/>
          <w:rtl/>
        </w:rPr>
        <w:tab/>
      </w:r>
      <w:hyperlink r:id="rId39" w:history="1">
        <w:r w:rsidRPr="004E02DF">
          <w:rPr>
            <w:color w:val="0000FF"/>
            <w:u w:val="single"/>
            <w:rtl/>
          </w:rPr>
          <w:t>ת"פ (מח' – מרכז)  40685-08-11</w:t>
        </w:r>
      </w:hyperlink>
      <w:r>
        <w:rPr>
          <w:rtl/>
        </w:rPr>
        <w:t xml:space="preserve"> </w:t>
      </w:r>
      <w:r>
        <w:rPr>
          <w:b/>
          <w:bCs/>
          <w:rtl/>
        </w:rPr>
        <w:t>מדינת ישראל נ' איוב אבו גריבה</w:t>
      </w:r>
      <w:r>
        <w:rPr>
          <w:rtl/>
        </w:rPr>
        <w:t xml:space="preserve"> (ניתן ביום 19.12.12 ע"י כבוד השופטת ליאורה ברודי). במקרה זה, היה מדובר באחיו של הנאשם </w:t>
      </w:r>
      <w:r>
        <w:rPr>
          <w:rFonts w:hint="cs"/>
          <w:rtl/>
        </w:rPr>
        <w:t>שבפני ו</w:t>
      </w:r>
      <w:r>
        <w:rPr>
          <w:rtl/>
        </w:rPr>
        <w:t xml:space="preserve">שהינו צעיר ממנו בשנה, והחזיק אקדח עם מחסנית שבה שמונה קליעים. בנוסף, הורשע גם בעבירה של שיבוש מהלכי משפט. לנאשם זה לא היה עבר פלילי קודם, הודה והביע חרטה על מעשיו ונקבע שהעבירה בוצעה על רקע אותו סכסוך שנוגע גם לנאשם שבפני. בסופו של יום, נדון לשישה חודשי מאסר בפועל שירוצו בעבודות שירות. </w:t>
      </w:r>
    </w:p>
    <w:p w14:paraId="247EE91E" w14:textId="77777777" w:rsidR="00DC43CE" w:rsidRDefault="00DC43CE">
      <w:pPr>
        <w:spacing w:line="360" w:lineRule="auto"/>
        <w:ind w:left="1440" w:hanging="720"/>
        <w:jc w:val="both"/>
        <w:rPr>
          <w:rtl/>
        </w:rPr>
      </w:pPr>
    </w:p>
    <w:p w14:paraId="33C1E8E9" w14:textId="77777777" w:rsidR="00DC43CE" w:rsidRDefault="004E02DF">
      <w:pPr>
        <w:spacing w:line="360" w:lineRule="auto"/>
        <w:ind w:left="1440" w:hanging="720"/>
        <w:jc w:val="both"/>
      </w:pPr>
      <w:r>
        <w:rPr>
          <w:rFonts w:hint="cs"/>
          <w:rtl/>
        </w:rPr>
        <w:t>ב.</w:t>
      </w:r>
      <w:r>
        <w:rPr>
          <w:rFonts w:hint="cs"/>
          <w:rtl/>
        </w:rPr>
        <w:tab/>
      </w:r>
      <w:hyperlink r:id="rId40" w:history="1">
        <w:r w:rsidRPr="004E02DF">
          <w:rPr>
            <w:color w:val="0000FF"/>
            <w:u w:val="single"/>
            <w:rtl/>
          </w:rPr>
          <w:t>ת"פ (מח' – מרכז) 33734-07-11</w:t>
        </w:r>
      </w:hyperlink>
      <w:r>
        <w:rPr>
          <w:rtl/>
        </w:rPr>
        <w:t xml:space="preserve"> </w:t>
      </w:r>
      <w:r>
        <w:rPr>
          <w:b/>
          <w:bCs/>
          <w:rtl/>
        </w:rPr>
        <w:t>מדינת ישראל נ' פראס אבו גריבה</w:t>
      </w:r>
      <w:r>
        <w:rPr>
          <w:rtl/>
        </w:rPr>
        <w:t xml:space="preserve"> (ניתן ביום 4.12.11 ע"י כבוד השופטת קלרה רגיניאנו). במקרה זה, הנאשם החזיק בנשק מאולתר מסוג תת מקלע. לנאשם זה הרשעה קודמת משנת 2004 בגין עבירות של היזק לרכוש במזיד וירי מנשק חם באזור מגורים. נאשם זה הינו דודו של הנאשם שבפני, וכן אחיה של דודתו של הנאשם שנרצחה. הוטלו עליו שישה חודשי מאסר שירוצו בעבודות שירות. </w:t>
      </w:r>
    </w:p>
    <w:p w14:paraId="3110F149" w14:textId="77777777" w:rsidR="00DC43CE" w:rsidRDefault="00DC43CE">
      <w:pPr>
        <w:spacing w:line="360" w:lineRule="auto"/>
        <w:jc w:val="both"/>
        <w:rPr>
          <w:rtl/>
        </w:rPr>
      </w:pPr>
    </w:p>
    <w:p w14:paraId="720551A9" w14:textId="77777777" w:rsidR="00DC43CE" w:rsidRDefault="004E02DF">
      <w:pPr>
        <w:spacing w:line="360" w:lineRule="auto"/>
        <w:ind w:left="720" w:hanging="720"/>
        <w:jc w:val="both"/>
        <w:rPr>
          <w:rtl/>
        </w:rPr>
      </w:pPr>
      <w:r>
        <w:rPr>
          <w:rFonts w:hint="cs"/>
          <w:rtl/>
        </w:rPr>
        <w:t>14.</w:t>
      </w:r>
      <w:r>
        <w:rPr>
          <w:rFonts w:hint="cs"/>
          <w:rtl/>
        </w:rPr>
        <w:tab/>
        <w:t>לסיכום</w:t>
      </w:r>
      <w:r>
        <w:rPr>
          <w:rtl/>
        </w:rPr>
        <w:t xml:space="preserve">, סבורני כי העונש הראוי הוא עונש של שישה חודשי מאסר שירוצו בעבודות שירות ואין מקום לחרוג מעונש זה, </w:t>
      </w:r>
      <w:r>
        <w:rPr>
          <w:rFonts w:hint="cs"/>
          <w:rtl/>
        </w:rPr>
        <w:t xml:space="preserve">וזאת משני טעמים עיקריים: </w:t>
      </w:r>
      <w:r>
        <w:rPr>
          <w:rFonts w:hint="cs"/>
          <w:b/>
          <w:bCs/>
          <w:rtl/>
        </w:rPr>
        <w:t>ראשית</w:t>
      </w:r>
      <w:r>
        <w:rPr>
          <w:rFonts w:hint="cs"/>
          <w:rtl/>
        </w:rPr>
        <w:t xml:space="preserve">, </w:t>
      </w:r>
      <w:r>
        <w:rPr>
          <w:rtl/>
        </w:rPr>
        <w:t>העובדה שעונש מאסר לתקופה קצרה יותר, הינו בגדר סטיה ממתחם העונש ההולם</w:t>
      </w:r>
      <w:r>
        <w:rPr>
          <w:rFonts w:hint="cs"/>
          <w:rtl/>
        </w:rPr>
        <w:t xml:space="preserve"> בעבירות של החזקת נשק על רקע של תחושת איום והגנה עצמית;</w:t>
      </w:r>
      <w:r>
        <w:rPr>
          <w:rtl/>
        </w:rPr>
        <w:t xml:space="preserve"> </w:t>
      </w:r>
      <w:r>
        <w:rPr>
          <w:rFonts w:hint="cs"/>
          <w:b/>
          <w:bCs/>
          <w:rtl/>
        </w:rPr>
        <w:t>שנית</w:t>
      </w:r>
      <w:r>
        <w:rPr>
          <w:rFonts w:hint="cs"/>
          <w:rtl/>
        </w:rPr>
        <w:t xml:space="preserve">, </w:t>
      </w:r>
      <w:r>
        <w:rPr>
          <w:rtl/>
        </w:rPr>
        <w:t xml:space="preserve">העובדה שהדבר מקדם את עיקרון האחידות בענישה בין הנאשם שבפני לבין אחיו ודודו שנשאבו גם הם לאותו סכסוך וביצעו עבירות דומות. </w:t>
      </w:r>
    </w:p>
    <w:p w14:paraId="511ABFEC" w14:textId="77777777" w:rsidR="00DC43CE" w:rsidRDefault="00DC43CE">
      <w:pPr>
        <w:spacing w:line="360" w:lineRule="auto"/>
        <w:jc w:val="both"/>
        <w:rPr>
          <w:rtl/>
        </w:rPr>
      </w:pPr>
    </w:p>
    <w:p w14:paraId="0A41A092" w14:textId="77777777" w:rsidR="00DC43CE" w:rsidRDefault="004E02DF">
      <w:pPr>
        <w:spacing w:line="360" w:lineRule="auto"/>
        <w:jc w:val="both"/>
        <w:rPr>
          <w:rtl/>
        </w:rPr>
      </w:pPr>
      <w:r>
        <w:rPr>
          <w:rFonts w:hint="cs"/>
          <w:rtl/>
        </w:rPr>
        <w:t>15.</w:t>
      </w:r>
      <w:r>
        <w:rPr>
          <w:rFonts w:hint="cs"/>
          <w:rtl/>
        </w:rPr>
        <w:tab/>
        <w:t xml:space="preserve">אשר </w:t>
      </w:r>
      <w:r>
        <w:rPr>
          <w:rtl/>
        </w:rPr>
        <w:t>על כן, הנני משית על הנאשם את העונשים הבאים:</w:t>
      </w:r>
    </w:p>
    <w:p w14:paraId="12B9C0BB" w14:textId="77777777" w:rsidR="00DC43CE" w:rsidRDefault="00DC43CE">
      <w:pPr>
        <w:spacing w:line="360" w:lineRule="auto"/>
        <w:jc w:val="both"/>
        <w:rPr>
          <w:rtl/>
        </w:rPr>
      </w:pPr>
    </w:p>
    <w:p w14:paraId="7B23888B" w14:textId="77777777" w:rsidR="00DC43CE" w:rsidRDefault="004E02DF">
      <w:pPr>
        <w:spacing w:line="360" w:lineRule="auto"/>
        <w:ind w:left="1440" w:hanging="720"/>
        <w:jc w:val="both"/>
        <w:rPr>
          <w:rtl/>
        </w:rPr>
      </w:pPr>
      <w:r>
        <w:rPr>
          <w:rFonts w:hint="cs"/>
          <w:rtl/>
        </w:rPr>
        <w:t>א.</w:t>
      </w:r>
      <w:r>
        <w:rPr>
          <w:rFonts w:hint="cs"/>
          <w:rtl/>
        </w:rPr>
        <w:tab/>
      </w:r>
      <w:r>
        <w:rPr>
          <w:rtl/>
        </w:rPr>
        <w:t>6 חודשי מאסר בפועל שירוצו בדרך של עבודות שירות.  הנאשם יתייצב ביום 2</w:t>
      </w:r>
      <w:r>
        <w:rPr>
          <w:rFonts w:hint="cs"/>
          <w:rtl/>
        </w:rPr>
        <w:t>5</w:t>
      </w:r>
      <w:r>
        <w:rPr>
          <w:rtl/>
        </w:rPr>
        <w:t xml:space="preserve">.5.14 בשעה 08:00 במפקדת מחוז מרכז בשב"ס, יחידת עבודות השירות ברמלה, בפני הממונה על עבודות השירות לצורך תחילת ריצוי עבודות השירות. עבודות השירות יבוצעו במרכז יום לקשיש בלוד, שברחוב שפירא 35 שכונת נווה נוף בלוד, חמישה ימים בשבוע, 8 וחצי שעות עבודה יומיות. בכל מקרה, הנאשם מוזהר בדבר חובתו להישמע להוראותיו של הממונה על עבודות השירות וכי יתכנו שינויים במקום העבודה ושעות העבודה, הכל על פי שיקול דעתו של הממונה על עבודות השירות. </w:t>
      </w:r>
    </w:p>
    <w:p w14:paraId="1D3A28B2" w14:textId="77777777" w:rsidR="00DC43CE" w:rsidRDefault="00DC43CE">
      <w:pPr>
        <w:spacing w:line="360" w:lineRule="auto"/>
        <w:ind w:left="1440" w:hanging="720"/>
        <w:jc w:val="both"/>
        <w:rPr>
          <w:rtl/>
        </w:rPr>
      </w:pPr>
    </w:p>
    <w:p w14:paraId="5B37F33A" w14:textId="77777777" w:rsidR="00DC43CE" w:rsidRDefault="004E02DF">
      <w:pPr>
        <w:spacing w:line="360" w:lineRule="auto"/>
        <w:ind w:left="1440" w:hanging="720"/>
        <w:jc w:val="both"/>
        <w:rPr>
          <w:rtl/>
        </w:rPr>
      </w:pPr>
      <w:r>
        <w:rPr>
          <w:rFonts w:hint="cs"/>
          <w:rtl/>
        </w:rPr>
        <w:t>ב.</w:t>
      </w:r>
      <w:r>
        <w:rPr>
          <w:rFonts w:hint="cs"/>
          <w:rtl/>
        </w:rPr>
        <w:tab/>
      </w:r>
      <w:r>
        <w:rPr>
          <w:rtl/>
        </w:rPr>
        <w:t xml:space="preserve">10 חודשי מאסר על תנאי והתנאי הוא שבמשך 3 שנים מהיום, הנאשם לא יבצע עבירת נשק מסוג פשע. </w:t>
      </w:r>
    </w:p>
    <w:p w14:paraId="0C7AEB9D" w14:textId="77777777" w:rsidR="00DC43CE" w:rsidRDefault="00DC43CE">
      <w:pPr>
        <w:spacing w:line="360" w:lineRule="auto"/>
        <w:ind w:left="1440" w:hanging="720"/>
        <w:jc w:val="both"/>
      </w:pPr>
    </w:p>
    <w:p w14:paraId="62AD9CF5" w14:textId="77777777" w:rsidR="00DC43CE" w:rsidRDefault="004E02DF">
      <w:pPr>
        <w:spacing w:line="360" w:lineRule="auto"/>
        <w:ind w:left="1440" w:hanging="720"/>
        <w:jc w:val="both"/>
        <w:rPr>
          <w:rtl/>
        </w:rPr>
      </w:pPr>
      <w:r>
        <w:rPr>
          <w:rFonts w:hint="cs"/>
          <w:rtl/>
        </w:rPr>
        <w:t>ג.</w:t>
      </w:r>
      <w:r>
        <w:rPr>
          <w:rFonts w:hint="cs"/>
          <w:rtl/>
        </w:rPr>
        <w:tab/>
      </w:r>
      <w:r>
        <w:rPr>
          <w:rtl/>
        </w:rPr>
        <w:t>5 חודשי מאסר על תנאי והתנאי הוא שבמשך 3 שנים מהיום, הנאשם לא יבצע עבירת נשק מסוג עוון.</w:t>
      </w:r>
    </w:p>
    <w:p w14:paraId="396B4250" w14:textId="77777777" w:rsidR="00DC43CE" w:rsidRDefault="00DC43CE">
      <w:pPr>
        <w:spacing w:line="360" w:lineRule="auto"/>
        <w:jc w:val="both"/>
        <w:rPr>
          <w:rtl/>
        </w:rPr>
      </w:pPr>
    </w:p>
    <w:p w14:paraId="62DBD2B3" w14:textId="77777777" w:rsidR="00DC43CE" w:rsidRDefault="004E02DF">
      <w:pPr>
        <w:spacing w:line="360" w:lineRule="auto"/>
        <w:jc w:val="both"/>
        <w:rPr>
          <w:rtl/>
        </w:rPr>
      </w:pPr>
      <w:r>
        <w:rPr>
          <w:rFonts w:hint="cs"/>
          <w:rtl/>
        </w:rPr>
        <w:t xml:space="preserve">ההפקדה הכספית בתיק </w:t>
      </w:r>
      <w:hyperlink r:id="rId41" w:history="1">
        <w:r w:rsidRPr="004E02DF">
          <w:rPr>
            <w:color w:val="0000FF"/>
            <w:u w:val="single"/>
            <w:rtl/>
          </w:rPr>
          <w:t>מ"ת 1533-03-12</w:t>
        </w:r>
      </w:hyperlink>
      <w:r>
        <w:rPr>
          <w:rFonts w:hint="cs"/>
          <w:rtl/>
        </w:rPr>
        <w:t xml:space="preserve"> תועבר על ידי המזכירות לפקודת הסניגור. </w:t>
      </w:r>
    </w:p>
    <w:p w14:paraId="262EFC7D" w14:textId="77777777" w:rsidR="00DC43CE" w:rsidRPr="004E02DF" w:rsidRDefault="004E02DF">
      <w:pPr>
        <w:spacing w:line="360" w:lineRule="auto"/>
        <w:jc w:val="both"/>
        <w:rPr>
          <w:color w:val="FFFFFF"/>
          <w:sz w:val="2"/>
          <w:szCs w:val="2"/>
          <w:rtl/>
        </w:rPr>
      </w:pPr>
      <w:r w:rsidRPr="004E02DF">
        <w:rPr>
          <w:color w:val="FFFFFF"/>
          <w:sz w:val="2"/>
          <w:szCs w:val="2"/>
          <w:rtl/>
        </w:rPr>
        <w:t>5129371</w:t>
      </w:r>
    </w:p>
    <w:p w14:paraId="73990A9E" w14:textId="77777777" w:rsidR="00DC43CE" w:rsidRDefault="004E02DF">
      <w:pPr>
        <w:spacing w:line="360" w:lineRule="auto"/>
        <w:jc w:val="both"/>
        <w:rPr>
          <w:rtl/>
        </w:rPr>
      </w:pPr>
      <w:r w:rsidRPr="004E02DF">
        <w:rPr>
          <w:color w:val="FFFFFF"/>
          <w:sz w:val="2"/>
          <w:szCs w:val="2"/>
          <w:rtl/>
        </w:rPr>
        <w:t>54678313</w:t>
      </w:r>
      <w:r>
        <w:rPr>
          <w:rtl/>
        </w:rPr>
        <w:t xml:space="preserve">זכות ערעור תוך 45 יום. </w:t>
      </w:r>
    </w:p>
    <w:p w14:paraId="51394CFA" w14:textId="77777777" w:rsidR="00DC43CE" w:rsidRDefault="00DC43CE">
      <w:pPr>
        <w:rPr>
          <w:rtl/>
        </w:rPr>
      </w:pPr>
      <w:bookmarkStart w:id="7" w:name="_GoBack"/>
      <w:bookmarkEnd w:id="7"/>
    </w:p>
    <w:p w14:paraId="1E4AFD25" w14:textId="77777777" w:rsidR="00DC43CE" w:rsidRDefault="004E02DF">
      <w:pPr>
        <w:jc w:val="center"/>
      </w:pPr>
      <w:r>
        <w:rPr>
          <w:rFonts w:ascii="Arial" w:hAnsi="Arial"/>
          <w:rtl/>
        </w:rPr>
        <w:t xml:space="preserve">ניתן היום,  ח' ניסן תשע"ד, 08 אפריל 2014,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DDE449D" w14:textId="77777777" w:rsidR="00DC43CE" w:rsidRDefault="00DC43CE">
      <w:pPr>
        <w:jc w:val="center"/>
        <w:rPr>
          <w:rFonts w:ascii="Arial" w:hAnsi="Arial" w:cs="FrankRuehl"/>
          <w:sz w:val="28"/>
          <w:szCs w:val="28"/>
          <w:rtl/>
        </w:rPr>
      </w:pPr>
    </w:p>
    <w:p w14:paraId="12FB2284" w14:textId="77777777" w:rsidR="00DC43CE" w:rsidRPr="00860A29" w:rsidRDefault="00860A29">
      <w:pPr>
        <w:rPr>
          <w:rFonts w:cs="FrankRuehl"/>
          <w:color w:val="FFFFFF"/>
          <w:sz w:val="2"/>
          <w:szCs w:val="2"/>
          <w:rtl/>
        </w:rPr>
      </w:pPr>
      <w:r w:rsidRPr="00860A29">
        <w:rPr>
          <w:rFonts w:cs="FrankRuehl"/>
          <w:color w:val="FFFFFF"/>
          <w:sz w:val="2"/>
          <w:szCs w:val="2"/>
          <w:rtl/>
        </w:rPr>
        <w:t>5129371</w:t>
      </w:r>
    </w:p>
    <w:p w14:paraId="4767CF82" w14:textId="77777777" w:rsidR="004E02DF" w:rsidRPr="00860A29" w:rsidRDefault="00860A29" w:rsidP="004E02DF">
      <w:pPr>
        <w:keepNext/>
        <w:rPr>
          <w:rFonts w:ascii="David" w:hAnsi="David"/>
          <w:color w:val="FFFFFF"/>
          <w:sz w:val="2"/>
          <w:szCs w:val="2"/>
          <w:rtl/>
        </w:rPr>
      </w:pPr>
      <w:r w:rsidRPr="00860A29">
        <w:rPr>
          <w:rFonts w:ascii="David" w:hAnsi="David"/>
          <w:color w:val="FFFFFF"/>
          <w:sz w:val="2"/>
          <w:szCs w:val="2"/>
          <w:rtl/>
        </w:rPr>
        <w:t>54678313</w:t>
      </w:r>
    </w:p>
    <w:p w14:paraId="749098D9" w14:textId="77777777" w:rsidR="004E02DF" w:rsidRPr="004E02DF" w:rsidRDefault="004E02DF" w:rsidP="004E02DF">
      <w:pPr>
        <w:keepNext/>
        <w:rPr>
          <w:rFonts w:ascii="David" w:hAnsi="David"/>
          <w:color w:val="000000"/>
          <w:sz w:val="22"/>
          <w:szCs w:val="22"/>
          <w:rtl/>
        </w:rPr>
      </w:pPr>
      <w:r w:rsidRPr="004E02DF">
        <w:rPr>
          <w:rFonts w:ascii="David" w:hAnsi="David"/>
          <w:color w:val="000000"/>
          <w:sz w:val="22"/>
          <w:szCs w:val="22"/>
          <w:rtl/>
        </w:rPr>
        <w:t>הישאם אבו שחאדה 54678313</w:t>
      </w:r>
    </w:p>
    <w:p w14:paraId="6A44A8E0" w14:textId="77777777" w:rsidR="004E02DF" w:rsidRDefault="004E02DF" w:rsidP="004E02DF">
      <w:r w:rsidRPr="004E02DF">
        <w:rPr>
          <w:color w:val="000000"/>
          <w:rtl/>
        </w:rPr>
        <w:t>נוסח מסמך זה כפוף לשינויי ניסוח ועריכה</w:t>
      </w:r>
    </w:p>
    <w:p w14:paraId="670F96E1" w14:textId="77777777" w:rsidR="004E02DF" w:rsidRDefault="004E02DF" w:rsidP="004E02DF">
      <w:pPr>
        <w:rPr>
          <w:rtl/>
        </w:rPr>
      </w:pPr>
    </w:p>
    <w:p w14:paraId="5C1C1918" w14:textId="77777777" w:rsidR="004E02DF" w:rsidRDefault="004E02DF" w:rsidP="004E02D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sectPr w:rsidR="004E02DF" w:rsidSect="00860A29">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DE10F" w14:textId="77777777" w:rsidR="004B5253" w:rsidRPr="00057515" w:rsidRDefault="004B5253">
      <w:pPr>
        <w:rPr>
          <w:rFonts w:cs="Arial"/>
          <w:szCs w:val="20"/>
        </w:rPr>
      </w:pPr>
      <w:r>
        <w:separator/>
      </w:r>
    </w:p>
  </w:endnote>
  <w:endnote w:type="continuationSeparator" w:id="0">
    <w:p w14:paraId="7BF8113B" w14:textId="77777777" w:rsidR="004B5253" w:rsidRPr="00057515" w:rsidRDefault="004B525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B962B" w14:textId="77777777" w:rsidR="00860A29" w:rsidRDefault="00860A29" w:rsidP="00860A2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ACADBC" w14:textId="77777777" w:rsidR="00DC43CE" w:rsidRPr="00860A29" w:rsidRDefault="00860A29" w:rsidP="00860A29">
    <w:pPr>
      <w:pStyle w:val="a4"/>
      <w:pBdr>
        <w:top w:val="single" w:sz="4" w:space="1" w:color="auto"/>
        <w:between w:val="single" w:sz="4" w:space="0" w:color="auto"/>
      </w:pBdr>
      <w:spacing w:after="60"/>
      <w:jc w:val="center"/>
      <w:rPr>
        <w:rFonts w:ascii="FrankRuehl" w:hAnsi="FrankRuehl" w:cs="FrankRuehl"/>
        <w:color w:val="000000"/>
      </w:rPr>
    </w:pPr>
    <w:r w:rsidRPr="00860A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FCCFA" w14:textId="77777777" w:rsidR="00860A29" w:rsidRDefault="00860A29" w:rsidP="00860A2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6E99">
      <w:rPr>
        <w:rFonts w:ascii="FrankRuehl" w:hAnsi="FrankRuehl" w:cs="FrankRuehl"/>
        <w:noProof/>
        <w:rtl/>
      </w:rPr>
      <w:t>1</w:t>
    </w:r>
    <w:r>
      <w:rPr>
        <w:rFonts w:ascii="FrankRuehl" w:hAnsi="FrankRuehl" w:cs="FrankRuehl"/>
        <w:rtl/>
      </w:rPr>
      <w:fldChar w:fldCharType="end"/>
    </w:r>
  </w:p>
  <w:p w14:paraId="2EE76FE2" w14:textId="77777777" w:rsidR="00DC43CE" w:rsidRPr="00860A29" w:rsidRDefault="00860A29" w:rsidP="00860A29">
    <w:pPr>
      <w:pStyle w:val="a4"/>
      <w:pBdr>
        <w:top w:val="single" w:sz="4" w:space="1" w:color="auto"/>
        <w:between w:val="single" w:sz="4" w:space="0" w:color="auto"/>
      </w:pBdr>
      <w:spacing w:after="60"/>
      <w:jc w:val="center"/>
      <w:rPr>
        <w:rFonts w:ascii="FrankRuehl" w:hAnsi="FrankRuehl" w:cs="FrankRuehl"/>
        <w:color w:val="000000"/>
      </w:rPr>
    </w:pPr>
    <w:r w:rsidRPr="00860A29">
      <w:rPr>
        <w:rFonts w:ascii="FrankRuehl" w:hAnsi="FrankRuehl" w:cs="FrankRuehl"/>
        <w:color w:val="000000"/>
      </w:rPr>
      <w:pict w14:anchorId="16B2D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79432" w14:textId="77777777" w:rsidR="004B5253" w:rsidRPr="00057515" w:rsidRDefault="004B5253">
      <w:pPr>
        <w:rPr>
          <w:rFonts w:cs="Arial"/>
          <w:szCs w:val="20"/>
        </w:rPr>
      </w:pPr>
      <w:r>
        <w:separator/>
      </w:r>
    </w:p>
  </w:footnote>
  <w:footnote w:type="continuationSeparator" w:id="0">
    <w:p w14:paraId="03CC6A64" w14:textId="77777777" w:rsidR="004B5253" w:rsidRPr="00057515" w:rsidRDefault="004B525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4D835" w14:textId="77777777" w:rsidR="004E02DF" w:rsidRPr="00860A29" w:rsidRDefault="00860A29" w:rsidP="00860A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1509-03-12</w:t>
    </w:r>
    <w:r>
      <w:rPr>
        <w:rFonts w:ascii="David" w:hAnsi="David"/>
        <w:color w:val="000000"/>
        <w:sz w:val="22"/>
        <w:szCs w:val="22"/>
        <w:rtl/>
      </w:rPr>
      <w:tab/>
      <w:t xml:space="preserve"> מדינת ישראל  נ' מחמד אבו גריבה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6BA26" w14:textId="77777777" w:rsidR="004E02DF" w:rsidRPr="00860A29" w:rsidRDefault="00860A29" w:rsidP="00860A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1509-03-12</w:t>
    </w:r>
    <w:r>
      <w:rPr>
        <w:rFonts w:ascii="David" w:hAnsi="David"/>
        <w:color w:val="000000"/>
        <w:sz w:val="22"/>
        <w:szCs w:val="22"/>
        <w:rtl/>
      </w:rPr>
      <w:tab/>
      <w:t xml:space="preserve"> מדינת ישראל  נ' מחמד אבו גריבה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60CD1"/>
    <w:multiLevelType w:val="hybridMultilevel"/>
    <w:tmpl w:val="711A881A"/>
    <w:lvl w:ilvl="0" w:tplc="6E506322">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1" w15:restartNumberingAfterBreak="0">
    <w:nsid w:val="432E6CE1"/>
    <w:multiLevelType w:val="hybridMultilevel"/>
    <w:tmpl w:val="A1326808"/>
    <w:lvl w:ilvl="0" w:tplc="A886C888">
      <w:start w:val="1"/>
      <w:numFmt w:val="hebrew1"/>
      <w:lvlText w:val="%1."/>
      <w:lvlJc w:val="left"/>
      <w:pPr>
        <w:tabs>
          <w:tab w:val="num" w:pos="3600"/>
        </w:tabs>
        <w:ind w:left="3600" w:hanging="360"/>
      </w:pPr>
      <w:rPr>
        <w:rFonts w:cs="Times New Roman" w:hint="default"/>
      </w:rPr>
    </w:lvl>
    <w:lvl w:ilvl="1" w:tplc="040D0019">
      <w:start w:val="1"/>
      <w:numFmt w:val="lowerLetter"/>
      <w:lvlText w:val="%2."/>
      <w:lvlJc w:val="left"/>
      <w:pPr>
        <w:tabs>
          <w:tab w:val="num" w:pos="4320"/>
        </w:tabs>
        <w:ind w:left="4320" w:hanging="360"/>
      </w:pPr>
      <w:rPr>
        <w:rFonts w:cs="Times New Roman"/>
      </w:rPr>
    </w:lvl>
    <w:lvl w:ilvl="2" w:tplc="040D001B">
      <w:start w:val="1"/>
      <w:numFmt w:val="lowerRoman"/>
      <w:lvlText w:val="%3."/>
      <w:lvlJc w:val="right"/>
      <w:pPr>
        <w:tabs>
          <w:tab w:val="num" w:pos="5040"/>
        </w:tabs>
        <w:ind w:left="5040" w:hanging="180"/>
      </w:pPr>
      <w:rPr>
        <w:rFonts w:cs="Times New Roman"/>
      </w:rPr>
    </w:lvl>
    <w:lvl w:ilvl="3" w:tplc="040D000F">
      <w:start w:val="1"/>
      <w:numFmt w:val="decimal"/>
      <w:lvlText w:val="%4."/>
      <w:lvlJc w:val="left"/>
      <w:pPr>
        <w:tabs>
          <w:tab w:val="num" w:pos="5760"/>
        </w:tabs>
        <w:ind w:left="5760" w:hanging="360"/>
      </w:pPr>
      <w:rPr>
        <w:rFonts w:cs="Times New Roman"/>
      </w:rPr>
    </w:lvl>
    <w:lvl w:ilvl="4" w:tplc="040D0019">
      <w:start w:val="1"/>
      <w:numFmt w:val="lowerLetter"/>
      <w:lvlText w:val="%5."/>
      <w:lvlJc w:val="left"/>
      <w:pPr>
        <w:tabs>
          <w:tab w:val="num" w:pos="6480"/>
        </w:tabs>
        <w:ind w:left="6480" w:hanging="360"/>
      </w:pPr>
      <w:rPr>
        <w:rFonts w:cs="Times New Roman"/>
      </w:rPr>
    </w:lvl>
    <w:lvl w:ilvl="5" w:tplc="040D001B">
      <w:start w:val="1"/>
      <w:numFmt w:val="lowerRoman"/>
      <w:lvlText w:val="%6."/>
      <w:lvlJc w:val="right"/>
      <w:pPr>
        <w:tabs>
          <w:tab w:val="num" w:pos="7200"/>
        </w:tabs>
        <w:ind w:left="7200" w:hanging="180"/>
      </w:pPr>
      <w:rPr>
        <w:rFonts w:cs="Times New Roman"/>
      </w:rPr>
    </w:lvl>
    <w:lvl w:ilvl="6" w:tplc="040D000F">
      <w:start w:val="1"/>
      <w:numFmt w:val="decimal"/>
      <w:lvlText w:val="%7."/>
      <w:lvlJc w:val="left"/>
      <w:pPr>
        <w:tabs>
          <w:tab w:val="num" w:pos="7920"/>
        </w:tabs>
        <w:ind w:left="7920" w:hanging="360"/>
      </w:pPr>
      <w:rPr>
        <w:rFonts w:cs="Times New Roman"/>
      </w:rPr>
    </w:lvl>
    <w:lvl w:ilvl="7" w:tplc="040D0019">
      <w:start w:val="1"/>
      <w:numFmt w:val="lowerLetter"/>
      <w:lvlText w:val="%8."/>
      <w:lvlJc w:val="left"/>
      <w:pPr>
        <w:tabs>
          <w:tab w:val="num" w:pos="8640"/>
        </w:tabs>
        <w:ind w:left="8640" w:hanging="360"/>
      </w:pPr>
      <w:rPr>
        <w:rFonts w:cs="Times New Roman"/>
      </w:rPr>
    </w:lvl>
    <w:lvl w:ilvl="8" w:tplc="040D001B">
      <w:start w:val="1"/>
      <w:numFmt w:val="lowerRoman"/>
      <w:lvlText w:val="%9."/>
      <w:lvlJc w:val="right"/>
      <w:pPr>
        <w:tabs>
          <w:tab w:val="num" w:pos="9360"/>
        </w:tabs>
        <w:ind w:left="9360" w:hanging="180"/>
      </w:pPr>
      <w:rPr>
        <w:rFonts w:cs="Times New Roman"/>
      </w:rPr>
    </w:lvl>
  </w:abstractNum>
  <w:num w:numId="1" w16cid:durableId="1405689844">
    <w:abstractNumId w:val="1"/>
  </w:num>
  <w:num w:numId="2" w16cid:durableId="210838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43CE"/>
    <w:rsid w:val="003B2BC4"/>
    <w:rsid w:val="004B5253"/>
    <w:rsid w:val="004E02DF"/>
    <w:rsid w:val="006D26DC"/>
    <w:rsid w:val="00860A29"/>
    <w:rsid w:val="00886E99"/>
    <w:rsid w:val="00DC43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A72E671"/>
  <w15:chartTrackingRefBased/>
  <w15:docId w15:val="{D575A918-6915-488F-B394-FEA84E0A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43C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C43CE"/>
    <w:pPr>
      <w:tabs>
        <w:tab w:val="center" w:pos="4153"/>
        <w:tab w:val="right" w:pos="8306"/>
      </w:tabs>
    </w:pPr>
  </w:style>
  <w:style w:type="paragraph" w:styleId="a4">
    <w:name w:val="footer"/>
    <w:basedOn w:val="a"/>
    <w:rsid w:val="00DC43CE"/>
    <w:pPr>
      <w:tabs>
        <w:tab w:val="center" w:pos="4153"/>
        <w:tab w:val="right" w:pos="8306"/>
      </w:tabs>
    </w:pPr>
  </w:style>
  <w:style w:type="character" w:styleId="a5">
    <w:name w:val="page number"/>
    <w:basedOn w:val="a0"/>
    <w:rsid w:val="00DC43CE"/>
  </w:style>
  <w:style w:type="paragraph" w:styleId="a6">
    <w:name w:val="Body Text"/>
    <w:basedOn w:val="a"/>
    <w:link w:val="a7"/>
    <w:rsid w:val="00DC43CE"/>
    <w:pPr>
      <w:spacing w:line="360" w:lineRule="auto"/>
      <w:jc w:val="both"/>
    </w:pPr>
    <w:rPr>
      <w:rFonts w:cs="Times New Roman"/>
      <w:lang w:eastAsia="he-IL"/>
    </w:rPr>
  </w:style>
  <w:style w:type="character" w:customStyle="1" w:styleId="a7">
    <w:name w:val="גוף טקסט תו"/>
    <w:basedOn w:val="a0"/>
    <w:link w:val="a6"/>
    <w:rsid w:val="00DC43CE"/>
    <w:rPr>
      <w:sz w:val="24"/>
      <w:szCs w:val="24"/>
      <w:lang w:val="en-US" w:eastAsia="he-IL" w:bidi="he-IL"/>
    </w:rPr>
  </w:style>
  <w:style w:type="character" w:styleId="Hyperlink">
    <w:name w:val="Hyperlink"/>
    <w:basedOn w:val="a0"/>
    <w:rsid w:val="004E0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case/2838322"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4992866"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605875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inks/psika/?link=&#1506;&#1508;%201958/98" TargetMode="External"/><Relationship Id="rId40" Type="http://schemas.openxmlformats.org/officeDocument/2006/relationships/hyperlink" Target="http://www.nevo.co.il/case/5395774"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144.b3" TargetMode="External"/><Relationship Id="rId36" Type="http://schemas.openxmlformats.org/officeDocument/2006/relationships/hyperlink" Target="http://www.nevo.co.il/case/5580781"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law/70301/144.a"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inks/psika/?link=&#1489;&#1513;%20625/82&amp;Pvol=&#1500;&#1494;"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557421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412" TargetMode="External"/><Relationship Id="rId17" Type="http://schemas.openxmlformats.org/officeDocument/2006/relationships/hyperlink" Target="http://www.nevo.co.il/law/70301/412"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5601503" TargetMode="External"/><Relationship Id="rId38" Type="http://schemas.openxmlformats.org/officeDocument/2006/relationships/hyperlink" Target="http://www.nevo.co.il/case/5569233"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47448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2095</Words>
  <Characters>10476</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12546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3932273</vt:i4>
      </vt:variant>
      <vt:variant>
        <vt:i4>102</vt:i4>
      </vt:variant>
      <vt:variant>
        <vt:i4>0</vt:i4>
      </vt:variant>
      <vt:variant>
        <vt:i4>5</vt:i4>
      </vt:variant>
      <vt:variant>
        <vt:lpwstr>http://www.nevo.co.il/case/4744864</vt:lpwstr>
      </vt:variant>
      <vt:variant>
        <vt:lpwstr/>
      </vt:variant>
      <vt:variant>
        <vt:i4>4128885</vt:i4>
      </vt:variant>
      <vt:variant>
        <vt:i4>99</vt:i4>
      </vt:variant>
      <vt:variant>
        <vt:i4>0</vt:i4>
      </vt:variant>
      <vt:variant>
        <vt:i4>5</vt:i4>
      </vt:variant>
      <vt:variant>
        <vt:lpwstr>http://www.nevo.co.il/case/5395774</vt:lpwstr>
      </vt:variant>
      <vt:variant>
        <vt:lpwstr/>
      </vt:variant>
      <vt:variant>
        <vt:i4>3342457</vt:i4>
      </vt:variant>
      <vt:variant>
        <vt:i4>96</vt:i4>
      </vt:variant>
      <vt:variant>
        <vt:i4>0</vt:i4>
      </vt:variant>
      <vt:variant>
        <vt:i4>5</vt:i4>
      </vt:variant>
      <vt:variant>
        <vt:lpwstr>http://www.nevo.co.il/case/4992866</vt:lpwstr>
      </vt:variant>
      <vt:variant>
        <vt:lpwstr/>
      </vt:variant>
      <vt:variant>
        <vt:i4>3276923</vt:i4>
      </vt:variant>
      <vt:variant>
        <vt:i4>93</vt:i4>
      </vt:variant>
      <vt:variant>
        <vt:i4>0</vt:i4>
      </vt:variant>
      <vt:variant>
        <vt:i4>5</vt:i4>
      </vt:variant>
      <vt:variant>
        <vt:lpwstr>http://www.nevo.co.il/case/5569233</vt:lpwstr>
      </vt:variant>
      <vt:variant>
        <vt:lpwstr/>
      </vt:variant>
      <vt:variant>
        <vt:i4>98960821</vt:i4>
      </vt:variant>
      <vt:variant>
        <vt:i4>90</vt:i4>
      </vt:variant>
      <vt:variant>
        <vt:i4>0</vt:i4>
      </vt:variant>
      <vt:variant>
        <vt:i4>5</vt:i4>
      </vt:variant>
      <vt:variant>
        <vt:lpwstr>http://www.nevo.co.il/links/psika/?link=עפ 1958/98</vt:lpwstr>
      </vt:variant>
      <vt:variant>
        <vt:lpwstr/>
      </vt:variant>
      <vt:variant>
        <vt:i4>3866745</vt:i4>
      </vt:variant>
      <vt:variant>
        <vt:i4>87</vt:i4>
      </vt:variant>
      <vt:variant>
        <vt:i4>0</vt:i4>
      </vt:variant>
      <vt:variant>
        <vt:i4>5</vt:i4>
      </vt:variant>
      <vt:variant>
        <vt:lpwstr>http://www.nevo.co.il/case/5580781</vt:lpwstr>
      </vt:variant>
      <vt:variant>
        <vt:lpwstr/>
      </vt:variant>
      <vt:variant>
        <vt:i4>3473524</vt:i4>
      </vt:variant>
      <vt:variant>
        <vt:i4>84</vt:i4>
      </vt:variant>
      <vt:variant>
        <vt:i4>0</vt:i4>
      </vt:variant>
      <vt:variant>
        <vt:i4>5</vt:i4>
      </vt:variant>
      <vt:variant>
        <vt:lpwstr>http://www.nevo.co.il/case/5574215</vt:lpwstr>
      </vt:variant>
      <vt:variant>
        <vt:lpwstr/>
      </vt:variant>
      <vt:variant>
        <vt:i4>3342457</vt:i4>
      </vt:variant>
      <vt:variant>
        <vt:i4>81</vt:i4>
      </vt:variant>
      <vt:variant>
        <vt:i4>0</vt:i4>
      </vt:variant>
      <vt:variant>
        <vt:i4>5</vt:i4>
      </vt:variant>
      <vt:variant>
        <vt:lpwstr>http://www.nevo.co.il/case/6058757</vt:lpwstr>
      </vt:variant>
      <vt:variant>
        <vt:lpwstr/>
      </vt:variant>
      <vt:variant>
        <vt:i4>3342451</vt:i4>
      </vt:variant>
      <vt:variant>
        <vt:i4>78</vt:i4>
      </vt:variant>
      <vt:variant>
        <vt:i4>0</vt:i4>
      </vt:variant>
      <vt:variant>
        <vt:i4>5</vt:i4>
      </vt:variant>
      <vt:variant>
        <vt:lpwstr>http://www.nevo.co.il/case/5601503</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8126514</vt:i4>
      </vt:variant>
      <vt:variant>
        <vt:i4>63</vt:i4>
      </vt:variant>
      <vt:variant>
        <vt:i4>0</vt:i4>
      </vt:variant>
      <vt:variant>
        <vt:i4>5</vt:i4>
      </vt:variant>
      <vt:variant>
        <vt:lpwstr>http://www.nevo.co.il/law/70301/144.b3</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2295219</vt:i4>
      </vt:variant>
      <vt:variant>
        <vt:i4>45</vt:i4>
      </vt:variant>
      <vt:variant>
        <vt:i4>0</vt:i4>
      </vt:variant>
      <vt:variant>
        <vt:i4>5</vt:i4>
      </vt:variant>
      <vt:variant>
        <vt:lpwstr>http://www.nevo.co.il/links/psika/?link=בש 625/82&amp;Pvol=לז</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3145846</vt:i4>
      </vt:variant>
      <vt:variant>
        <vt:i4>33</vt:i4>
      </vt:variant>
      <vt:variant>
        <vt:i4>0</vt:i4>
      </vt:variant>
      <vt:variant>
        <vt:i4>5</vt:i4>
      </vt:variant>
      <vt:variant>
        <vt:lpwstr>http://www.nevo.co.il/case/2838322</vt:lpwstr>
      </vt:variant>
      <vt:variant>
        <vt:lpwstr/>
      </vt:variant>
      <vt:variant>
        <vt:i4>6553697</vt:i4>
      </vt:variant>
      <vt:variant>
        <vt:i4>30</vt:i4>
      </vt:variant>
      <vt:variant>
        <vt:i4>0</vt:i4>
      </vt:variant>
      <vt:variant>
        <vt:i4>5</vt:i4>
      </vt:variant>
      <vt:variant>
        <vt:lpwstr>http://www.nevo.co.il/law/70301/412</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6553697</vt:i4>
      </vt:variant>
      <vt:variant>
        <vt:i4>15</vt:i4>
      </vt:variant>
      <vt:variant>
        <vt:i4>0</vt:i4>
      </vt:variant>
      <vt:variant>
        <vt:i4>5</vt:i4>
      </vt:variant>
      <vt:variant>
        <vt:lpwstr>http://www.nevo.co.il/law/70301/412</vt:lpwstr>
      </vt:variant>
      <vt:variant>
        <vt:lpwstr/>
      </vt:variant>
      <vt:variant>
        <vt:i4>8126514</vt:i4>
      </vt:variant>
      <vt:variant>
        <vt:i4>12</vt:i4>
      </vt:variant>
      <vt:variant>
        <vt:i4>0</vt:i4>
      </vt:variant>
      <vt:variant>
        <vt:i4>5</vt:i4>
      </vt:variant>
      <vt:variant>
        <vt:lpwstr>http://www.nevo.co.il/law/70301/144.b3</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2025-01-19T17:31:00Z</dcterms:created>
  <dcterms:modified xsi:type="dcterms:W3CDTF">2025-01-19T17:31:00Z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1509</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 </vt:lpwstr>
  </property>
  <property fmtid="{D5CDD505-2E9C-101B-9397-08002B2CF9AE}" pid="9" name="APPELLEE">
    <vt:lpwstr>מחמד אבו גריבה</vt:lpwstr>
  </property>
  <property fmtid="{D5CDD505-2E9C-101B-9397-08002B2CF9AE}" pid="10" name="LAWYER">
    <vt:lpwstr>הילה כהן;שוקרי אבו טביק</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20140408</vt:lpwstr>
  </property>
  <property fmtid="{D5CDD505-2E9C-101B-9397-08002B2CF9AE}" pid="14" name="TYPE_N_DATE">
    <vt:lpwstr>38020140408</vt:lpwstr>
  </property>
  <property fmtid="{D5CDD505-2E9C-101B-9397-08002B2CF9AE}" pid="15" name="CASESLISTTMP1">
    <vt:lpwstr>4744864:2;2838322;7791493;5601503;6058757;5574215;5580781;5569233;4992866;5395774</vt:lpwstr>
  </property>
  <property fmtid="{D5CDD505-2E9C-101B-9397-08002B2CF9AE}" pid="16" name="CASENOTES1">
    <vt:lpwstr>ProcID=25;179&amp;PartA=625&amp;PartC=82</vt:lpwstr>
  </property>
  <property fmtid="{D5CDD505-2E9C-101B-9397-08002B2CF9AE}" pid="17" name="CASENOTES2">
    <vt:lpwstr>ProcID=133;209&amp;PartA=1958&amp;PartC=98</vt:lpwstr>
  </property>
  <property fmtid="{D5CDD505-2E9C-101B-9397-08002B2CF9AE}" pid="18" name="WORDNUMPAGES">
    <vt:lpwstr>7</vt:lpwstr>
  </property>
  <property fmtid="{D5CDD505-2E9C-101B-9397-08002B2CF9AE}" pid="19" name="TYPE_ABS_DATE">
    <vt:lpwstr>380020140408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70301/144.a:5;412:2;499.a.1:2;144.b:3;144.b2:2;144.b3:2</vt:lpwstr>
  </property>
</Properties>
</file>