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3"/>
        <w:gridCol w:w="3668"/>
      </w:tblGrid>
      <w:tr w:rsidR="00B71E32" w:rsidRPr="00074E19" w14:paraId="7FCB7692" w14:textId="77777777">
        <w:trPr>
          <w:trHeight w:hRule="exact" w:val="418"/>
          <w:jc w:val="center"/>
        </w:trPr>
        <w:tc>
          <w:tcPr>
            <w:tcW w:w="8721" w:type="dxa"/>
            <w:gridSpan w:val="2"/>
          </w:tcPr>
          <w:p w14:paraId="6233FF06" w14:textId="77777777" w:rsidR="00B71E32" w:rsidRPr="00074E19" w:rsidRDefault="00074E19">
            <w:pPr>
              <w:pStyle w:val="a3"/>
              <w:jc w:val="center"/>
              <w:rPr>
                <w:rFonts w:ascii="Tahoma" w:hAnsi="Tahoma" w:cs="Tahoma"/>
                <w:color w:val="000080"/>
                <w:rtl/>
              </w:rPr>
            </w:pPr>
            <w:bookmarkStart w:id="0" w:name="LastJudge"/>
            <w:r w:rsidRPr="00074E19">
              <w:rPr>
                <w:rFonts w:ascii="Tahoma" w:hAnsi="Tahoma" w:cs="Tahoma"/>
                <w:b/>
                <w:bCs/>
                <w:color w:val="000080"/>
                <w:rtl/>
              </w:rPr>
              <w:t>בית משפט השלום בירושלים</w:t>
            </w:r>
          </w:p>
        </w:tc>
      </w:tr>
      <w:tr w:rsidR="00B71E32" w:rsidRPr="00074E19" w14:paraId="7071B77D" w14:textId="77777777">
        <w:trPr>
          <w:trHeight w:val="337"/>
          <w:jc w:val="center"/>
        </w:trPr>
        <w:tc>
          <w:tcPr>
            <w:tcW w:w="5053" w:type="dxa"/>
          </w:tcPr>
          <w:p w14:paraId="3B90C6BC" w14:textId="77777777" w:rsidR="00B71E32" w:rsidRPr="00074E19" w:rsidRDefault="00074E19">
            <w:pPr>
              <w:rPr>
                <w:rFonts w:cs="FrankRuehl"/>
                <w:sz w:val="28"/>
                <w:szCs w:val="28"/>
              </w:rPr>
            </w:pPr>
            <w:r w:rsidRPr="00074E19">
              <w:rPr>
                <w:rFonts w:cs="FrankRuehl"/>
                <w:sz w:val="28"/>
                <w:szCs w:val="28"/>
                <w:rtl/>
              </w:rPr>
              <w:t>ת"פ</w:t>
            </w:r>
            <w:r w:rsidRPr="00074E19">
              <w:rPr>
                <w:rFonts w:cs="FrankRuehl" w:hint="cs"/>
                <w:sz w:val="28"/>
                <w:szCs w:val="28"/>
                <w:rtl/>
              </w:rPr>
              <w:t xml:space="preserve"> </w:t>
            </w:r>
            <w:r w:rsidRPr="00074E19">
              <w:rPr>
                <w:rFonts w:cs="FrankRuehl"/>
                <w:sz w:val="28"/>
                <w:szCs w:val="28"/>
                <w:rtl/>
              </w:rPr>
              <w:t>28190-05-12</w:t>
            </w:r>
            <w:r w:rsidRPr="00074E19">
              <w:rPr>
                <w:rFonts w:cs="FrankRuehl" w:hint="cs"/>
                <w:sz w:val="28"/>
                <w:szCs w:val="28"/>
                <w:rtl/>
              </w:rPr>
              <w:t xml:space="preserve"> </w:t>
            </w:r>
            <w:r w:rsidRPr="00074E19">
              <w:rPr>
                <w:rFonts w:cs="FrankRuehl"/>
                <w:sz w:val="28"/>
                <w:szCs w:val="28"/>
                <w:rtl/>
              </w:rPr>
              <w:t>מדינת ישראל נ' יעקוב(עציר)</w:t>
            </w:r>
          </w:p>
        </w:tc>
        <w:tc>
          <w:tcPr>
            <w:tcW w:w="3668" w:type="dxa"/>
          </w:tcPr>
          <w:p w14:paraId="3C24F257" w14:textId="77777777" w:rsidR="00B71E32" w:rsidRPr="00074E19" w:rsidRDefault="00074E19">
            <w:pPr>
              <w:pStyle w:val="a3"/>
              <w:jc w:val="right"/>
              <w:rPr>
                <w:rFonts w:cs="FrankRuehl"/>
                <w:sz w:val="28"/>
                <w:szCs w:val="28"/>
                <w:rtl/>
              </w:rPr>
            </w:pPr>
            <w:r w:rsidRPr="00074E19">
              <w:rPr>
                <w:rFonts w:cs="FrankRuehl"/>
                <w:sz w:val="28"/>
                <w:szCs w:val="28"/>
                <w:rtl/>
              </w:rPr>
              <w:t>19 ינואר 2013</w:t>
            </w:r>
          </w:p>
        </w:tc>
      </w:tr>
    </w:tbl>
    <w:p w14:paraId="559925FA" w14:textId="77777777" w:rsidR="00B71E32" w:rsidRPr="00074E19" w:rsidRDefault="00B71E32">
      <w:pPr>
        <w:pStyle w:val="a3"/>
        <w:rPr>
          <w:rtl/>
        </w:rPr>
      </w:pPr>
    </w:p>
    <w:p w14:paraId="6F52D37D" w14:textId="77777777" w:rsidR="00B71E32" w:rsidRPr="00074E19" w:rsidRDefault="00074E19" w:rsidP="000F5040">
      <w:pPr>
        <w:pStyle w:val="a3"/>
        <w:rPr>
          <w:sz w:val="6"/>
          <w:szCs w:val="6"/>
          <w:rtl/>
        </w:rPr>
      </w:pPr>
      <w:r w:rsidRPr="00074E19">
        <w:rPr>
          <w:rFonts w:hint="cs"/>
          <w:rtl/>
        </w:rPr>
        <w:t xml:space="preserve"> </w:t>
      </w:r>
    </w:p>
    <w:tbl>
      <w:tblPr>
        <w:bidiVisual/>
        <w:tblW w:w="8802" w:type="dxa"/>
        <w:tblInd w:w="-28" w:type="dxa"/>
        <w:tblLook w:val="01E0" w:firstRow="1" w:lastRow="1" w:firstColumn="1" w:lastColumn="1" w:noHBand="0" w:noVBand="0"/>
      </w:tblPr>
      <w:tblGrid>
        <w:gridCol w:w="2880"/>
        <w:gridCol w:w="5839"/>
        <w:gridCol w:w="83"/>
      </w:tblGrid>
      <w:tr w:rsidR="00B71E32" w:rsidRPr="00074E19" w14:paraId="2655D18C" w14:textId="77777777">
        <w:trPr>
          <w:gridAfter w:val="1"/>
          <w:wAfter w:w="55" w:type="dxa"/>
        </w:trPr>
        <w:tc>
          <w:tcPr>
            <w:tcW w:w="8719" w:type="dxa"/>
            <w:gridSpan w:val="2"/>
          </w:tcPr>
          <w:p w14:paraId="57886349" w14:textId="77777777" w:rsidR="00B71E32" w:rsidRPr="00074E19" w:rsidRDefault="00074E19">
            <w:pPr>
              <w:spacing w:line="360" w:lineRule="auto"/>
              <w:jc w:val="both"/>
              <w:rPr>
                <w:rFonts w:ascii="Arial" w:hAnsi="Arial"/>
              </w:rPr>
            </w:pPr>
            <w:r w:rsidRPr="00074E19">
              <w:rPr>
                <w:rFonts w:hint="cs"/>
                <w:b/>
                <w:bCs/>
                <w:sz w:val="26"/>
                <w:szCs w:val="26"/>
                <w:rtl/>
              </w:rPr>
              <w:t>בפני כב' השופטת חנה מרים לומפ</w:t>
            </w:r>
          </w:p>
        </w:tc>
      </w:tr>
      <w:tr w:rsidR="00B71E32" w:rsidRPr="00074E19" w14:paraId="0C218E33" w14:textId="77777777">
        <w:tc>
          <w:tcPr>
            <w:tcW w:w="2880" w:type="dxa"/>
          </w:tcPr>
          <w:p w14:paraId="45549C29" w14:textId="77777777" w:rsidR="00B71E32" w:rsidRPr="00074E19" w:rsidRDefault="00074E19">
            <w:pPr>
              <w:spacing w:line="360" w:lineRule="auto"/>
              <w:ind w:left="26"/>
              <w:jc w:val="both"/>
              <w:rPr>
                <w:b/>
                <w:bCs/>
                <w:sz w:val="26"/>
                <w:szCs w:val="26"/>
              </w:rPr>
            </w:pPr>
            <w:bookmarkStart w:id="1" w:name="FirstAppellant"/>
            <w:r w:rsidRPr="00074E19">
              <w:rPr>
                <w:rFonts w:hint="cs"/>
                <w:b/>
                <w:bCs/>
                <w:sz w:val="26"/>
                <w:szCs w:val="26"/>
                <w:rtl/>
              </w:rPr>
              <w:t>המאשימה</w:t>
            </w:r>
          </w:p>
        </w:tc>
        <w:tc>
          <w:tcPr>
            <w:tcW w:w="5922" w:type="dxa"/>
            <w:gridSpan w:val="2"/>
          </w:tcPr>
          <w:p w14:paraId="59F7A27D" w14:textId="77777777" w:rsidR="00B71E32" w:rsidRPr="00074E19" w:rsidRDefault="00074E19">
            <w:pPr>
              <w:spacing w:line="360" w:lineRule="auto"/>
              <w:jc w:val="both"/>
              <w:rPr>
                <w:b/>
                <w:bCs/>
                <w:sz w:val="26"/>
                <w:szCs w:val="26"/>
              </w:rPr>
            </w:pPr>
            <w:r w:rsidRPr="00074E19">
              <w:rPr>
                <w:rFonts w:hint="cs"/>
                <w:b/>
                <w:bCs/>
                <w:sz w:val="26"/>
                <w:szCs w:val="26"/>
                <w:rtl/>
              </w:rPr>
              <w:t xml:space="preserve"> מדינת ישראל ע"י תביעות ש"י </w:t>
            </w:r>
          </w:p>
        </w:tc>
      </w:tr>
      <w:bookmarkEnd w:id="1"/>
      <w:tr w:rsidR="00B71E32" w:rsidRPr="00074E19" w14:paraId="34E41516" w14:textId="77777777">
        <w:tc>
          <w:tcPr>
            <w:tcW w:w="8802" w:type="dxa"/>
            <w:gridSpan w:val="3"/>
          </w:tcPr>
          <w:p w14:paraId="7E58E682" w14:textId="77777777" w:rsidR="00B71E32" w:rsidRPr="00074E19" w:rsidRDefault="00B71E32">
            <w:pPr>
              <w:spacing w:line="360" w:lineRule="auto"/>
              <w:jc w:val="both"/>
              <w:rPr>
                <w:rFonts w:ascii="Arial" w:hAnsi="Arial"/>
                <w:b/>
                <w:bCs/>
                <w:sz w:val="26"/>
                <w:szCs w:val="26"/>
                <w:rtl/>
              </w:rPr>
            </w:pPr>
          </w:p>
          <w:p w14:paraId="338FFAF8" w14:textId="77777777" w:rsidR="00B71E32" w:rsidRPr="00074E19" w:rsidRDefault="00074E19">
            <w:pPr>
              <w:spacing w:line="360" w:lineRule="auto"/>
              <w:jc w:val="both"/>
              <w:rPr>
                <w:rFonts w:ascii="Arial" w:hAnsi="Arial"/>
                <w:b/>
                <w:bCs/>
                <w:sz w:val="26"/>
                <w:szCs w:val="26"/>
                <w:rtl/>
              </w:rPr>
            </w:pPr>
            <w:r w:rsidRPr="00074E19">
              <w:rPr>
                <w:rFonts w:ascii="Arial" w:hAnsi="Arial" w:hint="cs"/>
                <w:b/>
                <w:bCs/>
                <w:sz w:val="26"/>
                <w:szCs w:val="26"/>
                <w:rtl/>
              </w:rPr>
              <w:t>נגד</w:t>
            </w:r>
          </w:p>
          <w:p w14:paraId="359BCBBE" w14:textId="77777777" w:rsidR="00B71E32" w:rsidRPr="00074E19" w:rsidRDefault="00B71E32">
            <w:pPr>
              <w:spacing w:line="360" w:lineRule="auto"/>
              <w:jc w:val="both"/>
              <w:rPr>
                <w:rFonts w:ascii="Arial" w:hAnsi="Arial"/>
                <w:b/>
                <w:bCs/>
                <w:sz w:val="26"/>
                <w:szCs w:val="26"/>
              </w:rPr>
            </w:pPr>
          </w:p>
        </w:tc>
      </w:tr>
      <w:tr w:rsidR="00B71E32" w:rsidRPr="00074E19" w14:paraId="2F8EB5A3" w14:textId="77777777">
        <w:tc>
          <w:tcPr>
            <w:tcW w:w="2880" w:type="dxa"/>
          </w:tcPr>
          <w:p w14:paraId="2D09B766" w14:textId="77777777" w:rsidR="00B71E32" w:rsidRPr="00074E19" w:rsidRDefault="00074E19">
            <w:pPr>
              <w:spacing w:line="360" w:lineRule="auto"/>
              <w:ind w:left="26"/>
              <w:jc w:val="both"/>
              <w:rPr>
                <w:b/>
                <w:bCs/>
                <w:sz w:val="26"/>
                <w:szCs w:val="26"/>
              </w:rPr>
            </w:pPr>
            <w:r w:rsidRPr="00074E19">
              <w:rPr>
                <w:rFonts w:hint="cs"/>
                <w:b/>
                <w:bCs/>
                <w:sz w:val="26"/>
                <w:szCs w:val="26"/>
                <w:rtl/>
              </w:rPr>
              <w:t xml:space="preserve">הנאשם </w:t>
            </w:r>
          </w:p>
        </w:tc>
        <w:tc>
          <w:tcPr>
            <w:tcW w:w="5922" w:type="dxa"/>
            <w:gridSpan w:val="2"/>
          </w:tcPr>
          <w:p w14:paraId="68CD85B1" w14:textId="77777777" w:rsidR="00B71E32" w:rsidRPr="00074E19" w:rsidRDefault="00074E19">
            <w:pPr>
              <w:spacing w:line="360" w:lineRule="auto"/>
              <w:jc w:val="both"/>
            </w:pPr>
            <w:r w:rsidRPr="00074E19">
              <w:rPr>
                <w:rFonts w:hint="cs"/>
                <w:b/>
                <w:bCs/>
                <w:sz w:val="26"/>
                <w:szCs w:val="26"/>
                <w:rtl/>
              </w:rPr>
              <w:t>דוד יעקוב (עציר)</w:t>
            </w:r>
          </w:p>
        </w:tc>
      </w:tr>
    </w:tbl>
    <w:p w14:paraId="10DAFBFE" w14:textId="77777777" w:rsidR="00B71E32" w:rsidRPr="00074E19" w:rsidRDefault="00074E19">
      <w:pPr>
        <w:spacing w:line="360" w:lineRule="auto"/>
        <w:jc w:val="both"/>
        <w:rPr>
          <w:sz w:val="6"/>
          <w:szCs w:val="6"/>
        </w:rPr>
      </w:pPr>
      <w:r w:rsidRPr="00074E19">
        <w:rPr>
          <w:rFonts w:hint="cs"/>
          <w:sz w:val="6"/>
          <w:szCs w:val="6"/>
          <w:rtl/>
        </w:rPr>
        <w:t>&lt;#2#&gt;</w:t>
      </w:r>
    </w:p>
    <w:p w14:paraId="3C020794" w14:textId="77777777" w:rsidR="00B71E32" w:rsidRPr="00074E19" w:rsidRDefault="00074E19">
      <w:pPr>
        <w:spacing w:line="360" w:lineRule="auto"/>
        <w:jc w:val="both"/>
        <w:rPr>
          <w:rtl/>
        </w:rPr>
      </w:pPr>
      <w:r w:rsidRPr="00074E19">
        <w:rPr>
          <w:rFonts w:hint="cs"/>
          <w:rtl/>
        </w:rPr>
        <w:t>נוכחים:</w:t>
      </w:r>
    </w:p>
    <w:p w14:paraId="34E99D78" w14:textId="77777777" w:rsidR="00B71E32" w:rsidRPr="00074E19" w:rsidRDefault="00074E19">
      <w:pPr>
        <w:spacing w:line="360" w:lineRule="auto"/>
        <w:jc w:val="both"/>
        <w:rPr>
          <w:rtl/>
        </w:rPr>
      </w:pPr>
      <w:bookmarkStart w:id="2" w:name="FirstLawyer"/>
      <w:r w:rsidRPr="00074E19">
        <w:rPr>
          <w:rFonts w:hint="cs"/>
          <w:rtl/>
        </w:rPr>
        <w:t>ב"כ</w:t>
      </w:r>
      <w:bookmarkEnd w:id="2"/>
      <w:r w:rsidRPr="00074E19">
        <w:rPr>
          <w:rFonts w:hint="cs"/>
          <w:rtl/>
        </w:rPr>
        <w:t xml:space="preserve"> המאשימה עו"ד נהלה ג'ני</w:t>
      </w:r>
    </w:p>
    <w:p w14:paraId="014AE33B" w14:textId="77777777" w:rsidR="009337B7" w:rsidRDefault="00074E19">
      <w:pPr>
        <w:spacing w:line="360" w:lineRule="auto"/>
        <w:jc w:val="both"/>
        <w:rPr>
          <w:rtl/>
        </w:rPr>
      </w:pPr>
      <w:r w:rsidRPr="00074E19">
        <w:rPr>
          <w:rFonts w:hint="cs"/>
          <w:rtl/>
        </w:rPr>
        <w:t>הנאשם וב"כ עו"ד טליה רם ועו"ד אריק בוקטמן</w:t>
      </w:r>
      <w:bookmarkStart w:id="3" w:name="LawTable"/>
      <w:bookmarkEnd w:id="3"/>
    </w:p>
    <w:p w14:paraId="30FC11B8" w14:textId="77777777" w:rsidR="009337B7" w:rsidRPr="009337B7" w:rsidRDefault="009337B7" w:rsidP="009337B7">
      <w:pPr>
        <w:spacing w:after="120" w:line="240" w:lineRule="exact"/>
        <w:ind w:left="283" w:hanging="283"/>
        <w:jc w:val="both"/>
        <w:rPr>
          <w:rFonts w:ascii="FrankRuehl" w:hAnsi="FrankRuehl" w:cs="FrankRuehl"/>
          <w:rtl/>
        </w:rPr>
      </w:pPr>
    </w:p>
    <w:p w14:paraId="51409E07" w14:textId="77777777" w:rsidR="009337B7" w:rsidRPr="009337B7" w:rsidRDefault="009337B7" w:rsidP="009337B7">
      <w:pPr>
        <w:spacing w:after="120" w:line="240" w:lineRule="exact"/>
        <w:ind w:left="283" w:hanging="283"/>
        <w:jc w:val="both"/>
        <w:rPr>
          <w:rFonts w:ascii="FrankRuehl" w:hAnsi="FrankRuehl" w:cs="FrankRuehl"/>
          <w:rtl/>
        </w:rPr>
      </w:pPr>
      <w:r w:rsidRPr="009337B7">
        <w:rPr>
          <w:rFonts w:ascii="FrankRuehl" w:hAnsi="FrankRuehl" w:cs="FrankRuehl"/>
          <w:rtl/>
        </w:rPr>
        <w:t xml:space="preserve">חקיקה שאוזכרה: </w:t>
      </w:r>
    </w:p>
    <w:p w14:paraId="36FB643F" w14:textId="77777777" w:rsidR="009337B7" w:rsidRPr="009337B7" w:rsidRDefault="009337B7" w:rsidP="009337B7">
      <w:pPr>
        <w:spacing w:after="120" w:line="240" w:lineRule="exact"/>
        <w:ind w:left="283" w:hanging="283"/>
        <w:jc w:val="both"/>
        <w:rPr>
          <w:rFonts w:ascii="FrankRuehl" w:hAnsi="FrankRuehl" w:cs="FrankRuehl"/>
          <w:rtl/>
        </w:rPr>
      </w:pPr>
      <w:hyperlink r:id="rId7" w:history="1">
        <w:r w:rsidRPr="009337B7">
          <w:rPr>
            <w:rFonts w:ascii="FrankRuehl" w:hAnsi="FrankRuehl" w:cs="FrankRuehl"/>
            <w:color w:val="0000FF"/>
            <w:u w:val="single"/>
            <w:rtl/>
          </w:rPr>
          <w:t>חוק העונשין, תשל"ז-1977</w:t>
        </w:r>
      </w:hyperlink>
      <w:r w:rsidRPr="009337B7">
        <w:rPr>
          <w:rFonts w:ascii="FrankRuehl" w:hAnsi="FrankRuehl" w:cs="FrankRuehl"/>
          <w:rtl/>
        </w:rPr>
        <w:t xml:space="preserve">: סע'  </w:t>
      </w:r>
      <w:hyperlink r:id="rId8" w:history="1">
        <w:r w:rsidRPr="009337B7">
          <w:rPr>
            <w:rFonts w:ascii="FrankRuehl" w:hAnsi="FrankRuehl" w:cs="FrankRuehl"/>
            <w:color w:val="0000FF"/>
            <w:u w:val="single"/>
            <w:rtl/>
          </w:rPr>
          <w:t>144(א)</w:t>
        </w:r>
      </w:hyperlink>
      <w:r w:rsidRPr="009337B7">
        <w:rPr>
          <w:rFonts w:ascii="FrankRuehl" w:hAnsi="FrankRuehl" w:cs="FrankRuehl"/>
          <w:rtl/>
        </w:rPr>
        <w:t xml:space="preserve">, </w:t>
      </w:r>
      <w:hyperlink r:id="rId9" w:history="1">
        <w:r w:rsidRPr="009337B7">
          <w:rPr>
            <w:rFonts w:ascii="FrankRuehl" w:hAnsi="FrankRuehl" w:cs="FrankRuehl"/>
            <w:color w:val="0000FF"/>
            <w:u w:val="single"/>
            <w:rtl/>
          </w:rPr>
          <w:t>191</w:t>
        </w:r>
      </w:hyperlink>
      <w:r w:rsidRPr="009337B7">
        <w:rPr>
          <w:rFonts w:ascii="FrankRuehl" w:hAnsi="FrankRuehl" w:cs="FrankRuehl"/>
          <w:rtl/>
        </w:rPr>
        <w:t xml:space="preserve">, </w:t>
      </w:r>
      <w:hyperlink r:id="rId10" w:history="1">
        <w:r w:rsidRPr="009337B7">
          <w:rPr>
            <w:rFonts w:ascii="FrankRuehl" w:hAnsi="FrankRuehl" w:cs="FrankRuehl"/>
            <w:color w:val="0000FF"/>
            <w:u w:val="single"/>
            <w:rtl/>
          </w:rPr>
          <w:t>40טו</w:t>
        </w:r>
      </w:hyperlink>
      <w:r w:rsidRPr="009337B7">
        <w:rPr>
          <w:rFonts w:ascii="FrankRuehl" w:hAnsi="FrankRuehl" w:cs="FrankRuehl"/>
          <w:rtl/>
        </w:rPr>
        <w:t xml:space="preserve">, </w:t>
      </w:r>
      <w:hyperlink r:id="rId11" w:history="1">
        <w:r w:rsidRPr="009337B7">
          <w:rPr>
            <w:rFonts w:ascii="FrankRuehl" w:hAnsi="FrankRuehl" w:cs="FrankRuehl"/>
            <w:color w:val="0000FF"/>
            <w:u w:val="single"/>
            <w:rtl/>
          </w:rPr>
          <w:t>40יג(א)</w:t>
        </w:r>
      </w:hyperlink>
      <w:r w:rsidRPr="009337B7">
        <w:rPr>
          <w:rFonts w:ascii="FrankRuehl" w:hAnsi="FrankRuehl" w:cs="FrankRuehl"/>
          <w:rtl/>
        </w:rPr>
        <w:t xml:space="preserve">, </w:t>
      </w:r>
      <w:hyperlink r:id="rId12" w:history="1">
        <w:r w:rsidRPr="009337B7">
          <w:rPr>
            <w:rFonts w:ascii="FrankRuehl" w:hAnsi="FrankRuehl" w:cs="FrankRuehl"/>
            <w:color w:val="0000FF"/>
            <w:u w:val="single"/>
            <w:rtl/>
          </w:rPr>
          <w:t>40יג(ב)</w:t>
        </w:r>
      </w:hyperlink>
      <w:r w:rsidRPr="009337B7">
        <w:rPr>
          <w:rFonts w:ascii="FrankRuehl" w:hAnsi="FrankRuehl" w:cs="FrankRuehl"/>
          <w:rtl/>
        </w:rPr>
        <w:t xml:space="preserve">, </w:t>
      </w:r>
      <w:hyperlink r:id="rId13" w:history="1">
        <w:r w:rsidRPr="009337B7">
          <w:rPr>
            <w:rFonts w:ascii="FrankRuehl" w:hAnsi="FrankRuehl" w:cs="FrankRuehl"/>
            <w:color w:val="0000FF"/>
            <w:u w:val="single"/>
            <w:rtl/>
          </w:rPr>
          <w:t>413</w:t>
        </w:r>
      </w:hyperlink>
    </w:p>
    <w:p w14:paraId="6541A40B" w14:textId="77777777" w:rsidR="009337B7" w:rsidRPr="009337B7" w:rsidRDefault="009337B7" w:rsidP="009337B7">
      <w:pPr>
        <w:spacing w:after="120" w:line="240" w:lineRule="exact"/>
        <w:ind w:left="283" w:hanging="283"/>
        <w:jc w:val="both"/>
        <w:rPr>
          <w:rFonts w:ascii="FrankRuehl" w:hAnsi="FrankRuehl" w:cs="FrankRuehl"/>
          <w:rtl/>
        </w:rPr>
      </w:pPr>
    </w:p>
    <w:p w14:paraId="223F2E10" w14:textId="77777777" w:rsidR="007E019A" w:rsidRPr="007E019A" w:rsidRDefault="007E019A">
      <w:pPr>
        <w:spacing w:line="360" w:lineRule="auto"/>
        <w:jc w:val="both"/>
        <w:rPr>
          <w:rtl/>
        </w:rPr>
      </w:pPr>
      <w:bookmarkStart w:id="4" w:name="LawTable_End"/>
      <w:bookmarkEnd w:id="4"/>
    </w:p>
    <w:p w14:paraId="6CD6DD26" w14:textId="77777777" w:rsidR="00B71E32" w:rsidRPr="007E019A" w:rsidRDefault="00B71E32">
      <w:pPr>
        <w:spacing w:line="360" w:lineRule="auto"/>
        <w:jc w:val="both"/>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71E32" w14:paraId="2C9F75D3" w14:textId="77777777">
        <w:trPr>
          <w:trHeight w:val="355"/>
          <w:jc w:val="center"/>
        </w:trPr>
        <w:tc>
          <w:tcPr>
            <w:tcW w:w="8820" w:type="dxa"/>
            <w:tcBorders>
              <w:top w:val="nil"/>
              <w:left w:val="nil"/>
              <w:bottom w:val="nil"/>
              <w:right w:val="nil"/>
            </w:tcBorders>
          </w:tcPr>
          <w:p w14:paraId="09EEE3A2" w14:textId="77777777" w:rsidR="00B71E32" w:rsidRPr="00074E19" w:rsidRDefault="00074E19" w:rsidP="00074E19">
            <w:pPr>
              <w:spacing w:line="360" w:lineRule="auto"/>
              <w:jc w:val="center"/>
              <w:rPr>
                <w:rFonts w:ascii="Arial" w:hAnsi="Arial" w:cs="FrankRuehl"/>
                <w:bCs/>
                <w:sz w:val="32"/>
                <w:szCs w:val="32"/>
                <w:u w:val="single"/>
                <w:rtl/>
              </w:rPr>
            </w:pPr>
            <w:bookmarkStart w:id="5" w:name="PsakDin"/>
            <w:bookmarkEnd w:id="0"/>
            <w:r w:rsidRPr="00074E19">
              <w:rPr>
                <w:rFonts w:ascii="Arial" w:hAnsi="Arial" w:cs="FrankRuehl"/>
                <w:b/>
                <w:bCs/>
                <w:sz w:val="32"/>
                <w:szCs w:val="32"/>
                <w:u w:val="single"/>
                <w:rtl/>
              </w:rPr>
              <w:t>גזר דין</w:t>
            </w:r>
            <w:bookmarkEnd w:id="5"/>
          </w:p>
        </w:tc>
      </w:tr>
    </w:tbl>
    <w:p w14:paraId="7C77ED6D" w14:textId="77777777" w:rsidR="00B71E32" w:rsidRDefault="00074E19">
      <w:pPr>
        <w:pStyle w:val="ListParagraph"/>
        <w:numPr>
          <w:ilvl w:val="0"/>
          <w:numId w:val="1"/>
        </w:numPr>
        <w:spacing w:line="360" w:lineRule="auto"/>
        <w:ind w:left="714" w:hanging="357"/>
        <w:jc w:val="both"/>
        <w:rPr>
          <w:rFonts w:ascii="Arial" w:hAnsi="Arial"/>
        </w:rPr>
      </w:pPr>
      <w:r>
        <w:rPr>
          <w:rFonts w:ascii="Arial" w:hAnsi="Arial" w:hint="cs"/>
          <w:rtl/>
        </w:rPr>
        <w:t>הנאשם הורשע  ביום 14.10.12, על פי הודאתו, ב</w:t>
      </w:r>
      <w:hyperlink r:id="rId14" w:history="1">
        <w:r w:rsidR="007E019A" w:rsidRPr="007E019A">
          <w:rPr>
            <w:rStyle w:val="Hyperlink"/>
            <w:rFonts w:ascii="Arial" w:hAnsi="Arial" w:hint="eastAsia"/>
            <w:rtl/>
          </w:rPr>
          <w:t>ת</w:t>
        </w:r>
        <w:r w:rsidR="007E019A" w:rsidRPr="007E019A">
          <w:rPr>
            <w:rStyle w:val="Hyperlink"/>
            <w:rFonts w:ascii="Arial" w:hAnsi="Arial"/>
            <w:rtl/>
          </w:rPr>
          <w:t>.פ. 28190-05-12</w:t>
        </w:r>
      </w:hyperlink>
      <w:r>
        <w:rPr>
          <w:rFonts w:ascii="Arial" w:hAnsi="Arial" w:hint="cs"/>
          <w:rtl/>
        </w:rPr>
        <w:t xml:space="preserve"> וכן צרף את כל התיקים התלויים ועומדים כנגדו למעט פל"א 433819-11 אשר לא אותר.</w:t>
      </w:r>
    </w:p>
    <w:p w14:paraId="1FDC5D45" w14:textId="77777777" w:rsidR="00B71E32" w:rsidRDefault="00B71E32">
      <w:pPr>
        <w:pStyle w:val="ListParagraph"/>
        <w:spacing w:line="360" w:lineRule="auto"/>
        <w:ind w:left="714"/>
        <w:jc w:val="both"/>
        <w:rPr>
          <w:rFonts w:ascii="Arial" w:hAnsi="Arial"/>
        </w:rPr>
      </w:pPr>
    </w:p>
    <w:p w14:paraId="63F2DE7B" w14:textId="77777777" w:rsidR="00B71E32" w:rsidRDefault="007E019A">
      <w:pPr>
        <w:spacing w:line="360" w:lineRule="auto"/>
        <w:jc w:val="both"/>
        <w:rPr>
          <w:rFonts w:ascii="Arial" w:hAnsi="Arial"/>
          <w:b/>
          <w:bCs/>
          <w:u w:val="single"/>
        </w:rPr>
      </w:pPr>
      <w:hyperlink r:id="rId15" w:history="1">
        <w:r w:rsidRPr="007E019A">
          <w:rPr>
            <w:rFonts w:ascii="Arial" w:hAnsi="Arial"/>
            <w:b/>
            <w:bCs/>
            <w:color w:val="0000FF"/>
            <w:sz w:val="26"/>
            <w:szCs w:val="26"/>
            <w:u w:val="single"/>
            <w:rtl/>
          </w:rPr>
          <w:t>ת.פ. 28190-05-12</w:t>
        </w:r>
        <w:r w:rsidRPr="007E019A">
          <w:rPr>
            <w:rFonts w:ascii="Arial" w:hAnsi="Arial"/>
            <w:b/>
            <w:bCs/>
            <w:color w:val="0000FF"/>
            <w:sz w:val="26"/>
            <w:szCs w:val="26"/>
            <w:u w:val="single"/>
            <w:rtl/>
          </w:rPr>
          <w:cr/>
        </w:r>
      </w:hyperlink>
      <w:r w:rsidR="00074E19">
        <w:rPr>
          <w:rFonts w:ascii="Arial" w:hAnsi="Arial" w:hint="cs"/>
          <w:b/>
          <w:bCs/>
          <w:rtl/>
        </w:rPr>
        <w:t>אישום ראשון</w:t>
      </w:r>
    </w:p>
    <w:p w14:paraId="774DFA49" w14:textId="77777777" w:rsidR="00B71E32" w:rsidRDefault="00074E19">
      <w:pPr>
        <w:pStyle w:val="ListParagraph"/>
        <w:numPr>
          <w:ilvl w:val="0"/>
          <w:numId w:val="1"/>
        </w:numPr>
        <w:spacing w:line="360" w:lineRule="auto"/>
        <w:ind w:left="714" w:hanging="357"/>
        <w:jc w:val="both"/>
        <w:rPr>
          <w:rFonts w:ascii="Arial" w:hAnsi="Arial"/>
        </w:rPr>
      </w:pPr>
      <w:bookmarkStart w:id="6" w:name="ABSTRACT_START"/>
      <w:bookmarkEnd w:id="6"/>
      <w:r>
        <w:rPr>
          <w:rFonts w:ascii="Arial" w:hAnsi="Arial" w:hint="cs"/>
          <w:rtl/>
        </w:rPr>
        <w:t>הנאשם הורשע בכך  שביום 6.4.12 פרץ לדירת משפחת כץ בישוב חשמונאים וגנב מתוכה אקדח, שתי מחסניות ותחמושת. הנאשם נכנס ביודעין לדירה בכדי לקחת את האקדח</w:t>
      </w:r>
      <w:bookmarkStart w:id="7" w:name="ABSTRACT_END"/>
      <w:bookmarkEnd w:id="7"/>
      <w:r>
        <w:rPr>
          <w:rFonts w:ascii="Arial" w:hAnsi="Arial" w:hint="cs"/>
          <w:rtl/>
        </w:rPr>
        <w:t xml:space="preserve">. </w:t>
      </w:r>
    </w:p>
    <w:p w14:paraId="0587A80D" w14:textId="77777777" w:rsidR="00B71E32" w:rsidRDefault="00074E19">
      <w:pPr>
        <w:spacing w:line="360" w:lineRule="auto"/>
        <w:jc w:val="both"/>
        <w:rPr>
          <w:rFonts w:ascii="Arial" w:hAnsi="Arial"/>
          <w:b/>
          <w:bCs/>
        </w:rPr>
      </w:pPr>
      <w:r>
        <w:rPr>
          <w:rFonts w:ascii="Arial" w:hAnsi="Arial" w:hint="cs"/>
          <w:b/>
          <w:bCs/>
          <w:rtl/>
        </w:rPr>
        <w:t>אישום שני</w:t>
      </w:r>
    </w:p>
    <w:p w14:paraId="4046B2FE" w14:textId="77777777" w:rsidR="00B71E32" w:rsidRDefault="00074E19">
      <w:pPr>
        <w:pStyle w:val="ListParagraph"/>
        <w:numPr>
          <w:ilvl w:val="0"/>
          <w:numId w:val="1"/>
        </w:numPr>
        <w:spacing w:line="360" w:lineRule="auto"/>
        <w:ind w:left="714" w:hanging="357"/>
        <w:jc w:val="both"/>
        <w:rPr>
          <w:rFonts w:ascii="Arial" w:hAnsi="Arial"/>
        </w:rPr>
      </w:pPr>
      <w:r>
        <w:rPr>
          <w:rFonts w:ascii="Arial" w:hAnsi="Arial" w:hint="cs"/>
          <w:rtl/>
        </w:rPr>
        <w:t xml:space="preserve">בהמשך למתואר באישום הראשון, לפנות בוקר ביום 7.4.12 סייע הנאשם לאחר להתפרץ לבית משפחת שיינה ביישוב חשמונאים, בכך שחברו ניפץ את חלון הסלון ונכנס לדירה בעוד שהנאשם תצפת מחוץ לדירה לבל יופרע במעשיו. </w:t>
      </w:r>
    </w:p>
    <w:p w14:paraId="734DA3EB" w14:textId="77777777" w:rsidR="00B71E32" w:rsidRDefault="00074E19">
      <w:pPr>
        <w:spacing w:line="360" w:lineRule="auto"/>
        <w:jc w:val="both"/>
        <w:rPr>
          <w:rFonts w:ascii="Arial" w:hAnsi="Arial"/>
        </w:rPr>
      </w:pPr>
      <w:r>
        <w:rPr>
          <w:rFonts w:ascii="Arial" w:hAnsi="Arial" w:hint="cs"/>
          <w:b/>
          <w:bCs/>
          <w:rtl/>
        </w:rPr>
        <w:t>אישום שלישי</w:t>
      </w:r>
    </w:p>
    <w:p w14:paraId="049672EC" w14:textId="77777777" w:rsidR="00B71E32" w:rsidRDefault="00074E19">
      <w:pPr>
        <w:pStyle w:val="ListParagraph"/>
        <w:numPr>
          <w:ilvl w:val="0"/>
          <w:numId w:val="1"/>
        </w:numPr>
        <w:spacing w:line="360" w:lineRule="auto"/>
        <w:ind w:left="714" w:hanging="357"/>
        <w:jc w:val="both"/>
        <w:rPr>
          <w:rFonts w:ascii="Arial" w:hAnsi="Arial"/>
        </w:rPr>
      </w:pPr>
      <w:r>
        <w:rPr>
          <w:rFonts w:ascii="Arial" w:hAnsi="Arial" w:hint="cs"/>
          <w:rtl/>
        </w:rPr>
        <w:t>כמו כן, באותן הנסיבות, סייע הנאשם לאחר להתפרץ לדירה נוספת השייכת למשפחת נפש. האחר נכנס לדירה דרך חלון המטבח בעוד שהנאשם תצפת לבל יופרע במעשיו.</w:t>
      </w:r>
    </w:p>
    <w:p w14:paraId="1AC387A7" w14:textId="77777777" w:rsidR="00B71E32" w:rsidRDefault="00074E19">
      <w:pPr>
        <w:spacing w:line="360" w:lineRule="auto"/>
        <w:jc w:val="both"/>
        <w:rPr>
          <w:rFonts w:ascii="Arial" w:hAnsi="Arial"/>
        </w:rPr>
      </w:pPr>
      <w:r>
        <w:rPr>
          <w:rFonts w:ascii="Arial" w:hAnsi="Arial" w:hint="cs"/>
          <w:b/>
          <w:bCs/>
          <w:rtl/>
        </w:rPr>
        <w:lastRenderedPageBreak/>
        <w:t>אישום רביעי</w:t>
      </w:r>
    </w:p>
    <w:p w14:paraId="5A37C2D2" w14:textId="77777777" w:rsidR="00B71E32" w:rsidRDefault="00074E19">
      <w:pPr>
        <w:pStyle w:val="ListParagraph"/>
        <w:numPr>
          <w:ilvl w:val="0"/>
          <w:numId w:val="1"/>
        </w:numPr>
        <w:spacing w:line="360" w:lineRule="auto"/>
        <w:ind w:left="714" w:hanging="357"/>
        <w:jc w:val="both"/>
        <w:rPr>
          <w:rFonts w:ascii="Arial" w:hAnsi="Arial"/>
        </w:rPr>
      </w:pPr>
      <w:r>
        <w:rPr>
          <w:rFonts w:ascii="Arial" w:hAnsi="Arial" w:hint="cs"/>
          <w:rtl/>
        </w:rPr>
        <w:t>כחודשיים קודם לכן, בין התאריכים 3.2.12 ל - 4.2.12, בשעה שאינה ידועה, התפרץ הנאשם לדירתו של ישראל ביטל באשדוד. הנאשם נכנס למרפסת הדירה, שבר את דלת הדירה וגנב מתוכה מחשב נייד, שלוש מצלמות אבטחה ומצלמת וידיאו.</w:t>
      </w:r>
    </w:p>
    <w:p w14:paraId="2839D220" w14:textId="77777777" w:rsidR="00B71E32" w:rsidRDefault="00B71E32">
      <w:pPr>
        <w:pStyle w:val="ListParagraph"/>
        <w:spacing w:line="360" w:lineRule="auto"/>
        <w:ind w:left="714"/>
        <w:jc w:val="both"/>
        <w:rPr>
          <w:rFonts w:ascii="Arial" w:hAnsi="Arial"/>
        </w:rPr>
      </w:pPr>
    </w:p>
    <w:p w14:paraId="4D3ED550" w14:textId="77777777" w:rsidR="00B71E32" w:rsidRDefault="00074E19">
      <w:pPr>
        <w:spacing w:line="360" w:lineRule="auto"/>
        <w:jc w:val="both"/>
        <w:rPr>
          <w:rFonts w:ascii="Arial" w:hAnsi="Arial"/>
          <w:b/>
          <w:bCs/>
        </w:rPr>
      </w:pPr>
      <w:r>
        <w:rPr>
          <w:rFonts w:ascii="Arial" w:hAnsi="Arial" w:hint="cs"/>
          <w:b/>
          <w:bCs/>
          <w:rtl/>
        </w:rPr>
        <w:t>אישום חמישי</w:t>
      </w:r>
    </w:p>
    <w:p w14:paraId="7E8A4709" w14:textId="77777777" w:rsidR="00B71E32" w:rsidRDefault="00074E19">
      <w:pPr>
        <w:pStyle w:val="ListParagraph"/>
        <w:numPr>
          <w:ilvl w:val="0"/>
          <w:numId w:val="1"/>
        </w:numPr>
        <w:spacing w:line="360" w:lineRule="auto"/>
        <w:ind w:left="714" w:hanging="357"/>
        <w:jc w:val="both"/>
        <w:rPr>
          <w:rFonts w:ascii="Arial" w:hAnsi="Arial"/>
        </w:rPr>
      </w:pPr>
      <w:r>
        <w:rPr>
          <w:rFonts w:ascii="Arial" w:hAnsi="Arial" w:hint="cs"/>
          <w:rtl/>
        </w:rPr>
        <w:t xml:space="preserve">כמו כן, כחודשיים לפני יום 28.4.12 סיפק הנאשם לאחרת, סם מסוכן מסוג חשיש בכמות שאינה ידועה למאשימה. </w:t>
      </w:r>
    </w:p>
    <w:p w14:paraId="19D41078" w14:textId="77777777" w:rsidR="00B71E32" w:rsidRDefault="00B71E32">
      <w:pPr>
        <w:spacing w:line="360" w:lineRule="auto"/>
        <w:jc w:val="both"/>
        <w:rPr>
          <w:rFonts w:ascii="Arial" w:hAnsi="Arial"/>
          <w:b/>
          <w:bCs/>
          <w:rtl/>
        </w:rPr>
      </w:pPr>
    </w:p>
    <w:p w14:paraId="77888A28" w14:textId="77777777" w:rsidR="00B71E32" w:rsidRDefault="00074E19">
      <w:pPr>
        <w:spacing w:line="360" w:lineRule="auto"/>
        <w:jc w:val="both"/>
        <w:rPr>
          <w:rFonts w:ascii="Arial" w:hAnsi="Arial"/>
          <w:b/>
          <w:bCs/>
        </w:rPr>
      </w:pPr>
      <w:r>
        <w:rPr>
          <w:rFonts w:ascii="Arial" w:hAnsi="Arial" w:hint="cs"/>
          <w:b/>
          <w:bCs/>
          <w:rtl/>
        </w:rPr>
        <w:t>מתחם העונש ההולם</w:t>
      </w:r>
    </w:p>
    <w:p w14:paraId="4C291412" w14:textId="77777777" w:rsidR="00B71E32" w:rsidRDefault="00074E19">
      <w:pPr>
        <w:pStyle w:val="ListParagraph"/>
        <w:numPr>
          <w:ilvl w:val="0"/>
          <w:numId w:val="1"/>
        </w:numPr>
        <w:spacing w:line="360" w:lineRule="auto"/>
        <w:ind w:left="714" w:hanging="357"/>
        <w:jc w:val="both"/>
        <w:rPr>
          <w:rFonts w:ascii="Arial" w:hAnsi="Arial"/>
        </w:rPr>
      </w:pPr>
      <w:r>
        <w:rPr>
          <w:rFonts w:ascii="Arial" w:hAnsi="Arial" w:hint="cs"/>
          <w:rtl/>
        </w:rPr>
        <w:t xml:space="preserve">המחוקק קבע לצד עבירת התפרצות לדירה עונש של שבע שנות מאסר. בית המשפט העליון הדגיש שוב ושוב כי בעבירה זו ישנה פגיעה נוספת מלבד הפגיעה ברכוש, שכן, גם נפגעות באופן חמור תחושת הביטחון האישי ופרטיותו של נפגע העבירה. </w:t>
      </w:r>
    </w:p>
    <w:p w14:paraId="5EF3D3F9" w14:textId="77777777" w:rsidR="00B71E32" w:rsidRDefault="00074E19">
      <w:pPr>
        <w:spacing w:line="360" w:lineRule="auto"/>
        <w:ind w:left="714"/>
        <w:jc w:val="both"/>
        <w:rPr>
          <w:rFonts w:ascii="Arial" w:hAnsi="Arial"/>
        </w:rPr>
      </w:pPr>
      <w:r>
        <w:rPr>
          <w:rFonts w:ascii="Arial" w:hAnsi="Arial" w:hint="cs"/>
          <w:rtl/>
        </w:rPr>
        <w:t xml:space="preserve">במקרה זה קיימת חומרה נוספת שכן הנאשם פרץ לדירה במטרה לגנוב נשק שהיה בה. הנאשם גנב את הנשק ואף החזיק בו. גם בשל עבירה זו קבע המחוקק עונש של שבע שנות מאסר ובית המשפט העליון הדגיש את הצורך לעקור מן השורש את תופעת החזקת הנשק בידי הציבור ראה אותה בחומרה רבה. כמו כן, יש לשקול כי העבירה בוצעה תוך תכנון מוקדם, שכן הנאשם ידע מבעוד מועד כי יש נשק בדירה ונכנס לתוכה בכדי לגנוב אותו.  </w:t>
      </w:r>
    </w:p>
    <w:p w14:paraId="4B17E4B4" w14:textId="77777777" w:rsidR="00B71E32" w:rsidRDefault="00074E19">
      <w:pPr>
        <w:pStyle w:val="ListParagraph"/>
        <w:numPr>
          <w:ilvl w:val="0"/>
          <w:numId w:val="1"/>
        </w:numPr>
        <w:spacing w:line="360" w:lineRule="auto"/>
        <w:ind w:left="714" w:hanging="357"/>
        <w:jc w:val="both"/>
        <w:rPr>
          <w:rFonts w:ascii="Arial" w:hAnsi="Arial"/>
        </w:rPr>
      </w:pPr>
      <w:r>
        <w:rPr>
          <w:rFonts w:ascii="Arial" w:hAnsi="Arial" w:hint="cs"/>
          <w:rtl/>
        </w:rPr>
        <w:t>בנוסף יש לקבוע את המתחם בהצטרף האישומים  השני והשלישי, שכן מדובר בשלושה מקרי התפרצות שאירעו באותו לילה בסמיכות מקום, ולכן ניתן ל</w:t>
      </w:r>
      <w:r w:rsidR="009337B7">
        <w:rPr>
          <w:rFonts w:ascii="Arial" w:hAnsi="Arial" w:hint="cs"/>
          <w:rtl/>
        </w:rPr>
        <w:t xml:space="preserve">ראותם כאירוע אחד בהתאם </w:t>
      </w:r>
      <w:hyperlink r:id="rId16" w:history="1">
        <w:r w:rsidR="009337B7" w:rsidRPr="009337B7">
          <w:rPr>
            <w:rFonts w:ascii="Arial" w:hAnsi="Arial"/>
            <w:color w:val="0000FF"/>
            <w:u w:val="single"/>
            <w:rtl/>
          </w:rPr>
          <w:t>לסעיף 40יג(א)</w:t>
        </w:r>
      </w:hyperlink>
      <w:r>
        <w:rPr>
          <w:rFonts w:ascii="Arial" w:hAnsi="Arial" w:hint="cs"/>
          <w:rtl/>
        </w:rPr>
        <w:t xml:space="preserve"> ל</w:t>
      </w:r>
      <w:hyperlink r:id="rId17" w:history="1">
        <w:r w:rsidR="007E019A" w:rsidRPr="007E019A">
          <w:rPr>
            <w:rStyle w:val="Hyperlink"/>
            <w:rFonts w:ascii="Arial" w:hAnsi="Arial"/>
            <w:rtl/>
          </w:rPr>
          <w:t>חוק העונשין</w:t>
        </w:r>
      </w:hyperlink>
      <w:r>
        <w:rPr>
          <w:rFonts w:ascii="Arial" w:hAnsi="Arial" w:hint="cs"/>
          <w:rtl/>
        </w:rPr>
        <w:t xml:space="preserve"> התשל"ז </w:t>
      </w:r>
      <w:r>
        <w:rPr>
          <w:rFonts w:ascii="Arial" w:hAnsi="Arial"/>
          <w:rtl/>
        </w:rPr>
        <w:t>–</w:t>
      </w:r>
      <w:r>
        <w:rPr>
          <w:rFonts w:ascii="Arial" w:hAnsi="Arial" w:hint="cs"/>
          <w:rtl/>
        </w:rPr>
        <w:t xml:space="preserve"> 1977 (להלן : החוק). </w:t>
      </w:r>
    </w:p>
    <w:p w14:paraId="6EADA0C9" w14:textId="77777777" w:rsidR="00B71E32" w:rsidRDefault="00074E19">
      <w:pPr>
        <w:pStyle w:val="ListParagraph"/>
        <w:spacing w:line="360" w:lineRule="auto"/>
        <w:ind w:left="714"/>
        <w:jc w:val="both"/>
        <w:rPr>
          <w:rFonts w:ascii="Arial" w:hAnsi="Arial"/>
          <w:rtl/>
        </w:rPr>
      </w:pPr>
      <w:r>
        <w:rPr>
          <w:rFonts w:ascii="Arial" w:hAnsi="Arial" w:hint="cs"/>
          <w:rtl/>
        </w:rPr>
        <w:t xml:space="preserve">באישומים השני והשלישי, חלקו של הנאשם בביצוע העבירה הוא כמסייע והעבירות בוצעו תוך תכנון מוקדם ובצוותא חדא.  </w:t>
      </w:r>
    </w:p>
    <w:p w14:paraId="15FE1F3B" w14:textId="77777777" w:rsidR="00B71E32" w:rsidRDefault="00074E19">
      <w:pPr>
        <w:pStyle w:val="ListParagraph"/>
        <w:spacing w:line="360" w:lineRule="auto"/>
        <w:ind w:left="714"/>
        <w:jc w:val="both"/>
        <w:rPr>
          <w:rFonts w:ascii="Arial" w:hAnsi="Arial"/>
          <w:rtl/>
        </w:rPr>
      </w:pPr>
      <w:r>
        <w:rPr>
          <w:rFonts w:ascii="Arial" w:hAnsi="Arial" w:hint="cs"/>
          <w:rtl/>
        </w:rPr>
        <w:t>לפיכך, בנסיבות אלה מתחם העונש ההולם את שלושת האישומים הוא בין 18 חודשי מאסר ועד ל-36 חודשי מאסר.</w:t>
      </w:r>
    </w:p>
    <w:p w14:paraId="5100D69A" w14:textId="77777777" w:rsidR="00B71E32" w:rsidRDefault="00074E19">
      <w:pPr>
        <w:pStyle w:val="ListParagraph"/>
        <w:numPr>
          <w:ilvl w:val="0"/>
          <w:numId w:val="1"/>
        </w:numPr>
        <w:spacing w:line="360" w:lineRule="auto"/>
        <w:ind w:left="714" w:hanging="357"/>
        <w:jc w:val="both"/>
        <w:rPr>
          <w:rFonts w:ascii="Arial" w:hAnsi="Arial"/>
        </w:rPr>
      </w:pPr>
      <w:r>
        <w:rPr>
          <w:rFonts w:ascii="Arial" w:hAnsi="Arial" w:hint="cs"/>
          <w:rtl/>
        </w:rPr>
        <w:t xml:space="preserve"> באשר לאישום הרביעי, הנאשם פרץ לדירה כחודשיים לפני האירועים שבאישומים 1-3, וגנב ציוד יקר ערך.</w:t>
      </w:r>
    </w:p>
    <w:p w14:paraId="2835A651" w14:textId="77777777" w:rsidR="00B71E32" w:rsidRDefault="00074E19">
      <w:pPr>
        <w:spacing w:line="360" w:lineRule="auto"/>
        <w:ind w:left="714"/>
        <w:jc w:val="both"/>
        <w:rPr>
          <w:rFonts w:ascii="Arial" w:hAnsi="Arial"/>
        </w:rPr>
      </w:pPr>
      <w:r>
        <w:rPr>
          <w:rFonts w:ascii="Arial" w:hAnsi="Arial" w:hint="cs"/>
          <w:rtl/>
        </w:rPr>
        <w:t xml:space="preserve">בהתחשב בחומרת העבירה ובכך שגרם נזק רב למתלונן, שכן מדובר ברכוש יקר, אני קובעת כי מתחם העונש ההולם בעבירה זו הוא בין 10 ל - 24 חודשי מאסר. </w:t>
      </w:r>
    </w:p>
    <w:p w14:paraId="2D3A3922" w14:textId="77777777" w:rsidR="00B71E32" w:rsidRDefault="00074E19">
      <w:pPr>
        <w:pStyle w:val="ListParagraph"/>
        <w:numPr>
          <w:ilvl w:val="0"/>
          <w:numId w:val="1"/>
        </w:numPr>
        <w:spacing w:line="360" w:lineRule="auto"/>
        <w:ind w:left="714" w:hanging="357"/>
        <w:jc w:val="both"/>
        <w:rPr>
          <w:rFonts w:ascii="Arial" w:hAnsi="Arial"/>
        </w:rPr>
      </w:pPr>
      <w:r>
        <w:rPr>
          <w:rFonts w:ascii="Arial" w:hAnsi="Arial" w:hint="cs"/>
          <w:rtl/>
        </w:rPr>
        <w:t>האירוע באישום החמישי הוא של הספקת סם לאחר. בהתחשב בסוג הסם ובכך שמדובר בהספקה חד פעמית, אני קובעת כי מתחם העונש ההולם בעבירה זו הוא בין מספר חודשי עבודות שירות ועד למספר חודשי מאסר בפועל.</w:t>
      </w:r>
    </w:p>
    <w:p w14:paraId="2DAEA0AC" w14:textId="77777777" w:rsidR="00B71E32" w:rsidRDefault="00B71E32">
      <w:pPr>
        <w:spacing w:line="360" w:lineRule="auto"/>
        <w:jc w:val="both"/>
        <w:rPr>
          <w:rFonts w:ascii="Arial" w:hAnsi="Arial"/>
          <w:b/>
          <w:bCs/>
          <w:sz w:val="26"/>
          <w:szCs w:val="26"/>
          <w:u w:val="single"/>
          <w:rtl/>
        </w:rPr>
      </w:pPr>
    </w:p>
    <w:p w14:paraId="1F56BFBA" w14:textId="77777777" w:rsidR="00B71E32" w:rsidRDefault="00074E19">
      <w:pPr>
        <w:spacing w:line="360" w:lineRule="auto"/>
        <w:jc w:val="both"/>
        <w:rPr>
          <w:rFonts w:ascii="Arial" w:hAnsi="Arial"/>
          <w:b/>
          <w:bCs/>
          <w:sz w:val="26"/>
          <w:szCs w:val="26"/>
          <w:u w:val="single"/>
        </w:rPr>
      </w:pPr>
      <w:r>
        <w:rPr>
          <w:rFonts w:ascii="Arial" w:hAnsi="Arial" w:hint="cs"/>
          <w:b/>
          <w:bCs/>
          <w:sz w:val="26"/>
          <w:szCs w:val="26"/>
          <w:u w:val="single"/>
          <w:rtl/>
        </w:rPr>
        <w:t>פ.א. 199298-11 של תחנת בנימין</w:t>
      </w:r>
    </w:p>
    <w:p w14:paraId="5E0602DB" w14:textId="77777777" w:rsidR="00B71E32" w:rsidRDefault="00074E19">
      <w:pPr>
        <w:pStyle w:val="ListParagraph"/>
        <w:numPr>
          <w:ilvl w:val="0"/>
          <w:numId w:val="1"/>
        </w:numPr>
        <w:spacing w:line="360" w:lineRule="auto"/>
        <w:ind w:left="714" w:hanging="357"/>
        <w:jc w:val="both"/>
        <w:rPr>
          <w:rFonts w:ascii="Arial" w:hAnsi="Arial"/>
        </w:rPr>
      </w:pPr>
      <w:r>
        <w:rPr>
          <w:rFonts w:ascii="Arial" w:hAnsi="Arial" w:hint="cs"/>
          <w:rtl/>
        </w:rPr>
        <w:lastRenderedPageBreak/>
        <w:t>הנאשם הורשע בהחזקת סם מסוכן מסוג קנאבוס במשקל 0.51 גרם לצריכתו העצמית בשנת 2011. מתחם העונש ההולם עבירה זו הוא בין מאסר מותנה וקנס לבין מספר ימי מאסר.</w:t>
      </w:r>
    </w:p>
    <w:p w14:paraId="27A885EB" w14:textId="77777777" w:rsidR="00B71E32" w:rsidRDefault="00B71E32">
      <w:pPr>
        <w:spacing w:line="360" w:lineRule="auto"/>
        <w:ind w:left="357"/>
        <w:jc w:val="both"/>
        <w:rPr>
          <w:rFonts w:ascii="Arial" w:hAnsi="Arial"/>
        </w:rPr>
      </w:pPr>
    </w:p>
    <w:p w14:paraId="0726539A" w14:textId="77777777" w:rsidR="00B71E32" w:rsidRDefault="007E019A">
      <w:pPr>
        <w:spacing w:line="360" w:lineRule="auto"/>
        <w:jc w:val="both"/>
        <w:rPr>
          <w:rFonts w:ascii="Arial" w:hAnsi="Arial"/>
          <w:b/>
          <w:bCs/>
          <w:sz w:val="26"/>
          <w:szCs w:val="26"/>
          <w:u w:val="single"/>
        </w:rPr>
      </w:pPr>
      <w:hyperlink r:id="rId18" w:history="1">
        <w:r w:rsidRPr="007E019A">
          <w:rPr>
            <w:rStyle w:val="Hyperlink"/>
            <w:rFonts w:ascii="Arial" w:hAnsi="Arial"/>
            <w:b/>
            <w:bCs/>
            <w:sz w:val="26"/>
            <w:szCs w:val="26"/>
            <w:rtl/>
          </w:rPr>
          <w:t>ת.פ. 5727-06-10</w:t>
        </w:r>
      </w:hyperlink>
      <w:r w:rsidR="00074E19">
        <w:rPr>
          <w:rFonts w:ascii="Arial" w:hAnsi="Arial" w:hint="cs"/>
          <w:b/>
          <w:bCs/>
          <w:sz w:val="26"/>
          <w:szCs w:val="26"/>
          <w:u w:val="single"/>
          <w:rtl/>
        </w:rPr>
        <w:t xml:space="preserve">  בית משפט לנוער ירושלים</w:t>
      </w:r>
    </w:p>
    <w:p w14:paraId="6461FC81" w14:textId="77777777" w:rsidR="00B71E32" w:rsidRDefault="00074E19">
      <w:pPr>
        <w:pStyle w:val="ListParagraph"/>
        <w:numPr>
          <w:ilvl w:val="0"/>
          <w:numId w:val="1"/>
        </w:numPr>
        <w:spacing w:line="360" w:lineRule="auto"/>
        <w:ind w:left="714" w:hanging="357"/>
        <w:jc w:val="both"/>
        <w:rPr>
          <w:rFonts w:ascii="Arial" w:hAnsi="Arial"/>
        </w:rPr>
      </w:pPr>
      <w:r>
        <w:rPr>
          <w:rFonts w:ascii="Arial" w:hAnsi="Arial" w:hint="cs"/>
          <w:rtl/>
        </w:rPr>
        <w:t>בתיק זה הורשע הנאשם בהחזקת סכין פרפר בכיסו וכן בהחזקת כלי עישון בביתו. מדובר בעבירות שבוצעו בשנת 2009, עת הנאשם היה קטין כבן 17. המחוקק קבע לצד עבירת החזקת הסכין עונש של 5 שנות מאסר וזאת בשל פוטנציאל המסוכנות הטמון בהחזקת נשק קר וזמין. בית המשפט העליון הדגיש את הצורך לשרש את תופעת הסכינאות ולהוקיעה.</w:t>
      </w:r>
    </w:p>
    <w:p w14:paraId="1E20DE98" w14:textId="77777777" w:rsidR="00B71E32" w:rsidRDefault="00074E19">
      <w:pPr>
        <w:spacing w:line="360" w:lineRule="auto"/>
        <w:ind w:left="714" w:firstLine="3"/>
        <w:jc w:val="both"/>
        <w:rPr>
          <w:rFonts w:ascii="Arial" w:hAnsi="Arial"/>
          <w:rtl/>
        </w:rPr>
      </w:pPr>
      <w:r>
        <w:rPr>
          <w:rFonts w:ascii="Arial" w:hAnsi="Arial" w:hint="cs"/>
          <w:rtl/>
        </w:rPr>
        <w:t xml:space="preserve">מאחר שהנאשם החזיק את הסכין על גופו ובהתחשב בסוג הסכין וכן בהתחשב בכך שהנאשם אף החזיק בכלי עישון,  אני קובעת כי מתחם העונש ההולם עבירות אלה הוא בין מאסר בעבודות שירות ועד לשנת מאסר בפועל. </w:t>
      </w:r>
    </w:p>
    <w:p w14:paraId="6E083F1D" w14:textId="77777777" w:rsidR="00B71E32" w:rsidRDefault="00B71E32">
      <w:pPr>
        <w:spacing w:line="360" w:lineRule="auto"/>
        <w:ind w:left="357"/>
        <w:jc w:val="both"/>
        <w:rPr>
          <w:rFonts w:ascii="Arial" w:hAnsi="Arial"/>
          <w:rtl/>
        </w:rPr>
      </w:pPr>
    </w:p>
    <w:p w14:paraId="4D6A29D4" w14:textId="77777777" w:rsidR="00B71E32" w:rsidRDefault="009337B7">
      <w:pPr>
        <w:spacing w:line="360" w:lineRule="auto"/>
        <w:jc w:val="both"/>
        <w:rPr>
          <w:rFonts w:ascii="Arial" w:hAnsi="Arial"/>
          <w:rtl/>
        </w:rPr>
      </w:pPr>
      <w:hyperlink r:id="rId19" w:history="1">
        <w:r w:rsidRPr="009337B7">
          <w:rPr>
            <w:rFonts w:ascii="Arial" w:hAnsi="Arial"/>
            <w:b/>
            <w:bCs/>
            <w:color w:val="0000FF"/>
            <w:sz w:val="26"/>
            <w:szCs w:val="26"/>
            <w:u w:val="single"/>
            <w:rtl/>
          </w:rPr>
          <w:t xml:space="preserve">ת.פ. 1328-09 </w:t>
        </w:r>
      </w:hyperlink>
      <w:r w:rsidR="00074E19">
        <w:rPr>
          <w:rFonts w:ascii="Arial" w:hAnsi="Arial" w:hint="cs"/>
          <w:b/>
          <w:bCs/>
          <w:sz w:val="26"/>
          <w:szCs w:val="26"/>
          <w:u w:val="single"/>
          <w:rtl/>
        </w:rPr>
        <w:t xml:space="preserve"> בית משפט לנוער ירושלים</w:t>
      </w:r>
    </w:p>
    <w:p w14:paraId="7CD3923D" w14:textId="77777777" w:rsidR="00B71E32" w:rsidRDefault="00074E19">
      <w:pPr>
        <w:pStyle w:val="ListParagraph"/>
        <w:numPr>
          <w:ilvl w:val="0"/>
          <w:numId w:val="1"/>
        </w:numPr>
        <w:spacing w:line="360" w:lineRule="auto"/>
        <w:jc w:val="both"/>
        <w:rPr>
          <w:rFonts w:ascii="Arial" w:hAnsi="Arial"/>
          <w:rtl/>
        </w:rPr>
      </w:pPr>
      <w:r>
        <w:rPr>
          <w:rFonts w:ascii="Arial" w:hAnsi="Arial" w:hint="cs"/>
          <w:rtl/>
        </w:rPr>
        <w:t>הנאשם הורשע בהחזקת סמים מסוג חשיש לצריכתו העצמית, ביחד עם חבריו כאשר לעיתים הנאשם הוא זה שהביא את הסם ושיתף בו את חבריו. העבירה בוצעה בין חודש אוגוסט שנת 2008 ועד לינואר שנת 2009. מתחם העונש ההולם עבירה זו הוא בין מאסר מותנה וקנס, לבן מספר חודשי מאסר.</w:t>
      </w:r>
    </w:p>
    <w:p w14:paraId="5B9E2166" w14:textId="77777777" w:rsidR="00B71E32" w:rsidRDefault="00B71E32">
      <w:pPr>
        <w:spacing w:line="360" w:lineRule="auto"/>
        <w:ind w:left="357"/>
        <w:jc w:val="both"/>
        <w:rPr>
          <w:rFonts w:ascii="Arial" w:hAnsi="Arial"/>
          <w:rtl/>
        </w:rPr>
      </w:pPr>
    </w:p>
    <w:p w14:paraId="5C742DFB" w14:textId="77777777" w:rsidR="00B71E32" w:rsidRDefault="007E019A">
      <w:pPr>
        <w:spacing w:line="360" w:lineRule="auto"/>
        <w:jc w:val="both"/>
        <w:rPr>
          <w:rFonts w:ascii="Arial" w:hAnsi="Arial"/>
        </w:rPr>
      </w:pPr>
      <w:hyperlink r:id="rId20" w:history="1">
        <w:r w:rsidRPr="007E019A">
          <w:rPr>
            <w:rStyle w:val="Hyperlink"/>
            <w:rFonts w:ascii="Arial" w:hAnsi="Arial" w:hint="eastAsia"/>
            <w:b/>
            <w:bCs/>
            <w:sz w:val="26"/>
            <w:szCs w:val="26"/>
            <w:rtl/>
          </w:rPr>
          <w:t>ת</w:t>
        </w:r>
        <w:r w:rsidRPr="007E019A">
          <w:rPr>
            <w:rStyle w:val="Hyperlink"/>
            <w:rFonts w:ascii="Arial" w:hAnsi="Arial"/>
            <w:b/>
            <w:bCs/>
            <w:sz w:val="26"/>
            <w:szCs w:val="26"/>
            <w:rtl/>
          </w:rPr>
          <w:t>.פ. 642-08</w:t>
        </w:r>
      </w:hyperlink>
      <w:r w:rsidR="00074E19">
        <w:rPr>
          <w:rFonts w:ascii="Arial" w:hAnsi="Arial" w:hint="cs"/>
          <w:b/>
          <w:bCs/>
          <w:sz w:val="26"/>
          <w:szCs w:val="26"/>
          <w:u w:val="single"/>
          <w:rtl/>
        </w:rPr>
        <w:t xml:space="preserve"> בית משפט לנוער בראשון לציון</w:t>
      </w:r>
    </w:p>
    <w:p w14:paraId="7014CD8C" w14:textId="77777777" w:rsidR="00B71E32" w:rsidRDefault="00074E19">
      <w:pPr>
        <w:pStyle w:val="ListParagraph"/>
        <w:numPr>
          <w:ilvl w:val="0"/>
          <w:numId w:val="1"/>
        </w:numPr>
        <w:spacing w:line="360" w:lineRule="auto"/>
        <w:ind w:left="714" w:hanging="357"/>
        <w:jc w:val="both"/>
        <w:rPr>
          <w:rFonts w:ascii="Arial" w:hAnsi="Arial"/>
        </w:rPr>
      </w:pPr>
      <w:r>
        <w:rPr>
          <w:rFonts w:ascii="Arial" w:hAnsi="Arial" w:hint="cs"/>
          <w:rtl/>
        </w:rPr>
        <w:t>הנאשם הורשע בפציעה בצוותא של קטין. העבירה בוצעה במהלך שנת 2008 וכתוצאה מהתקיפה נגרם לקטין שבר בארובת העין.</w:t>
      </w:r>
    </w:p>
    <w:p w14:paraId="691E6C1E" w14:textId="77777777" w:rsidR="00B71E32" w:rsidRDefault="00074E19">
      <w:pPr>
        <w:spacing w:line="360" w:lineRule="auto"/>
        <w:ind w:left="714"/>
        <w:jc w:val="both"/>
        <w:rPr>
          <w:rFonts w:ascii="Arial" w:hAnsi="Arial"/>
        </w:rPr>
      </w:pPr>
      <w:r>
        <w:rPr>
          <w:rFonts w:ascii="Arial" w:hAnsi="Arial" w:hint="cs"/>
          <w:rtl/>
        </w:rPr>
        <w:t xml:space="preserve">מאחר שמדובר בעבירה שבוצעה בצוותא תוך גרימת נזק חמור לקטין ומאידך מדובר באירוע הדדי, אני קובעת כי מתחם העונש ההולם בעבירה זו, הוא בין מספר חודשי מאסר בעבודות שירות ועד ל - 12 חודשי מאסר בפועל. </w:t>
      </w:r>
    </w:p>
    <w:p w14:paraId="4F26A944" w14:textId="77777777" w:rsidR="00B71E32" w:rsidRDefault="00074E19">
      <w:pPr>
        <w:pStyle w:val="ListParagraph"/>
        <w:numPr>
          <w:ilvl w:val="0"/>
          <w:numId w:val="1"/>
        </w:numPr>
        <w:spacing w:line="360" w:lineRule="auto"/>
        <w:ind w:left="714" w:hanging="357"/>
        <w:jc w:val="both"/>
        <w:rPr>
          <w:rFonts w:ascii="Arial" w:hAnsi="Arial"/>
        </w:rPr>
      </w:pPr>
      <w:r>
        <w:rPr>
          <w:rFonts w:ascii="Arial" w:hAnsi="Arial" w:hint="cs"/>
          <w:rtl/>
        </w:rPr>
        <w:t>מתסקיר שירות המבחן מיום 28.10.12, עולה כי הנאשם הוא יליד 1992, בן למשפחה בת 7 נפשות, המקיימת אורח חיים חרדי. המשפחה מוכרת לשירותי הרווחה על רקע מצוקה כלכלית וקשיים בתפקוד הורי. הנאשם סיים 8 שנות לימוד ולא גויס לצבא.</w:t>
      </w:r>
    </w:p>
    <w:p w14:paraId="193884E6" w14:textId="77777777" w:rsidR="00B71E32" w:rsidRDefault="00074E19">
      <w:pPr>
        <w:spacing w:line="360" w:lineRule="auto"/>
        <w:ind w:left="714"/>
        <w:jc w:val="both"/>
        <w:rPr>
          <w:rFonts w:ascii="Arial" w:hAnsi="Arial"/>
          <w:rtl/>
        </w:rPr>
      </w:pPr>
      <w:r>
        <w:rPr>
          <w:rFonts w:ascii="Arial" w:hAnsi="Arial" w:hint="cs"/>
          <w:rtl/>
        </w:rPr>
        <w:t>מהתסקיר עולה כי הנאשם משתמש בסמים מגיל 14 ובשנה שקדמה למעצרו החל להשתמש  בסמים קשים. בעקבות השימוש בסמים קשים קיים הנאשם אורח חיים הסובב סביב השימוש בסמים, שכר דירה עם חבריו וביצע עבירות רכוש כדי לממן אורח חיים זה.</w:t>
      </w:r>
    </w:p>
    <w:p w14:paraId="284F3450" w14:textId="77777777" w:rsidR="00B71E32" w:rsidRDefault="00074E19">
      <w:pPr>
        <w:spacing w:line="360" w:lineRule="auto"/>
        <w:ind w:left="714"/>
        <w:jc w:val="both"/>
        <w:rPr>
          <w:rFonts w:ascii="Arial" w:hAnsi="Arial"/>
          <w:rtl/>
        </w:rPr>
      </w:pPr>
      <w:r>
        <w:rPr>
          <w:rFonts w:ascii="Arial" w:hAnsi="Arial" w:hint="cs"/>
          <w:rtl/>
        </w:rPr>
        <w:t>עוד עולה מהתסקיר כי הנאשם במסגרת תיק המעצר ניסה להשתלב בהליך גמילה מסמים ב"מלכישוע", אולם בעת שחזר מראיון שבחן את השתלבותו במקום, הפר הנאשם את האמון שניתן בו, לא חזר מיד לבית המעצר ובשל כך נעצר עד לתום ההליכים.</w:t>
      </w:r>
    </w:p>
    <w:p w14:paraId="0196A2DB" w14:textId="77777777" w:rsidR="00B71E32" w:rsidRDefault="00074E19">
      <w:pPr>
        <w:spacing w:line="360" w:lineRule="auto"/>
        <w:ind w:left="714"/>
        <w:jc w:val="both"/>
        <w:rPr>
          <w:rFonts w:ascii="Arial" w:hAnsi="Arial"/>
          <w:rtl/>
        </w:rPr>
      </w:pPr>
      <w:r>
        <w:rPr>
          <w:rFonts w:ascii="Arial" w:hAnsi="Arial" w:hint="cs"/>
          <w:rtl/>
        </w:rPr>
        <w:t>שירות המבחן התרשם כי הנאשם לא מבין לעומק את חומרת מצבו ולא בא בהמלצה טיפולית בעניינו.</w:t>
      </w:r>
    </w:p>
    <w:p w14:paraId="0AF24B1B" w14:textId="77777777" w:rsidR="00B71E32" w:rsidRDefault="00074E19">
      <w:pPr>
        <w:pStyle w:val="ListParagraph"/>
        <w:numPr>
          <w:ilvl w:val="0"/>
          <w:numId w:val="1"/>
        </w:numPr>
        <w:spacing w:line="360" w:lineRule="auto"/>
        <w:jc w:val="both"/>
        <w:rPr>
          <w:rFonts w:ascii="Arial" w:hAnsi="Arial"/>
        </w:rPr>
      </w:pPr>
      <w:r>
        <w:rPr>
          <w:rFonts w:ascii="Arial" w:hAnsi="Arial" w:hint="cs"/>
          <w:rtl/>
        </w:rPr>
        <w:t>בתסקיר שירות המבחן מיום 21.11.12, התרשם קצין המבחן מכך שהנאשם סבל ממשבר נעורים ומקושי לעמוד באורח חיים דתי. בעקבות כך, נפלט ממסגרת הלימודים, חבר לדמויות מכשילות ובהמשך ביצע עבירות כחלק מאורח החיים שסיגל לעצמו. עוד עולה מהתסקיר כי נסיבות ילדותו של הנאשם היו קשות.</w:t>
      </w:r>
    </w:p>
    <w:p w14:paraId="0C381059" w14:textId="77777777" w:rsidR="00B71E32" w:rsidRDefault="00074E19">
      <w:pPr>
        <w:spacing w:line="360" w:lineRule="auto"/>
        <w:ind w:left="720"/>
        <w:jc w:val="both"/>
        <w:rPr>
          <w:rFonts w:ascii="Arial" w:hAnsi="Arial"/>
          <w:rtl/>
        </w:rPr>
      </w:pPr>
      <w:r>
        <w:rPr>
          <w:rFonts w:ascii="Arial" w:hAnsi="Arial" w:hint="cs"/>
          <w:rtl/>
        </w:rPr>
        <w:t>קצין המבחן ציין כי הנאשם ער כיום לעומק ההידרדרו</w:t>
      </w:r>
      <w:r>
        <w:rPr>
          <w:rFonts w:ascii="Arial" w:hAnsi="Arial" w:hint="eastAsia"/>
          <w:rtl/>
        </w:rPr>
        <w:t>ת</w:t>
      </w:r>
      <w:r>
        <w:rPr>
          <w:rFonts w:ascii="Arial" w:hAnsi="Arial" w:hint="cs"/>
          <w:rtl/>
        </w:rPr>
        <w:t xml:space="preserve"> בה היה נתון והנאשם נכון לשאת את המחיר על מעשיו.</w:t>
      </w:r>
    </w:p>
    <w:p w14:paraId="5DD7D486" w14:textId="77777777" w:rsidR="00B71E32" w:rsidRDefault="00074E19">
      <w:pPr>
        <w:spacing w:line="360" w:lineRule="auto"/>
        <w:ind w:left="720"/>
        <w:jc w:val="both"/>
        <w:rPr>
          <w:rFonts w:ascii="Arial" w:hAnsi="Arial"/>
          <w:rtl/>
        </w:rPr>
      </w:pPr>
      <w:r>
        <w:rPr>
          <w:rFonts w:ascii="Arial" w:hAnsi="Arial" w:hint="cs"/>
          <w:rtl/>
        </w:rPr>
        <w:t>גם בתסקיר זה שירות מבחן לא בא בהמלצה טיפולית בעניינו של הנאשם.</w:t>
      </w:r>
    </w:p>
    <w:p w14:paraId="3C0104FD" w14:textId="77777777" w:rsidR="00B71E32" w:rsidRDefault="00074E19">
      <w:pPr>
        <w:pStyle w:val="ListParagraph"/>
        <w:numPr>
          <w:ilvl w:val="0"/>
          <w:numId w:val="1"/>
        </w:numPr>
        <w:spacing w:line="360" w:lineRule="auto"/>
        <w:jc w:val="both"/>
        <w:rPr>
          <w:rFonts w:ascii="Arial" w:hAnsi="Arial"/>
        </w:rPr>
      </w:pPr>
      <w:r>
        <w:rPr>
          <w:rFonts w:ascii="Arial" w:hAnsi="Arial" w:hint="cs"/>
          <w:rtl/>
        </w:rPr>
        <w:t>ב"כ המאשימה סבר כי מתחם העונש הכולל הוא בין 4 ל - 7 שנים וביקש להטיל על הנאשם עונש של 5 שנות מאסר על תנאי, פסילה מלקבל רישיו</w:t>
      </w:r>
      <w:r>
        <w:rPr>
          <w:rFonts w:ascii="Arial" w:hAnsi="Arial" w:hint="eastAsia"/>
          <w:rtl/>
        </w:rPr>
        <w:t>ן</w:t>
      </w:r>
      <w:r>
        <w:rPr>
          <w:rFonts w:ascii="Arial" w:hAnsi="Arial" w:hint="cs"/>
          <w:rtl/>
        </w:rPr>
        <w:t xml:space="preserve"> נהיגה ופסילה על תנאי, בהדגישו את ריבוי העבירות וחומרתן.</w:t>
      </w:r>
    </w:p>
    <w:p w14:paraId="0E293A13" w14:textId="77777777" w:rsidR="00B71E32" w:rsidRDefault="00074E19">
      <w:pPr>
        <w:pStyle w:val="ListParagraph"/>
        <w:numPr>
          <w:ilvl w:val="0"/>
          <w:numId w:val="1"/>
        </w:numPr>
        <w:spacing w:line="360" w:lineRule="auto"/>
        <w:jc w:val="both"/>
        <w:rPr>
          <w:rFonts w:ascii="Arial" w:hAnsi="Arial"/>
        </w:rPr>
      </w:pPr>
      <w:r>
        <w:rPr>
          <w:rFonts w:ascii="Arial" w:hAnsi="Arial" w:hint="cs"/>
          <w:rtl/>
        </w:rPr>
        <w:t>ב"כ הנאשם ציינו כי הנאשם החליט "לנקות שולחן", צרף את כל תיקיו, לקח אחריות מלאה על מעשיו וחסך זמן שיפוטי משמעותי. עוד ציינו ב"כ הנאשם כי מרבית העבירות בוצעו כאשר הנאשם היה קטין ולכן יש לנהוג בעבירות אלה על פי הענישה המקובלת בבית המשפט לנוער. ב"כ הנאשם סברה כי מתחם העונש הכולל הוא בין 6 חודשי עבודות שירות ועד ל - 20 חודשי מאסר. ב"כ הנאשם טענו כי יש לזקוף לזכותו של הנאשם שהשיב את האקדח וגילה למשטרה את המקום בו הוא הוסתר וזאת ללא קבלת טובת הנאה לעצמו.</w:t>
      </w:r>
    </w:p>
    <w:p w14:paraId="5EA5AE69" w14:textId="77777777" w:rsidR="00B71E32" w:rsidRDefault="00074E19">
      <w:pPr>
        <w:spacing w:line="360" w:lineRule="auto"/>
        <w:ind w:left="720"/>
        <w:jc w:val="both"/>
        <w:rPr>
          <w:rFonts w:ascii="Arial" w:hAnsi="Arial"/>
          <w:rtl/>
        </w:rPr>
      </w:pPr>
      <w:r>
        <w:rPr>
          <w:rFonts w:ascii="Arial" w:hAnsi="Arial" w:hint="cs"/>
          <w:rtl/>
        </w:rPr>
        <w:t>עוד הדגישו ב"כ את גילו הצעיר, את נסיבות חייו הקשות וכן את העובדה שהנאשם יושב בתנאי מעצר קשים מאחר שלא חזר למעצרו לאחר סיום ראיון הקבלה במלכישוע.</w:t>
      </w:r>
    </w:p>
    <w:p w14:paraId="1520E53D" w14:textId="77777777" w:rsidR="00B71E32" w:rsidRDefault="00074E19">
      <w:pPr>
        <w:spacing w:line="360" w:lineRule="auto"/>
        <w:ind w:left="720"/>
        <w:jc w:val="both"/>
        <w:rPr>
          <w:rFonts w:ascii="Arial" w:hAnsi="Arial"/>
          <w:rtl/>
        </w:rPr>
      </w:pPr>
      <w:r>
        <w:rPr>
          <w:rFonts w:ascii="Arial" w:hAnsi="Arial" w:hint="cs"/>
          <w:rtl/>
        </w:rPr>
        <w:t xml:space="preserve">אשר לעבירת האלימות אותה ביצע הנאשם כקטין, ציין ב"כ הנאשם כי העבירה בוצעה לפני כ - 5 שנים, כתב באישום תוקן וממנו עולה כי האירוע היה הדדי, ושותפו של הנאשם נדון בשל עבירה זו למאסר מותנה, קנס בסך 500 ₪ ופיצוי בסך 1500 ₪. </w:t>
      </w:r>
    </w:p>
    <w:p w14:paraId="2A0708A3" w14:textId="77777777" w:rsidR="00B71E32" w:rsidRDefault="00074E19">
      <w:pPr>
        <w:spacing w:line="360" w:lineRule="auto"/>
        <w:ind w:left="720"/>
        <w:jc w:val="both"/>
        <w:rPr>
          <w:rFonts w:ascii="Arial" w:hAnsi="Arial"/>
          <w:rtl/>
        </w:rPr>
      </w:pPr>
      <w:r>
        <w:rPr>
          <w:rFonts w:ascii="Arial" w:hAnsi="Arial" w:hint="cs"/>
          <w:rtl/>
        </w:rPr>
        <w:t xml:space="preserve">עוד ציין ב"כ הנאשם כי הנאשם מיוזמתו חזר לבית הוריו וניסה לשנות את אורח חייו עוד טרם מעצרו.  </w:t>
      </w:r>
    </w:p>
    <w:p w14:paraId="6AE326E2" w14:textId="77777777" w:rsidR="00B71E32" w:rsidRDefault="00074E19">
      <w:pPr>
        <w:pStyle w:val="ListParagraph"/>
        <w:numPr>
          <w:ilvl w:val="0"/>
          <w:numId w:val="1"/>
        </w:numPr>
        <w:spacing w:line="360" w:lineRule="auto"/>
        <w:jc w:val="both"/>
        <w:rPr>
          <w:rFonts w:ascii="Arial" w:hAnsi="Arial"/>
        </w:rPr>
      </w:pPr>
      <w:r>
        <w:rPr>
          <w:rFonts w:ascii="Arial" w:hAnsi="Arial" w:hint="cs"/>
          <w:rtl/>
        </w:rPr>
        <w:t>אביו של הנאשם ביקש להתחשב בבנו, מאחר שהתדרדרות</w:t>
      </w:r>
      <w:r>
        <w:rPr>
          <w:rFonts w:ascii="Arial" w:hAnsi="Arial" w:hint="eastAsia"/>
          <w:rtl/>
        </w:rPr>
        <w:t>ו</w:t>
      </w:r>
      <w:r>
        <w:rPr>
          <w:rFonts w:ascii="Arial" w:hAnsi="Arial" w:hint="cs"/>
          <w:rtl/>
        </w:rPr>
        <w:t xml:space="preserve"> נבעה מכך שלמד בפנימיות והתחבר לחברה שולית. אביו ציין כי הנאשם חזר מיוזמתו לבית הוריו, התוודה לפניו על העבירות אותם ביצע ורצה לשלם את המחיר על כך. אביו טען כי ניתן ללמוד על רצינות כוונותיו של הנאשם מכך שהחזיר את הנשק ורצה להיעצר. לטעמו, לאחר שחרורו הנאשם ישוב לאורח חיים נורמטיבי. עוד הדגיש את חרטתו הכנה של הנאשם על מעשיו. </w:t>
      </w:r>
    </w:p>
    <w:p w14:paraId="2757ABDB" w14:textId="77777777" w:rsidR="00B71E32" w:rsidRDefault="00074E19">
      <w:pPr>
        <w:spacing w:line="360" w:lineRule="auto"/>
        <w:ind w:left="720"/>
        <w:jc w:val="both"/>
        <w:rPr>
          <w:rFonts w:ascii="Arial" w:hAnsi="Arial"/>
          <w:rtl/>
        </w:rPr>
      </w:pPr>
      <w:r>
        <w:rPr>
          <w:rFonts w:ascii="Arial" w:hAnsi="Arial" w:hint="cs"/>
          <w:rtl/>
        </w:rPr>
        <w:t xml:space="preserve">בעניין דבריו של אביו של הנאשם יש לפנות לדברי קצינת המבחן בתסקיר מיום 28.10.12 על הקשר של הנאשם עם הוריו ועל היכולת של הנאשם להישען ולהיעזר בבני משפחתו. (ר' שם בעמוד 4 פסקה 2). </w:t>
      </w:r>
    </w:p>
    <w:p w14:paraId="6968BEDB" w14:textId="77777777" w:rsidR="00B71E32" w:rsidRDefault="00074E19">
      <w:pPr>
        <w:pStyle w:val="ListParagraph"/>
        <w:numPr>
          <w:ilvl w:val="0"/>
          <w:numId w:val="1"/>
        </w:numPr>
        <w:spacing w:line="360" w:lineRule="auto"/>
        <w:jc w:val="both"/>
        <w:rPr>
          <w:rFonts w:ascii="Arial" w:hAnsi="Arial"/>
        </w:rPr>
      </w:pPr>
      <w:r>
        <w:rPr>
          <w:rFonts w:ascii="Arial" w:hAnsi="Arial" w:hint="cs"/>
          <w:rtl/>
        </w:rPr>
        <w:t>הנאשם מסר כי לראשונה מאז גיל 14, בזמן תקופת מעצרו, הוא נקי מסמים. הנאשם טען כי טרם מאסרו השתמש באופן יום יומי בסמים אשר גרמו לו להרס עצמי. הנאשם אף ציין כי גרם סבל לו ולאחרים. הנאשם הביעה חרטה כנה על מעשיו והבטיח כי לא ישוב לדרך זו שכן בכוונתו לשקם את עצמו.</w:t>
      </w:r>
    </w:p>
    <w:p w14:paraId="726ED0A4" w14:textId="77777777" w:rsidR="00B71E32" w:rsidRDefault="00B71E32">
      <w:pPr>
        <w:pStyle w:val="ListParagraph"/>
        <w:spacing w:line="360" w:lineRule="auto"/>
        <w:ind w:left="643"/>
        <w:jc w:val="both"/>
        <w:rPr>
          <w:rFonts w:ascii="Arial" w:hAnsi="Arial"/>
        </w:rPr>
      </w:pPr>
    </w:p>
    <w:p w14:paraId="204711CD" w14:textId="77777777" w:rsidR="00B71E32" w:rsidRDefault="00074E19">
      <w:pPr>
        <w:spacing w:line="360" w:lineRule="auto"/>
        <w:jc w:val="both"/>
        <w:rPr>
          <w:rFonts w:ascii="Arial" w:hAnsi="Arial"/>
          <w:b/>
          <w:bCs/>
          <w:sz w:val="26"/>
          <w:szCs w:val="26"/>
          <w:u w:val="single"/>
          <w:rtl/>
        </w:rPr>
      </w:pPr>
      <w:r>
        <w:rPr>
          <w:rFonts w:ascii="Arial" w:hAnsi="Arial" w:hint="cs"/>
          <w:b/>
          <w:bCs/>
          <w:sz w:val="26"/>
          <w:szCs w:val="26"/>
          <w:u w:val="single"/>
          <w:rtl/>
        </w:rPr>
        <w:t>העונש המתאים</w:t>
      </w:r>
    </w:p>
    <w:p w14:paraId="6182A071" w14:textId="77777777" w:rsidR="00B71E32" w:rsidRDefault="009337B7">
      <w:pPr>
        <w:pStyle w:val="ListParagraph"/>
        <w:numPr>
          <w:ilvl w:val="0"/>
          <w:numId w:val="1"/>
        </w:numPr>
        <w:spacing w:line="360" w:lineRule="auto"/>
        <w:jc w:val="both"/>
        <w:rPr>
          <w:rFonts w:ascii="Arial" w:hAnsi="Arial"/>
        </w:rPr>
      </w:pPr>
      <w:r>
        <w:rPr>
          <w:rFonts w:ascii="Arial" w:hAnsi="Arial" w:hint="cs"/>
          <w:rtl/>
        </w:rPr>
        <w:t xml:space="preserve">בהתאם לסעיף </w:t>
      </w:r>
      <w:hyperlink r:id="rId21" w:history="1">
        <w:r w:rsidRPr="009337B7">
          <w:rPr>
            <w:rStyle w:val="Hyperlink"/>
            <w:rFonts w:ascii="Arial" w:hAnsi="Arial"/>
            <w:rtl/>
          </w:rPr>
          <w:t>40יג(ב)</w:t>
        </w:r>
      </w:hyperlink>
      <w:r w:rsidR="00074E19">
        <w:rPr>
          <w:rFonts w:ascii="Arial" w:hAnsi="Arial" w:hint="cs"/>
          <w:rtl/>
        </w:rPr>
        <w:t xml:space="preserve"> לחוק, החלטתי להטיל על הנאשם עונש כולל לכל האירועים. יצוין כי פרט לתיק העיקרי ולפ.א. 199298-11, כל יתר העבירות בוצעו שעה שהנאשם היה קטין ועל כן העונש המתאים בתיקים אלה צריך להיגזר על פי אמות המידה  הקבועות בבית המש</w:t>
      </w:r>
      <w:r>
        <w:rPr>
          <w:rFonts w:ascii="Arial" w:hAnsi="Arial" w:hint="cs"/>
          <w:rtl/>
        </w:rPr>
        <w:t xml:space="preserve">פט לנוער. כמו כן בהתאם לסעיף </w:t>
      </w:r>
      <w:hyperlink r:id="rId22" w:history="1">
        <w:r w:rsidRPr="009337B7">
          <w:rPr>
            <w:rFonts w:ascii="Arial" w:hAnsi="Arial"/>
            <w:color w:val="0000FF"/>
            <w:u w:val="single"/>
            <w:rtl/>
          </w:rPr>
          <w:t>40טו</w:t>
        </w:r>
      </w:hyperlink>
      <w:r w:rsidR="00074E19">
        <w:rPr>
          <w:rFonts w:ascii="Arial" w:hAnsi="Arial" w:hint="cs"/>
          <w:rtl/>
        </w:rPr>
        <w:t xml:space="preserve"> לחוק , לא חל תיקון 113 בקשר לעבירות אלה. אולם בית המשפט רשאי להתחשב בעקרונות ובשיקולים המנחים בענישה כפי שנקבעו בתיקון 113, תוך התאמתם לענישת קטין.</w:t>
      </w:r>
    </w:p>
    <w:p w14:paraId="6B51E704" w14:textId="77777777" w:rsidR="00B71E32" w:rsidRDefault="00074E19">
      <w:pPr>
        <w:spacing w:line="360" w:lineRule="auto"/>
        <w:ind w:left="643"/>
        <w:jc w:val="both"/>
        <w:rPr>
          <w:rFonts w:ascii="Arial" w:hAnsi="Arial"/>
          <w:rtl/>
        </w:rPr>
      </w:pPr>
      <w:r>
        <w:rPr>
          <w:rFonts w:ascii="Arial" w:hAnsi="Arial" w:hint="cs"/>
          <w:rtl/>
        </w:rPr>
        <w:t>בנוסף לכך, בקשר לעבירות אלה יש להתחשב בחלוף הזמן ממועד ביצוע העבירות ובעבירה אשר בוצעה ב</w:t>
      </w:r>
      <w:hyperlink r:id="rId23" w:history="1">
        <w:r w:rsidR="007E019A" w:rsidRPr="007E019A">
          <w:rPr>
            <w:rStyle w:val="Hyperlink"/>
            <w:rFonts w:ascii="Arial" w:hAnsi="Arial" w:hint="eastAsia"/>
            <w:rtl/>
          </w:rPr>
          <w:t>ת</w:t>
        </w:r>
        <w:r w:rsidR="007E019A" w:rsidRPr="007E019A">
          <w:rPr>
            <w:rStyle w:val="Hyperlink"/>
            <w:rFonts w:ascii="Arial" w:hAnsi="Arial"/>
            <w:rtl/>
          </w:rPr>
          <w:t>.פ. 642-08</w:t>
        </w:r>
      </w:hyperlink>
      <w:r>
        <w:rPr>
          <w:rFonts w:ascii="Arial" w:hAnsi="Arial" w:hint="cs"/>
          <w:rtl/>
        </w:rPr>
        <w:t>, אף יש להתחשב בשיקול של שוויון בענישה לנוכח העונש המקל אשר נגזר על שותפו של הנאשם שהיה מבוגר ממנו, וכן בכך שהעבירה בוצעה כאשר הנאשם היה בן 15 וזוהי מעידתו היחידה בתחום האלימות.</w:t>
      </w:r>
    </w:p>
    <w:p w14:paraId="401867BC" w14:textId="77777777" w:rsidR="00B71E32" w:rsidRDefault="00074E19">
      <w:pPr>
        <w:spacing w:line="360" w:lineRule="auto"/>
        <w:ind w:left="643"/>
        <w:jc w:val="both"/>
        <w:rPr>
          <w:rFonts w:ascii="Arial" w:hAnsi="Arial"/>
        </w:rPr>
      </w:pPr>
      <w:r>
        <w:rPr>
          <w:rFonts w:ascii="Arial" w:hAnsi="Arial" w:hint="cs"/>
          <w:rtl/>
        </w:rPr>
        <w:t xml:space="preserve">בשל עבירות אלה, אשר הנאשם צרף לפני מבית המשפט לנוער, אני קובעת כי העונש המתאים הוא מספר חודשי מאסר, ולו היה הנאשם ממשיך בדרך של שיקום ולא מבצע את העבירות כבגיר, ניתן היה לגזור עליו את ריצוי המאסר בדרך של עבודות שירות. </w:t>
      </w:r>
    </w:p>
    <w:p w14:paraId="035064B4" w14:textId="77777777" w:rsidR="00B71E32" w:rsidRDefault="00074E19">
      <w:pPr>
        <w:pStyle w:val="ListParagraph"/>
        <w:numPr>
          <w:ilvl w:val="0"/>
          <w:numId w:val="1"/>
        </w:numPr>
        <w:spacing w:line="360" w:lineRule="auto"/>
        <w:jc w:val="both"/>
        <w:rPr>
          <w:rFonts w:ascii="Arial" w:hAnsi="Arial"/>
        </w:rPr>
      </w:pPr>
      <w:r>
        <w:rPr>
          <w:rFonts w:ascii="Arial" w:hAnsi="Arial" w:hint="cs"/>
          <w:rtl/>
        </w:rPr>
        <w:t xml:space="preserve">אשר לעבירות אותן ביצע הנאשם כבגיר, בבואי לגזור את דינו אשקול לחומרה את נסיבות ביצוע העבירות ריבוין וחומרתן. כמו כן, אשקול לחומרה כי העבירות אשר בוצעו בשנה האחרונה הן עבירות רכוש חמורות אשר הנאשם ביצע אותן כבגיר בן 20 ובוצעו שעה שהתקיימו כנגדו מספר הליכים בבית משפט לנוער, כך שהנאשם הראה במעשיו כי הליכים בבית המשפט לא הרתיעהו מלשוב ולבצע עבירות. </w:t>
      </w:r>
    </w:p>
    <w:p w14:paraId="3E33F2DB" w14:textId="77777777" w:rsidR="00B71E32" w:rsidRDefault="00074E19">
      <w:pPr>
        <w:pStyle w:val="ListParagraph"/>
        <w:spacing w:line="360" w:lineRule="auto"/>
        <w:ind w:left="643"/>
        <w:jc w:val="both"/>
        <w:rPr>
          <w:rFonts w:ascii="Arial" w:hAnsi="Arial"/>
        </w:rPr>
      </w:pPr>
      <w:r>
        <w:rPr>
          <w:rFonts w:ascii="Arial" w:hAnsi="Arial" w:hint="cs"/>
          <w:rtl/>
        </w:rPr>
        <w:t xml:space="preserve">הנאשם לא רק שלא נעזר בשירות המבחן כדי להשתקם למרות שהופנה לכך על ידי בית המשפט לנוער, אלא להיפך הידרדר מטה מטה והמשיך לעבור עבירות מהחמורות שנידונות בבית המשפט השלום. </w:t>
      </w:r>
    </w:p>
    <w:p w14:paraId="69F88E81" w14:textId="77777777" w:rsidR="00B71E32" w:rsidRDefault="00074E19">
      <w:pPr>
        <w:pStyle w:val="ListParagraph"/>
        <w:spacing w:line="360" w:lineRule="auto"/>
        <w:ind w:left="643"/>
        <w:jc w:val="both"/>
        <w:rPr>
          <w:rFonts w:ascii="Arial" w:hAnsi="Arial"/>
          <w:rtl/>
        </w:rPr>
      </w:pPr>
      <w:r>
        <w:rPr>
          <w:rFonts w:ascii="Arial" w:hAnsi="Arial" w:hint="cs"/>
          <w:rtl/>
        </w:rPr>
        <w:t xml:space="preserve">עוד אציין כי שירות המבחן לא בא בהמלצה טיפולית בעניינו של הנאשם ופרט לדברי הנאשם כי הפסיק לצרוך סמים, אין כל ערובה כי אכן כך הדבר, וכי יצליח להתמיד בכך לאורך זמן ובעקבות כך יפסיק לבצע עבירות לצורך מימון הסם. </w:t>
      </w:r>
    </w:p>
    <w:p w14:paraId="7F7FDEA0" w14:textId="77777777" w:rsidR="00B71E32" w:rsidRDefault="00074E19">
      <w:pPr>
        <w:pStyle w:val="ListParagraph"/>
        <w:spacing w:line="360" w:lineRule="auto"/>
        <w:ind w:left="643"/>
        <w:jc w:val="both"/>
        <w:rPr>
          <w:rFonts w:ascii="Arial" w:hAnsi="Arial"/>
          <w:rtl/>
        </w:rPr>
      </w:pPr>
      <w:r>
        <w:rPr>
          <w:rFonts w:ascii="Arial" w:hAnsi="Arial" w:hint="cs"/>
          <w:rtl/>
        </w:rPr>
        <w:t>בעבירות מסוג זה, כאשר המניע לביצוען הוא מימון התמכרות לסמים, יש גם לתת דגש על הצורך להגן על הציבור מפני הנאשם ובהיעדר תוכנית שיקומית בעניינו ולנוכח רצף הפעילות העבריינית של הנאשם יש חשש של ממש שהנאשם יחזור לבצע עבירות.</w:t>
      </w:r>
    </w:p>
    <w:p w14:paraId="678C9250" w14:textId="77777777" w:rsidR="00B71E32" w:rsidRDefault="00074E19">
      <w:pPr>
        <w:pStyle w:val="ListParagraph"/>
        <w:spacing w:line="360" w:lineRule="auto"/>
        <w:ind w:left="643"/>
        <w:jc w:val="both"/>
        <w:rPr>
          <w:rFonts w:ascii="Arial" w:hAnsi="Arial"/>
          <w:rtl/>
        </w:rPr>
      </w:pPr>
      <w:r>
        <w:rPr>
          <w:rFonts w:ascii="Arial" w:hAnsi="Arial" w:hint="cs"/>
          <w:rtl/>
        </w:rPr>
        <w:t xml:space="preserve"> כמו כן, יש לתת דגש על הצורך בהרתעת הרבים מפני ביצוע עבירות מסוג זה שביצע הנאשם.</w:t>
      </w:r>
    </w:p>
    <w:p w14:paraId="16D60060" w14:textId="77777777" w:rsidR="00B71E32" w:rsidRDefault="00074E19">
      <w:pPr>
        <w:pStyle w:val="ListParagraph"/>
        <w:numPr>
          <w:ilvl w:val="0"/>
          <w:numId w:val="1"/>
        </w:numPr>
        <w:spacing w:line="360" w:lineRule="auto"/>
        <w:jc w:val="both"/>
        <w:rPr>
          <w:rFonts w:ascii="Arial" w:hAnsi="Arial"/>
        </w:rPr>
      </w:pPr>
      <w:r>
        <w:rPr>
          <w:rFonts w:ascii="Arial" w:hAnsi="Arial" w:hint="cs"/>
          <w:rtl/>
        </w:rPr>
        <w:t>מנגד, יש לזקוף לקולא את לקיחת האחריות המלאה של הנאשם, את הבעת החרטה הכנה ואת שיתוף הפעולה של הנאשם עם כוחות המשטרה אשר הובילו להשבת הנשק, את נסיבות חייו הקשות של הנאשם המפורטות בתסקירים ואת רצונו של הנאשם להשתקם ולפתוח דף חדש.</w:t>
      </w:r>
    </w:p>
    <w:p w14:paraId="2AD91946" w14:textId="77777777" w:rsidR="00B71E32" w:rsidRDefault="00B71E32">
      <w:pPr>
        <w:spacing w:line="360" w:lineRule="auto"/>
        <w:jc w:val="both"/>
        <w:rPr>
          <w:rFonts w:ascii="Arial" w:hAnsi="Arial"/>
          <w:b/>
          <w:bCs/>
          <w:sz w:val="26"/>
          <w:szCs w:val="26"/>
          <w:u w:val="single"/>
          <w:rtl/>
        </w:rPr>
      </w:pPr>
    </w:p>
    <w:p w14:paraId="65AB6752" w14:textId="77777777" w:rsidR="00B71E32" w:rsidRDefault="00074E19">
      <w:pPr>
        <w:spacing w:line="360" w:lineRule="auto"/>
        <w:jc w:val="both"/>
        <w:rPr>
          <w:rFonts w:ascii="Arial" w:hAnsi="Arial"/>
          <w:b/>
          <w:bCs/>
          <w:sz w:val="26"/>
          <w:szCs w:val="26"/>
          <w:u w:val="single"/>
        </w:rPr>
      </w:pPr>
      <w:r>
        <w:rPr>
          <w:rFonts w:ascii="Arial" w:hAnsi="Arial" w:hint="cs"/>
          <w:b/>
          <w:bCs/>
          <w:sz w:val="26"/>
          <w:szCs w:val="26"/>
          <w:u w:val="single"/>
          <w:rtl/>
        </w:rPr>
        <w:t>העונש הכולל</w:t>
      </w:r>
    </w:p>
    <w:p w14:paraId="7BA7AD45" w14:textId="77777777" w:rsidR="00B71E32" w:rsidRDefault="00074E19">
      <w:pPr>
        <w:pStyle w:val="ListParagraph"/>
        <w:numPr>
          <w:ilvl w:val="0"/>
          <w:numId w:val="1"/>
        </w:numPr>
        <w:spacing w:line="360" w:lineRule="auto"/>
        <w:jc w:val="both"/>
        <w:rPr>
          <w:rFonts w:ascii="Arial" w:hAnsi="Arial"/>
        </w:rPr>
      </w:pPr>
      <w:r>
        <w:rPr>
          <w:rFonts w:ascii="Arial" w:hAnsi="Arial" w:hint="cs"/>
          <w:rtl/>
        </w:rPr>
        <w:t xml:space="preserve">הנאשם צעיר לימים וזהו מאסרו הראשון וזו היא הרשעתו הראשונה בפלילים, בהתחשב בכך החלטתי שלא למצות עמו את הדין. לפיכך, כאשר אני שוקלת את הנסיבות לחומרה ולקולא החלטתי להטיל עליו בגין כל העבירות אשר ביצע הן כקטין והן כבגיר, את העונשים כדלקמן: </w:t>
      </w:r>
    </w:p>
    <w:p w14:paraId="6AAF3343" w14:textId="77777777" w:rsidR="00B71E32" w:rsidRDefault="00074E19">
      <w:pPr>
        <w:pStyle w:val="ListParagraph"/>
        <w:numPr>
          <w:ilvl w:val="1"/>
          <w:numId w:val="1"/>
        </w:numPr>
        <w:spacing w:line="360" w:lineRule="auto"/>
        <w:jc w:val="both"/>
        <w:rPr>
          <w:rFonts w:ascii="Arial" w:hAnsi="Arial"/>
        </w:rPr>
      </w:pPr>
      <w:r>
        <w:rPr>
          <w:rFonts w:ascii="Arial" w:hAnsi="Arial" w:hint="cs"/>
          <w:rtl/>
        </w:rPr>
        <w:t>30 חודשי מאסר מיום מעצרו 28.4.12.</w:t>
      </w:r>
    </w:p>
    <w:p w14:paraId="5E4E93A3" w14:textId="77777777" w:rsidR="00B71E32" w:rsidRDefault="00B71E32">
      <w:pPr>
        <w:pStyle w:val="ListParagraph"/>
        <w:spacing w:line="360" w:lineRule="auto"/>
        <w:ind w:left="1440"/>
        <w:jc w:val="both"/>
        <w:rPr>
          <w:rFonts w:ascii="Arial" w:hAnsi="Arial"/>
        </w:rPr>
      </w:pPr>
      <w:bookmarkStart w:id="8" w:name="_GoBack"/>
    </w:p>
    <w:bookmarkEnd w:id="8"/>
    <w:p w14:paraId="0782CF8D" w14:textId="77777777" w:rsidR="00B71E32" w:rsidRDefault="00074E19">
      <w:pPr>
        <w:pStyle w:val="ListParagraph"/>
        <w:numPr>
          <w:ilvl w:val="1"/>
          <w:numId w:val="1"/>
        </w:numPr>
        <w:spacing w:line="360" w:lineRule="auto"/>
        <w:jc w:val="both"/>
        <w:rPr>
          <w:rFonts w:ascii="Arial" w:hAnsi="Arial"/>
        </w:rPr>
      </w:pPr>
      <w:r>
        <w:rPr>
          <w:rFonts w:ascii="Arial" w:hAnsi="Arial" w:hint="cs"/>
          <w:rtl/>
        </w:rPr>
        <w:t>12 חודשי מאסר. הנאשם לא ירצה עונש זה אלא אם יעבור בתוך שנתיים מיום שחרורו על כל עבירת רכוש מסוג פשע או על כל עבירת סמים מסוג פשע.</w:t>
      </w:r>
    </w:p>
    <w:p w14:paraId="406106F3" w14:textId="77777777" w:rsidR="00B71E32" w:rsidRDefault="00B71E32">
      <w:pPr>
        <w:pStyle w:val="ListParagraph"/>
        <w:spacing w:line="360" w:lineRule="auto"/>
        <w:ind w:left="1440"/>
        <w:jc w:val="both"/>
        <w:rPr>
          <w:rFonts w:ascii="Arial" w:hAnsi="Arial"/>
        </w:rPr>
      </w:pPr>
    </w:p>
    <w:p w14:paraId="655470FE" w14:textId="77777777" w:rsidR="00B71E32" w:rsidRDefault="00074E19">
      <w:pPr>
        <w:pStyle w:val="ListParagraph"/>
        <w:numPr>
          <w:ilvl w:val="1"/>
          <w:numId w:val="1"/>
        </w:numPr>
        <w:spacing w:line="360" w:lineRule="auto"/>
        <w:jc w:val="both"/>
        <w:rPr>
          <w:rFonts w:ascii="Arial" w:hAnsi="Arial"/>
        </w:rPr>
      </w:pPr>
      <w:r>
        <w:rPr>
          <w:rFonts w:ascii="Arial" w:hAnsi="Arial" w:hint="cs"/>
          <w:rtl/>
        </w:rPr>
        <w:t xml:space="preserve">8 חודשי מאסר. הנאשם לא ירצה עונש זה אלא אם יעבור בתוך שנתיים מיום שחרורו על כל עבירת אלימות מסוג פשע או עבירה לפי </w:t>
      </w:r>
      <w:hyperlink r:id="rId24" w:history="1">
        <w:r w:rsidR="009337B7" w:rsidRPr="009337B7">
          <w:rPr>
            <w:rFonts w:ascii="Arial" w:hAnsi="Arial"/>
            <w:color w:val="0000FF"/>
            <w:u w:val="single"/>
            <w:rtl/>
          </w:rPr>
          <w:t>סעיף 144(א)</w:t>
        </w:r>
      </w:hyperlink>
      <w:r>
        <w:rPr>
          <w:rFonts w:ascii="Arial" w:hAnsi="Arial" w:hint="cs"/>
          <w:rtl/>
        </w:rPr>
        <w:t xml:space="preserve"> לחוק.</w:t>
      </w:r>
    </w:p>
    <w:p w14:paraId="737F9C82" w14:textId="77777777" w:rsidR="00B71E32" w:rsidRDefault="00B71E32">
      <w:pPr>
        <w:pStyle w:val="ListParagraph"/>
        <w:spacing w:line="360" w:lineRule="auto"/>
        <w:ind w:left="1440"/>
        <w:jc w:val="both"/>
        <w:rPr>
          <w:rFonts w:ascii="Arial" w:hAnsi="Arial"/>
        </w:rPr>
      </w:pPr>
    </w:p>
    <w:p w14:paraId="01A41813" w14:textId="77777777" w:rsidR="00B71E32" w:rsidRDefault="00074E19">
      <w:pPr>
        <w:pStyle w:val="ListParagraph"/>
        <w:numPr>
          <w:ilvl w:val="1"/>
          <w:numId w:val="1"/>
        </w:numPr>
        <w:spacing w:line="360" w:lineRule="auto"/>
        <w:jc w:val="both"/>
        <w:rPr>
          <w:rFonts w:ascii="Arial" w:hAnsi="Arial"/>
        </w:rPr>
      </w:pPr>
      <w:r>
        <w:rPr>
          <w:rFonts w:ascii="Arial" w:hAnsi="Arial" w:hint="cs"/>
          <w:rtl/>
        </w:rPr>
        <w:t xml:space="preserve">4 חודשי מאסר. הנאשם לא ירצה עונש זה אלא אם יעבור בתוך שנתיים מיום שחרורו על עבירת החזקת סכין או כל עבירת רכוש מסוג עוון למעט עבירה לפי </w:t>
      </w:r>
      <w:hyperlink r:id="rId25" w:history="1">
        <w:r w:rsidR="009337B7" w:rsidRPr="009337B7">
          <w:rPr>
            <w:rFonts w:ascii="Arial" w:hAnsi="Arial"/>
            <w:color w:val="0000FF"/>
            <w:u w:val="single"/>
            <w:rtl/>
          </w:rPr>
          <w:t>סעיף 413</w:t>
        </w:r>
      </w:hyperlink>
      <w:r>
        <w:rPr>
          <w:rFonts w:ascii="Arial" w:hAnsi="Arial" w:hint="cs"/>
          <w:rtl/>
        </w:rPr>
        <w:t xml:space="preserve"> לחוק  או כל עבירת אלימות מסוג עוון למעט עבירה לפי </w:t>
      </w:r>
      <w:hyperlink r:id="rId26" w:history="1">
        <w:r w:rsidR="009337B7" w:rsidRPr="009337B7">
          <w:rPr>
            <w:rFonts w:ascii="Arial" w:hAnsi="Arial"/>
            <w:color w:val="0000FF"/>
            <w:u w:val="single"/>
            <w:rtl/>
          </w:rPr>
          <w:t>סעיף 191</w:t>
        </w:r>
      </w:hyperlink>
      <w:r>
        <w:rPr>
          <w:rFonts w:ascii="Arial" w:hAnsi="Arial" w:hint="cs"/>
          <w:rtl/>
        </w:rPr>
        <w:t xml:space="preserve"> לחוק. </w:t>
      </w:r>
    </w:p>
    <w:p w14:paraId="0F3C334C" w14:textId="77777777" w:rsidR="00B71E32" w:rsidRDefault="00B71E32">
      <w:pPr>
        <w:pStyle w:val="ListParagraph"/>
        <w:spacing w:line="360" w:lineRule="auto"/>
        <w:ind w:left="1440"/>
        <w:jc w:val="both"/>
        <w:rPr>
          <w:rFonts w:ascii="Arial" w:hAnsi="Arial"/>
        </w:rPr>
      </w:pPr>
    </w:p>
    <w:p w14:paraId="1388AC67" w14:textId="77777777" w:rsidR="00B71E32" w:rsidRDefault="00074E19">
      <w:pPr>
        <w:pStyle w:val="ListParagraph"/>
        <w:numPr>
          <w:ilvl w:val="1"/>
          <w:numId w:val="1"/>
        </w:numPr>
        <w:spacing w:line="360" w:lineRule="auto"/>
        <w:jc w:val="both"/>
        <w:rPr>
          <w:rFonts w:ascii="Arial" w:hAnsi="Arial"/>
        </w:rPr>
      </w:pPr>
      <w:r>
        <w:rPr>
          <w:rFonts w:ascii="Arial" w:hAnsi="Arial" w:hint="cs"/>
          <w:rtl/>
        </w:rPr>
        <w:t>חודשיים מאסר. הנאשם לא ירצה עונש זה אלא אם יעבור בתוך שנתיים מיום שחרורו על כל עבירת סמים מסוג עוון.</w:t>
      </w:r>
    </w:p>
    <w:p w14:paraId="7D4A9676" w14:textId="77777777" w:rsidR="00B71E32" w:rsidRDefault="00B71E32">
      <w:pPr>
        <w:pStyle w:val="ListParagraph"/>
        <w:spacing w:line="360" w:lineRule="auto"/>
        <w:ind w:left="1440"/>
        <w:jc w:val="both"/>
        <w:rPr>
          <w:rFonts w:ascii="Arial" w:hAnsi="Arial"/>
        </w:rPr>
      </w:pPr>
    </w:p>
    <w:p w14:paraId="317B276A" w14:textId="77777777" w:rsidR="00B71E32" w:rsidRDefault="00074E19">
      <w:pPr>
        <w:pStyle w:val="ListParagraph"/>
        <w:numPr>
          <w:ilvl w:val="0"/>
          <w:numId w:val="1"/>
        </w:numPr>
        <w:spacing w:line="360" w:lineRule="auto"/>
        <w:jc w:val="both"/>
        <w:rPr>
          <w:rFonts w:ascii="Arial" w:hAnsi="Arial"/>
        </w:rPr>
      </w:pPr>
      <w:r>
        <w:rPr>
          <w:rFonts w:ascii="Arial" w:hAnsi="Arial" w:hint="cs"/>
          <w:rtl/>
        </w:rPr>
        <w:t>מאחר שהנאשם לא החזיק בסמים בשעה שנהג והעבירות לא בוצעו תוך שימוש ברכב, לא מצאתי להטיל על הנאשם עונש של פסילה מלנהוג.</w:t>
      </w:r>
    </w:p>
    <w:p w14:paraId="5CA3D703" w14:textId="77777777" w:rsidR="00B71E32" w:rsidRDefault="00B71E32">
      <w:pPr>
        <w:pStyle w:val="ListParagraph"/>
        <w:spacing w:line="360" w:lineRule="auto"/>
        <w:ind w:left="643"/>
        <w:jc w:val="both"/>
        <w:rPr>
          <w:rFonts w:ascii="Arial" w:hAnsi="Arial"/>
        </w:rPr>
      </w:pPr>
    </w:p>
    <w:p w14:paraId="147C6F33" w14:textId="77777777" w:rsidR="00B71E32" w:rsidRDefault="00074E19">
      <w:pPr>
        <w:pStyle w:val="ListParagraph"/>
        <w:numPr>
          <w:ilvl w:val="0"/>
          <w:numId w:val="1"/>
        </w:numPr>
        <w:spacing w:line="360" w:lineRule="auto"/>
        <w:jc w:val="both"/>
        <w:rPr>
          <w:rFonts w:ascii="Arial" w:hAnsi="Arial"/>
        </w:rPr>
      </w:pPr>
      <w:r>
        <w:rPr>
          <w:rFonts w:ascii="Arial" w:hAnsi="Arial" w:hint="cs"/>
          <w:rtl/>
        </w:rPr>
        <w:t>אני מורה על השמדת המוצגים או חילוטם בהתאם להחלטת הרשם.</w:t>
      </w:r>
    </w:p>
    <w:p w14:paraId="04C2BA98" w14:textId="77777777" w:rsidR="00B71E32" w:rsidRDefault="00B71E32">
      <w:pPr>
        <w:pStyle w:val="ListParagraph"/>
        <w:spacing w:line="360" w:lineRule="auto"/>
        <w:ind w:left="643"/>
        <w:jc w:val="both"/>
        <w:rPr>
          <w:rFonts w:ascii="Arial" w:hAnsi="Arial"/>
        </w:rPr>
      </w:pPr>
    </w:p>
    <w:p w14:paraId="3D7CFC23" w14:textId="77777777" w:rsidR="00B71E32" w:rsidRDefault="00074E19">
      <w:pPr>
        <w:pStyle w:val="ListParagraph"/>
        <w:numPr>
          <w:ilvl w:val="0"/>
          <w:numId w:val="1"/>
        </w:numPr>
        <w:spacing w:line="360" w:lineRule="auto"/>
        <w:jc w:val="both"/>
        <w:rPr>
          <w:rFonts w:ascii="Arial" w:hAnsi="Arial"/>
        </w:rPr>
      </w:pPr>
      <w:r>
        <w:rPr>
          <w:rFonts w:ascii="Arial" w:hAnsi="Arial" w:hint="cs"/>
          <w:rtl/>
        </w:rPr>
        <w:t>אסיים בתקווה כי הנאשם ישכיל לנצל את זמן שהותו בין כותלי בית הסוהר להשלמת לימודיו ובהשתלבות בתוכנית גמילה מסודרת, כך שאכן יוכל לפתוח דף חדש עם שחרורו.</w:t>
      </w:r>
    </w:p>
    <w:p w14:paraId="7EE196EA" w14:textId="77777777" w:rsidR="00B71E32" w:rsidRDefault="00B71E32">
      <w:pPr>
        <w:spacing w:line="360" w:lineRule="auto"/>
        <w:jc w:val="both"/>
        <w:rPr>
          <w:rFonts w:ascii="Arial" w:hAnsi="Arial"/>
          <w:rtl/>
        </w:rPr>
      </w:pPr>
    </w:p>
    <w:p w14:paraId="2F6784CC" w14:textId="77777777" w:rsidR="00B71E32" w:rsidRDefault="00B71E32">
      <w:pPr>
        <w:spacing w:line="360" w:lineRule="auto"/>
        <w:jc w:val="both"/>
        <w:rPr>
          <w:rFonts w:ascii="Arial" w:hAnsi="Arial"/>
        </w:rPr>
      </w:pPr>
    </w:p>
    <w:p w14:paraId="315E4E44" w14:textId="77777777" w:rsidR="00B71E32" w:rsidRDefault="00074E19">
      <w:pPr>
        <w:spacing w:line="360" w:lineRule="auto"/>
        <w:jc w:val="both"/>
        <w:rPr>
          <w:rFonts w:ascii="Arial" w:hAnsi="Arial"/>
          <w:b/>
          <w:bCs/>
          <w:rtl/>
        </w:rPr>
      </w:pPr>
      <w:r>
        <w:rPr>
          <w:rFonts w:ascii="Arial" w:hAnsi="Arial" w:hint="cs"/>
          <w:b/>
          <w:bCs/>
          <w:rtl/>
        </w:rPr>
        <w:t>זכות ערעור לבית המשפט המחוזי בירושלים בתוך 45 ימים.</w:t>
      </w:r>
    </w:p>
    <w:p w14:paraId="09ED5D79" w14:textId="77777777" w:rsidR="00B71E32" w:rsidRPr="000F5040" w:rsidRDefault="000F5040">
      <w:pPr>
        <w:spacing w:line="360" w:lineRule="auto"/>
        <w:jc w:val="both"/>
        <w:rPr>
          <w:rFonts w:ascii="Arial" w:hAnsi="Arial"/>
          <w:b/>
          <w:bCs/>
          <w:color w:val="FFFFFF"/>
          <w:sz w:val="2"/>
          <w:szCs w:val="2"/>
        </w:rPr>
      </w:pPr>
      <w:r w:rsidRPr="000F5040">
        <w:rPr>
          <w:rFonts w:ascii="Arial" w:hAnsi="Arial"/>
          <w:b/>
          <w:bCs/>
          <w:color w:val="FFFFFF"/>
          <w:sz w:val="2"/>
          <w:szCs w:val="2"/>
          <w:rtl/>
        </w:rPr>
        <w:t>5129371</w:t>
      </w:r>
    </w:p>
    <w:p w14:paraId="7227AB78" w14:textId="77777777" w:rsidR="00B71E32" w:rsidRDefault="000F5040">
      <w:pPr>
        <w:spacing w:line="360" w:lineRule="auto"/>
        <w:jc w:val="both"/>
        <w:rPr>
          <w:rFonts w:ascii="Arial" w:hAnsi="Arial"/>
          <w:rtl/>
        </w:rPr>
      </w:pPr>
      <w:r w:rsidRPr="000F5040">
        <w:rPr>
          <w:rFonts w:ascii="Arial" w:hAnsi="Arial"/>
          <w:color w:val="FFFFFF"/>
          <w:sz w:val="2"/>
          <w:szCs w:val="2"/>
          <w:rtl/>
        </w:rPr>
        <w:t>54678313</w:t>
      </w:r>
      <w:r w:rsidR="00074E19" w:rsidRPr="00074E19">
        <w:rPr>
          <w:rFonts w:ascii="Arial" w:hAnsi="Arial"/>
          <w:color w:val="FFFFFF"/>
          <w:sz w:val="2"/>
          <w:szCs w:val="2"/>
          <w:rtl/>
        </w:rPr>
        <w:t>5129371</w:t>
      </w:r>
      <w:r w:rsidR="00074E19">
        <w:rPr>
          <w:rFonts w:ascii="Arial" w:hAnsi="Arial"/>
          <w:rtl/>
        </w:rPr>
        <w:t xml:space="preserve">ניתן היום,  ט' שבט תשע"ג, 20 ינואר 2013, במעמד הצדדים. </w:t>
      </w:r>
    </w:p>
    <w:p w14:paraId="76EA037E" w14:textId="77777777" w:rsidR="00B71E32" w:rsidRPr="00074E19" w:rsidRDefault="00074E19">
      <w:pPr>
        <w:spacing w:line="360" w:lineRule="auto"/>
        <w:jc w:val="both"/>
        <w:rPr>
          <w:rFonts w:ascii="Arial" w:hAnsi="Arial"/>
          <w:color w:val="FFFFFF"/>
          <w:sz w:val="2"/>
          <w:szCs w:val="2"/>
          <w:rtl/>
        </w:rPr>
      </w:pPr>
      <w:r w:rsidRPr="00074E19">
        <w:rPr>
          <w:rFonts w:ascii="Arial" w:hAnsi="Arial"/>
          <w:color w:val="FFFFFF"/>
          <w:sz w:val="2"/>
          <w:szCs w:val="2"/>
          <w:rtl/>
        </w:rPr>
        <w:t>54678313</w:t>
      </w:r>
    </w:p>
    <w:p w14:paraId="0A94DE01" w14:textId="77777777" w:rsidR="000F5040" w:rsidRDefault="000F5040" w:rsidP="00074E19">
      <w:pPr>
        <w:rPr>
          <w:rFonts w:hint="cs"/>
          <w:color w:val="000000"/>
          <w:rtl/>
        </w:rPr>
      </w:pPr>
    </w:p>
    <w:p w14:paraId="0C158F21" w14:textId="77777777" w:rsidR="000F5040" w:rsidRPr="00074E19" w:rsidRDefault="000F5040" w:rsidP="000F5040">
      <w:pPr>
        <w:pStyle w:val="ListParagraph"/>
        <w:keepNext/>
        <w:spacing w:line="360" w:lineRule="auto"/>
        <w:ind w:left="0"/>
        <w:rPr>
          <w:rFonts w:ascii="David" w:hAnsi="David"/>
          <w:color w:val="000000"/>
          <w:sz w:val="22"/>
          <w:szCs w:val="22"/>
        </w:rPr>
      </w:pPr>
    </w:p>
    <w:p w14:paraId="32209265" w14:textId="77777777" w:rsidR="000F5040" w:rsidRPr="000F5040" w:rsidRDefault="000F5040" w:rsidP="000F5040">
      <w:pPr>
        <w:pStyle w:val="ListParagraph"/>
        <w:keepNext/>
        <w:spacing w:line="360" w:lineRule="auto"/>
        <w:ind w:left="0"/>
        <w:rPr>
          <w:rFonts w:ascii="David" w:hAnsi="David"/>
          <w:color w:val="000000"/>
          <w:sz w:val="22"/>
          <w:szCs w:val="22"/>
        </w:rPr>
      </w:pPr>
    </w:p>
    <w:p w14:paraId="269D0961" w14:textId="77777777" w:rsidR="000F5040" w:rsidRPr="000F5040" w:rsidRDefault="000F5040" w:rsidP="000F5040">
      <w:pPr>
        <w:pStyle w:val="ListParagraph"/>
        <w:keepNext/>
        <w:spacing w:line="360" w:lineRule="auto"/>
        <w:ind w:left="0"/>
        <w:rPr>
          <w:rFonts w:ascii="David" w:hAnsi="David"/>
          <w:color w:val="000000"/>
          <w:sz w:val="22"/>
          <w:szCs w:val="22"/>
          <w:rtl/>
        </w:rPr>
      </w:pPr>
      <w:r w:rsidRPr="000F5040">
        <w:rPr>
          <w:rFonts w:ascii="David" w:hAnsi="David"/>
          <w:color w:val="000000"/>
          <w:sz w:val="22"/>
          <w:szCs w:val="22"/>
          <w:rtl/>
        </w:rPr>
        <w:t>חנה מרים לומפ 54678313-/</w:t>
      </w:r>
    </w:p>
    <w:p w14:paraId="717D9C29" w14:textId="77777777" w:rsidR="00074E19" w:rsidRDefault="00074E19" w:rsidP="00074E19">
      <w:r w:rsidRPr="00074E19">
        <w:rPr>
          <w:color w:val="000000"/>
          <w:rtl/>
        </w:rPr>
        <w:t>נוסח מסמך זה כפוף לשינויי ניסוח ועריכה</w:t>
      </w:r>
    </w:p>
    <w:p w14:paraId="7ADCCD7F" w14:textId="77777777" w:rsidR="00074E19" w:rsidRDefault="00074E19" w:rsidP="00074E19">
      <w:pPr>
        <w:rPr>
          <w:rtl/>
        </w:rPr>
      </w:pPr>
    </w:p>
    <w:p w14:paraId="03C4840A" w14:textId="77777777" w:rsidR="00074E19" w:rsidRDefault="00074E19" w:rsidP="00074E19">
      <w:pPr>
        <w:jc w:val="center"/>
        <w:rPr>
          <w:color w:val="0000FF"/>
          <w:u w:val="single"/>
        </w:rPr>
      </w:pPr>
      <w:r w:rsidRPr="00D45323">
        <w:rPr>
          <w:color w:val="000000"/>
          <w:rtl/>
        </w:rPr>
        <w:t>בעניין עריכה ושינויים במסמכי פסיקה, חקיקה ועוד באתר נבו – הקש כאן</w:t>
      </w:r>
    </w:p>
    <w:sectPr w:rsidR="00074E19" w:rsidSect="000F5040">
      <w:headerReference w:type="even" r:id="rId27"/>
      <w:headerReference w:type="default" r:id="rId28"/>
      <w:footerReference w:type="even" r:id="rId29"/>
      <w:footerReference w:type="default" r:id="rId30"/>
      <w:pgSz w:w="11907" w:h="16840" w:code="9"/>
      <w:pgMar w:top="1701" w:right="1701" w:bottom="269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9EB936" w14:textId="77777777" w:rsidR="00F837EF" w:rsidRPr="006043A8" w:rsidRDefault="00F837EF">
      <w:pPr>
        <w:rPr>
          <w:rFonts w:cs="Arial"/>
          <w:szCs w:val="20"/>
        </w:rPr>
      </w:pPr>
      <w:r>
        <w:separator/>
      </w:r>
    </w:p>
  </w:endnote>
  <w:endnote w:type="continuationSeparator" w:id="0">
    <w:p w14:paraId="10917E39" w14:textId="77777777" w:rsidR="00F837EF" w:rsidRPr="006043A8" w:rsidRDefault="00F837EF">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2B5FD" w14:textId="77777777" w:rsidR="00094205" w:rsidRDefault="00094205" w:rsidP="000F504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BFC8A98" w14:textId="77777777" w:rsidR="00094205" w:rsidRPr="000F5040" w:rsidRDefault="00094205" w:rsidP="000F5040">
    <w:pPr>
      <w:pStyle w:val="a4"/>
      <w:pBdr>
        <w:top w:val="single" w:sz="4" w:space="1" w:color="auto"/>
        <w:between w:val="single" w:sz="4" w:space="0" w:color="auto"/>
      </w:pBdr>
      <w:spacing w:after="60"/>
      <w:jc w:val="center"/>
      <w:rPr>
        <w:rFonts w:ascii="FrankRuehl" w:hAnsi="FrankRuehl" w:cs="FrankRuehl"/>
        <w:color w:val="000000"/>
      </w:rPr>
    </w:pPr>
    <w:r w:rsidRPr="000F504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ECB18" w14:textId="77777777" w:rsidR="00094205" w:rsidRDefault="00094205" w:rsidP="000F504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3595F">
      <w:rPr>
        <w:rFonts w:ascii="FrankRuehl" w:hAnsi="FrankRuehl" w:cs="FrankRuehl"/>
        <w:noProof/>
        <w:rtl/>
      </w:rPr>
      <w:t>1</w:t>
    </w:r>
    <w:r>
      <w:rPr>
        <w:rFonts w:ascii="FrankRuehl" w:hAnsi="FrankRuehl" w:cs="FrankRuehl"/>
        <w:rtl/>
      </w:rPr>
      <w:fldChar w:fldCharType="end"/>
    </w:r>
  </w:p>
  <w:p w14:paraId="5552432B" w14:textId="77777777" w:rsidR="00094205" w:rsidRPr="000F5040" w:rsidRDefault="00094205" w:rsidP="000F5040">
    <w:pPr>
      <w:pStyle w:val="a4"/>
      <w:pBdr>
        <w:top w:val="single" w:sz="4" w:space="1" w:color="auto"/>
        <w:between w:val="single" w:sz="4" w:space="0" w:color="auto"/>
      </w:pBdr>
      <w:spacing w:after="60"/>
      <w:jc w:val="center"/>
      <w:rPr>
        <w:rFonts w:ascii="FrankRuehl" w:hAnsi="FrankRuehl" w:cs="FrankRuehl"/>
        <w:color w:val="000000"/>
      </w:rPr>
    </w:pPr>
    <w:r w:rsidRPr="000F5040">
      <w:rPr>
        <w:rFonts w:ascii="FrankRuehl" w:hAnsi="FrankRuehl" w:cs="FrankRuehl"/>
        <w:color w:val="000000"/>
      </w:rPr>
      <w:pict w14:anchorId="09DB87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6E191F" w14:textId="77777777" w:rsidR="00F837EF" w:rsidRPr="006043A8" w:rsidRDefault="00F837EF">
      <w:pPr>
        <w:rPr>
          <w:rFonts w:cs="Arial"/>
          <w:szCs w:val="20"/>
        </w:rPr>
      </w:pPr>
      <w:r>
        <w:separator/>
      </w:r>
    </w:p>
  </w:footnote>
  <w:footnote w:type="continuationSeparator" w:id="0">
    <w:p w14:paraId="34168136" w14:textId="77777777" w:rsidR="00F837EF" w:rsidRPr="006043A8" w:rsidRDefault="00F837EF">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3635F" w14:textId="77777777" w:rsidR="00094205" w:rsidRPr="000F5040" w:rsidRDefault="00094205" w:rsidP="000F504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28190-05-12</w:t>
    </w:r>
    <w:r>
      <w:rPr>
        <w:rFonts w:ascii="David" w:hAnsi="David"/>
        <w:color w:val="000000"/>
        <w:sz w:val="22"/>
        <w:szCs w:val="22"/>
        <w:rtl/>
      </w:rPr>
      <w:tab/>
      <w:t xml:space="preserve"> מדינת ישראל נ' דוד יעקוב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5EB51" w14:textId="77777777" w:rsidR="00094205" w:rsidRPr="000F5040" w:rsidRDefault="00094205" w:rsidP="000F504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28190-05-12</w:t>
    </w:r>
    <w:r>
      <w:rPr>
        <w:rFonts w:ascii="David" w:hAnsi="David"/>
        <w:color w:val="000000"/>
        <w:sz w:val="22"/>
        <w:szCs w:val="22"/>
        <w:rtl/>
      </w:rPr>
      <w:tab/>
      <w:t xml:space="preserve"> מדינת ישראל נ' דוד יעקוב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0656C6"/>
    <w:multiLevelType w:val="hybridMultilevel"/>
    <w:tmpl w:val="7A6846B4"/>
    <w:lvl w:ilvl="0" w:tplc="0409000F">
      <w:start w:val="1"/>
      <w:numFmt w:val="decimal"/>
      <w:lvlText w:val="%1."/>
      <w:lvlJc w:val="left"/>
      <w:pPr>
        <w:ind w:left="643" w:hanging="360"/>
      </w:p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9489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71E32"/>
    <w:rsid w:val="00074E19"/>
    <w:rsid w:val="00090DF6"/>
    <w:rsid w:val="00094205"/>
    <w:rsid w:val="000A35DB"/>
    <w:rsid w:val="000F5040"/>
    <w:rsid w:val="006A7A79"/>
    <w:rsid w:val="0073595F"/>
    <w:rsid w:val="007E019A"/>
    <w:rsid w:val="0088518A"/>
    <w:rsid w:val="009337B7"/>
    <w:rsid w:val="00B71E32"/>
    <w:rsid w:val="00B976CE"/>
    <w:rsid w:val="00D45323"/>
    <w:rsid w:val="00F75271"/>
    <w:rsid w:val="00F837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DCC8BB0"/>
  <w15:chartTrackingRefBased/>
  <w15:docId w15:val="{B8759971-3773-44F0-9A0A-9C35A7572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1E32"/>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71E32"/>
    <w:pPr>
      <w:tabs>
        <w:tab w:val="center" w:pos="4153"/>
        <w:tab w:val="right" w:pos="8306"/>
      </w:tabs>
    </w:pPr>
  </w:style>
  <w:style w:type="paragraph" w:styleId="a4">
    <w:name w:val="footer"/>
    <w:basedOn w:val="a"/>
    <w:rsid w:val="00B71E32"/>
    <w:pPr>
      <w:tabs>
        <w:tab w:val="center" w:pos="4153"/>
        <w:tab w:val="right" w:pos="8306"/>
      </w:tabs>
    </w:pPr>
  </w:style>
  <w:style w:type="character" w:styleId="a5">
    <w:name w:val="page number"/>
    <w:basedOn w:val="a0"/>
    <w:rsid w:val="00B71E32"/>
  </w:style>
  <w:style w:type="paragraph" w:customStyle="1" w:styleId="ListParagraph">
    <w:name w:val="List Paragraph"/>
    <w:basedOn w:val="a"/>
    <w:rsid w:val="00B71E32"/>
    <w:pPr>
      <w:ind w:left="720"/>
      <w:contextualSpacing/>
    </w:pPr>
  </w:style>
  <w:style w:type="character" w:styleId="Hyperlink">
    <w:name w:val="Hyperlink"/>
    <w:rsid w:val="00074E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70301/413" TargetMode="External"/><Relationship Id="rId18" Type="http://schemas.openxmlformats.org/officeDocument/2006/relationships/hyperlink" Target="http://www.nevo.co.il/case/6029089" TargetMode="External"/><Relationship Id="rId26" Type="http://schemas.openxmlformats.org/officeDocument/2006/relationships/hyperlink" Target="http://www.nevo.co.il/law/70301/191" TargetMode="External"/><Relationship Id="rId3" Type="http://schemas.openxmlformats.org/officeDocument/2006/relationships/settings" Target="settings.xml"/><Relationship Id="rId21" Type="http://schemas.openxmlformats.org/officeDocument/2006/relationships/hyperlink" Target="http://www.nevo.co.il/law/70301/40jc.b"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40jc.b"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413" TargetMode="External"/><Relationship Id="rId2" Type="http://schemas.openxmlformats.org/officeDocument/2006/relationships/styles" Target="styles.xml"/><Relationship Id="rId16" Type="http://schemas.openxmlformats.org/officeDocument/2006/relationships/hyperlink" Target="http://www.nevo.co.il/law/70301/40jc.a" TargetMode="External"/><Relationship Id="rId20" Type="http://schemas.openxmlformats.org/officeDocument/2006/relationships/hyperlink" Target="http://www.nevo.co.il/case/2396632"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c.a" TargetMode="External"/><Relationship Id="rId24" Type="http://schemas.openxmlformats.org/officeDocument/2006/relationships/hyperlink" Target="http://www.nevo.co.il/law/70301/144.a"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4668250" TargetMode="External"/><Relationship Id="rId23" Type="http://schemas.openxmlformats.org/officeDocument/2006/relationships/hyperlink" Target="http://www.nevo.co.il/case/2396632" TargetMode="External"/><Relationship Id="rId28" Type="http://schemas.openxmlformats.org/officeDocument/2006/relationships/header" Target="header2.xml"/><Relationship Id="rId10" Type="http://schemas.openxmlformats.org/officeDocument/2006/relationships/hyperlink" Target="http://www.nevo.co.il/law/70301/40if" TargetMode="External"/><Relationship Id="rId19" Type="http://schemas.openxmlformats.org/officeDocument/2006/relationships/hyperlink" Target="http://www.nevo.co.il/case/2407871"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91" TargetMode="External"/><Relationship Id="rId14" Type="http://schemas.openxmlformats.org/officeDocument/2006/relationships/hyperlink" Target="http://www.nevo.co.il/case/4668250" TargetMode="External"/><Relationship Id="rId22" Type="http://schemas.openxmlformats.org/officeDocument/2006/relationships/hyperlink" Target="http://www.nevo.co.il/law/70301/40if"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1984</Words>
  <Characters>9924</Characters>
  <Application>Microsoft Office Word</Application>
  <DocSecurity>0</DocSecurity>
  <Lines>82</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11885</CharactersWithSpaces>
  <SharedDoc>false</SharedDoc>
  <HLinks>
    <vt:vector size="120" baseType="variant">
      <vt:variant>
        <vt:i4>7077988</vt:i4>
      </vt:variant>
      <vt:variant>
        <vt:i4>57</vt:i4>
      </vt:variant>
      <vt:variant>
        <vt:i4>0</vt:i4>
      </vt:variant>
      <vt:variant>
        <vt:i4>5</vt:i4>
      </vt:variant>
      <vt:variant>
        <vt:lpwstr>http://www.nevo.co.il/law/70301/191</vt:lpwstr>
      </vt:variant>
      <vt:variant>
        <vt:lpwstr/>
      </vt:variant>
      <vt:variant>
        <vt:i4>6553697</vt:i4>
      </vt:variant>
      <vt:variant>
        <vt:i4>54</vt:i4>
      </vt:variant>
      <vt:variant>
        <vt:i4>0</vt:i4>
      </vt:variant>
      <vt:variant>
        <vt:i4>5</vt:i4>
      </vt:variant>
      <vt:variant>
        <vt:lpwstr>http://www.nevo.co.il/law/70301/413</vt:lpwstr>
      </vt:variant>
      <vt:variant>
        <vt:lpwstr/>
      </vt:variant>
      <vt:variant>
        <vt:i4>5177424</vt:i4>
      </vt:variant>
      <vt:variant>
        <vt:i4>51</vt:i4>
      </vt:variant>
      <vt:variant>
        <vt:i4>0</vt:i4>
      </vt:variant>
      <vt:variant>
        <vt:i4>5</vt:i4>
      </vt:variant>
      <vt:variant>
        <vt:lpwstr>http://www.nevo.co.il/law/70301/144.a</vt:lpwstr>
      </vt:variant>
      <vt:variant>
        <vt:lpwstr/>
      </vt:variant>
      <vt:variant>
        <vt:i4>4128882</vt:i4>
      </vt:variant>
      <vt:variant>
        <vt:i4>48</vt:i4>
      </vt:variant>
      <vt:variant>
        <vt:i4>0</vt:i4>
      </vt:variant>
      <vt:variant>
        <vt:i4>5</vt:i4>
      </vt:variant>
      <vt:variant>
        <vt:lpwstr>http://www.nevo.co.il/case/2396632</vt:lpwstr>
      </vt:variant>
      <vt:variant>
        <vt:lpwstr/>
      </vt:variant>
      <vt:variant>
        <vt:i4>196616</vt:i4>
      </vt:variant>
      <vt:variant>
        <vt:i4>45</vt:i4>
      </vt:variant>
      <vt:variant>
        <vt:i4>0</vt:i4>
      </vt:variant>
      <vt:variant>
        <vt:i4>5</vt:i4>
      </vt:variant>
      <vt:variant>
        <vt:lpwstr>http://www.nevo.co.il/law/70301/40if</vt:lpwstr>
      </vt:variant>
      <vt:variant>
        <vt:lpwstr/>
      </vt:variant>
      <vt:variant>
        <vt:i4>6553637</vt:i4>
      </vt:variant>
      <vt:variant>
        <vt:i4>42</vt:i4>
      </vt:variant>
      <vt:variant>
        <vt:i4>0</vt:i4>
      </vt:variant>
      <vt:variant>
        <vt:i4>5</vt:i4>
      </vt:variant>
      <vt:variant>
        <vt:lpwstr>http://www.nevo.co.il/law/70301/40jc.b</vt:lpwstr>
      </vt:variant>
      <vt:variant>
        <vt:lpwstr/>
      </vt:variant>
      <vt:variant>
        <vt:i4>4128882</vt:i4>
      </vt:variant>
      <vt:variant>
        <vt:i4>39</vt:i4>
      </vt:variant>
      <vt:variant>
        <vt:i4>0</vt:i4>
      </vt:variant>
      <vt:variant>
        <vt:i4>5</vt:i4>
      </vt:variant>
      <vt:variant>
        <vt:lpwstr>http://www.nevo.co.il/case/2396632</vt:lpwstr>
      </vt:variant>
      <vt:variant>
        <vt:lpwstr/>
      </vt:variant>
      <vt:variant>
        <vt:i4>3866736</vt:i4>
      </vt:variant>
      <vt:variant>
        <vt:i4>36</vt:i4>
      </vt:variant>
      <vt:variant>
        <vt:i4>0</vt:i4>
      </vt:variant>
      <vt:variant>
        <vt:i4>5</vt:i4>
      </vt:variant>
      <vt:variant>
        <vt:lpwstr>http://www.nevo.co.il/case/2407871</vt:lpwstr>
      </vt:variant>
      <vt:variant>
        <vt:lpwstr/>
      </vt:variant>
      <vt:variant>
        <vt:i4>3997813</vt:i4>
      </vt:variant>
      <vt:variant>
        <vt:i4>33</vt:i4>
      </vt:variant>
      <vt:variant>
        <vt:i4>0</vt:i4>
      </vt:variant>
      <vt:variant>
        <vt:i4>5</vt:i4>
      </vt:variant>
      <vt:variant>
        <vt:lpwstr>http://www.nevo.co.il/case/6029089</vt:lpwstr>
      </vt:variant>
      <vt:variant>
        <vt:lpwstr/>
      </vt:variant>
      <vt:variant>
        <vt:i4>7995492</vt:i4>
      </vt:variant>
      <vt:variant>
        <vt:i4>30</vt:i4>
      </vt:variant>
      <vt:variant>
        <vt:i4>0</vt:i4>
      </vt:variant>
      <vt:variant>
        <vt:i4>5</vt:i4>
      </vt:variant>
      <vt:variant>
        <vt:lpwstr>http://www.nevo.co.il/law/70301</vt:lpwstr>
      </vt:variant>
      <vt:variant>
        <vt:lpwstr/>
      </vt:variant>
      <vt:variant>
        <vt:i4>6750245</vt:i4>
      </vt:variant>
      <vt:variant>
        <vt:i4>27</vt:i4>
      </vt:variant>
      <vt:variant>
        <vt:i4>0</vt:i4>
      </vt:variant>
      <vt:variant>
        <vt:i4>5</vt:i4>
      </vt:variant>
      <vt:variant>
        <vt:lpwstr>http://www.nevo.co.il/law/70301/40jc.a</vt:lpwstr>
      </vt:variant>
      <vt:variant>
        <vt:lpwstr/>
      </vt:variant>
      <vt:variant>
        <vt:i4>3145855</vt:i4>
      </vt:variant>
      <vt:variant>
        <vt:i4>24</vt:i4>
      </vt:variant>
      <vt:variant>
        <vt:i4>0</vt:i4>
      </vt:variant>
      <vt:variant>
        <vt:i4>5</vt:i4>
      </vt:variant>
      <vt:variant>
        <vt:lpwstr>http://www.nevo.co.il/case/4668250</vt:lpwstr>
      </vt:variant>
      <vt:variant>
        <vt:lpwstr/>
      </vt:variant>
      <vt:variant>
        <vt:i4>3145855</vt:i4>
      </vt:variant>
      <vt:variant>
        <vt:i4>21</vt:i4>
      </vt:variant>
      <vt:variant>
        <vt:i4>0</vt:i4>
      </vt:variant>
      <vt:variant>
        <vt:i4>5</vt:i4>
      </vt:variant>
      <vt:variant>
        <vt:lpwstr>http://www.nevo.co.il/case/4668250</vt:lpwstr>
      </vt:variant>
      <vt:variant>
        <vt:lpwstr/>
      </vt:variant>
      <vt:variant>
        <vt:i4>6553697</vt:i4>
      </vt:variant>
      <vt:variant>
        <vt:i4>18</vt:i4>
      </vt:variant>
      <vt:variant>
        <vt:i4>0</vt:i4>
      </vt:variant>
      <vt:variant>
        <vt:i4>5</vt:i4>
      </vt:variant>
      <vt:variant>
        <vt:lpwstr>http://www.nevo.co.il/law/70301/413</vt:lpwstr>
      </vt:variant>
      <vt:variant>
        <vt:lpwstr/>
      </vt:variant>
      <vt:variant>
        <vt:i4>6553637</vt:i4>
      </vt:variant>
      <vt:variant>
        <vt:i4>15</vt:i4>
      </vt:variant>
      <vt:variant>
        <vt:i4>0</vt:i4>
      </vt:variant>
      <vt:variant>
        <vt:i4>5</vt:i4>
      </vt:variant>
      <vt:variant>
        <vt:lpwstr>http://www.nevo.co.il/law/70301/40jc.b</vt:lpwstr>
      </vt:variant>
      <vt:variant>
        <vt:lpwstr/>
      </vt:variant>
      <vt:variant>
        <vt:i4>6750245</vt:i4>
      </vt:variant>
      <vt:variant>
        <vt:i4>12</vt:i4>
      </vt:variant>
      <vt:variant>
        <vt:i4>0</vt:i4>
      </vt:variant>
      <vt:variant>
        <vt:i4>5</vt:i4>
      </vt:variant>
      <vt:variant>
        <vt:lpwstr>http://www.nevo.co.il/law/70301/40jc.a</vt:lpwstr>
      </vt:variant>
      <vt:variant>
        <vt:lpwstr/>
      </vt:variant>
      <vt:variant>
        <vt:i4>196616</vt:i4>
      </vt:variant>
      <vt:variant>
        <vt:i4>9</vt:i4>
      </vt:variant>
      <vt:variant>
        <vt:i4>0</vt:i4>
      </vt:variant>
      <vt:variant>
        <vt:i4>5</vt:i4>
      </vt:variant>
      <vt:variant>
        <vt:lpwstr>http://www.nevo.co.il/law/70301/40if</vt:lpwstr>
      </vt:variant>
      <vt:variant>
        <vt:lpwstr/>
      </vt:variant>
      <vt:variant>
        <vt:i4>7077988</vt:i4>
      </vt:variant>
      <vt:variant>
        <vt:i4>6</vt:i4>
      </vt:variant>
      <vt:variant>
        <vt:i4>0</vt:i4>
      </vt:variant>
      <vt:variant>
        <vt:i4>5</vt:i4>
      </vt:variant>
      <vt:variant>
        <vt:lpwstr>http://www.nevo.co.il/law/70301/191</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2025-04-25T11:04:00Z</dcterms:created>
  <dcterms:modified xsi:type="dcterms:W3CDTF">2025-04-25T11:04:00Z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28190</vt:lpwstr>
  </property>
  <property fmtid="{D5CDD505-2E9C-101B-9397-08002B2CF9AE}" pid="6" name="NEWPARTB">
    <vt:lpwstr>05</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דוד יעקוב</vt:lpwstr>
  </property>
  <property fmtid="{D5CDD505-2E9C-101B-9397-08002B2CF9AE}" pid="10" name="LAWYER">
    <vt:lpwstr>נהלה ג'ני;טליה רם;אריק בוקטמן</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20130120</vt:lpwstr>
  </property>
  <property fmtid="{D5CDD505-2E9C-101B-9397-08002B2CF9AE}" pid="14" name="TYPE_N_DATE">
    <vt:lpwstr>38020130120</vt:lpwstr>
  </property>
  <property fmtid="{D5CDD505-2E9C-101B-9397-08002B2CF9AE}" pid="15" name="WORDNUMPAGES">
    <vt:lpwstr>7</vt:lpwstr>
  </property>
  <property fmtid="{D5CDD505-2E9C-101B-9397-08002B2CF9AE}" pid="16" name="TYPE_ABS_DATE">
    <vt:lpwstr>380020130120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4668250:2;6029089;2396632:2</vt:lpwstr>
  </property>
  <property fmtid="{D5CDD505-2E9C-101B-9397-08002B2CF9AE}" pid="36" name="CASENOTES1">
    <vt:lpwstr>ProcID=279;184&amp;PartA=433819&amp;PartC=11</vt:lpwstr>
  </property>
  <property fmtid="{D5CDD505-2E9C-101B-9397-08002B2CF9AE}" pid="37" name="CASENOTES2">
    <vt:lpwstr>ProcID=154;184&amp;PartA=199298&amp;PartC=11</vt:lpwstr>
  </property>
  <property fmtid="{D5CDD505-2E9C-101B-9397-08002B2CF9AE}" pid="38" name="CASENOTES3">
    <vt:lpwstr>ProcID=209&amp;PartA=1328&amp;PartC=09</vt:lpwstr>
  </property>
  <property fmtid="{D5CDD505-2E9C-101B-9397-08002B2CF9AE}" pid="39" name="LAWLISTTMP1">
    <vt:lpwstr>70301/40jc.a;40jc.b;40if;144.a;413;191</vt:lpwstr>
  </property>
</Properties>
</file>