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82FEA" w:rsidRPr="009C4FE7" w14:paraId="53C9D09E" w14:textId="77777777">
        <w:trPr>
          <w:trHeight w:hRule="exact" w:val="418"/>
          <w:jc w:val="center"/>
        </w:trPr>
        <w:tc>
          <w:tcPr>
            <w:tcW w:w="8720" w:type="dxa"/>
            <w:gridSpan w:val="3"/>
          </w:tcPr>
          <w:p w14:paraId="427313C2" w14:textId="77777777" w:rsidR="00A82FEA" w:rsidRPr="009C4FE7" w:rsidRDefault="009C4FE7">
            <w:pPr>
              <w:pStyle w:val="a3"/>
              <w:tabs>
                <w:tab w:val="clear" w:pos="8306"/>
              </w:tabs>
              <w:jc w:val="center"/>
              <w:rPr>
                <w:rFonts w:ascii="Tahoma" w:hAnsi="Tahoma" w:cs="Tahoma"/>
                <w:b/>
                <w:bCs/>
                <w:color w:val="000080"/>
                <w:sz w:val="20"/>
                <w:szCs w:val="20"/>
                <w:rtl/>
              </w:rPr>
            </w:pPr>
            <w:bookmarkStart w:id="0" w:name="LastJudge"/>
            <w:r w:rsidRPr="009C4FE7">
              <w:rPr>
                <w:rFonts w:ascii="Tahoma" w:hAnsi="Tahoma" w:cs="Tahoma"/>
                <w:b/>
                <w:bCs/>
                <w:color w:val="000080"/>
                <w:sz w:val="20"/>
                <w:szCs w:val="20"/>
                <w:rtl/>
              </w:rPr>
              <w:t>בית משפט השלום בכפר סבא</w:t>
            </w:r>
          </w:p>
        </w:tc>
      </w:tr>
      <w:tr w:rsidR="00A82FEA" w:rsidRPr="009C4FE7" w14:paraId="2C389188" w14:textId="77777777">
        <w:trPr>
          <w:trHeight w:val="337"/>
          <w:jc w:val="center"/>
        </w:trPr>
        <w:tc>
          <w:tcPr>
            <w:tcW w:w="6396" w:type="dxa"/>
          </w:tcPr>
          <w:p w14:paraId="005520C2" w14:textId="77777777" w:rsidR="00A82FEA" w:rsidRPr="009C4FE7" w:rsidRDefault="009C4FE7">
            <w:pPr>
              <w:rPr>
                <w:b/>
                <w:bCs/>
                <w:sz w:val="26"/>
                <w:szCs w:val="26"/>
                <w:rtl/>
              </w:rPr>
            </w:pPr>
            <w:r w:rsidRPr="009C4FE7">
              <w:rPr>
                <w:b/>
                <w:bCs/>
                <w:sz w:val="26"/>
                <w:szCs w:val="26"/>
                <w:rtl/>
              </w:rPr>
              <w:t>ת"פ</w:t>
            </w:r>
            <w:r w:rsidRPr="009C4FE7">
              <w:rPr>
                <w:rFonts w:hint="cs"/>
                <w:b/>
                <w:bCs/>
                <w:sz w:val="26"/>
                <w:szCs w:val="26"/>
                <w:rtl/>
              </w:rPr>
              <w:t xml:space="preserve"> </w:t>
            </w:r>
            <w:r w:rsidRPr="009C4FE7">
              <w:rPr>
                <w:b/>
                <w:bCs/>
                <w:sz w:val="26"/>
                <w:szCs w:val="26"/>
                <w:rtl/>
              </w:rPr>
              <w:t>48759-06-12</w:t>
            </w:r>
            <w:r w:rsidRPr="009C4FE7">
              <w:rPr>
                <w:rFonts w:hint="cs"/>
                <w:b/>
                <w:bCs/>
                <w:sz w:val="26"/>
                <w:szCs w:val="26"/>
                <w:rtl/>
              </w:rPr>
              <w:t xml:space="preserve"> </w:t>
            </w:r>
            <w:r w:rsidRPr="009C4FE7">
              <w:rPr>
                <w:b/>
                <w:bCs/>
                <w:sz w:val="26"/>
                <w:szCs w:val="26"/>
                <w:rtl/>
              </w:rPr>
              <w:t>מדינת ישראל נ' עמשה</w:t>
            </w:r>
          </w:p>
          <w:p w14:paraId="5CD66068" w14:textId="77777777" w:rsidR="00A82FEA" w:rsidRPr="009C4FE7" w:rsidRDefault="00A82FEA">
            <w:pPr>
              <w:rPr>
                <w:b/>
                <w:bCs/>
                <w:sz w:val="26"/>
                <w:szCs w:val="26"/>
                <w:rtl/>
              </w:rPr>
            </w:pPr>
          </w:p>
        </w:tc>
        <w:tc>
          <w:tcPr>
            <w:tcW w:w="236" w:type="dxa"/>
          </w:tcPr>
          <w:p w14:paraId="273D5CE3" w14:textId="77777777" w:rsidR="00A82FEA" w:rsidRPr="009C4FE7" w:rsidRDefault="00A82FEA">
            <w:pPr>
              <w:pStyle w:val="a3"/>
              <w:jc w:val="right"/>
              <w:rPr>
                <w:b/>
                <w:bCs/>
                <w:sz w:val="26"/>
                <w:szCs w:val="26"/>
                <w:rtl/>
              </w:rPr>
            </w:pPr>
          </w:p>
        </w:tc>
        <w:tc>
          <w:tcPr>
            <w:tcW w:w="2088" w:type="dxa"/>
          </w:tcPr>
          <w:p w14:paraId="78212FED" w14:textId="77777777" w:rsidR="00A82FEA" w:rsidRPr="009C4FE7" w:rsidRDefault="009C4FE7">
            <w:pPr>
              <w:pStyle w:val="a3"/>
              <w:tabs>
                <w:tab w:val="clear" w:pos="4153"/>
              </w:tabs>
              <w:jc w:val="right"/>
              <w:rPr>
                <w:b/>
                <w:bCs/>
                <w:sz w:val="26"/>
                <w:szCs w:val="26"/>
                <w:rtl/>
              </w:rPr>
            </w:pPr>
            <w:r w:rsidRPr="009C4FE7">
              <w:rPr>
                <w:b/>
                <w:bCs/>
                <w:sz w:val="26"/>
                <w:szCs w:val="26"/>
                <w:rtl/>
              </w:rPr>
              <w:t>01 אוקטובר 2013</w:t>
            </w:r>
          </w:p>
        </w:tc>
      </w:tr>
    </w:tbl>
    <w:p w14:paraId="1133E0C1" w14:textId="77777777" w:rsidR="00A82FEA" w:rsidRPr="009C4FE7" w:rsidRDefault="00A82FEA">
      <w:pPr>
        <w:pStyle w:val="a3"/>
        <w:jc w:val="center"/>
        <w:rPr>
          <w:rFonts w:ascii="Tahoma" w:hAnsi="Tahoma" w:cs="Tahoma"/>
          <w:b/>
          <w:bCs/>
          <w:color w:val="000080"/>
          <w:sz w:val="20"/>
          <w:szCs w:val="20"/>
          <w:rtl/>
        </w:rPr>
      </w:pPr>
    </w:p>
    <w:p w14:paraId="0E42177F" w14:textId="77777777" w:rsidR="00A82FEA" w:rsidRPr="009C4FE7" w:rsidRDefault="00A82FEA">
      <w:pPr>
        <w:jc w:val="both"/>
        <w:rPr>
          <w:rFonts w:ascii="Arial" w:hAnsi="Arial"/>
          <w:b/>
          <w:bCs/>
          <w:rtl/>
        </w:rPr>
      </w:pPr>
    </w:p>
    <w:tbl>
      <w:tblPr>
        <w:bidiVisual/>
        <w:tblW w:w="0" w:type="auto"/>
        <w:jc w:val="center"/>
        <w:tblLook w:val="0000" w:firstRow="0" w:lastRow="0" w:firstColumn="0" w:lastColumn="0" w:noHBand="0" w:noVBand="0"/>
      </w:tblPr>
      <w:tblGrid>
        <w:gridCol w:w="1581"/>
        <w:gridCol w:w="1279"/>
        <w:gridCol w:w="356"/>
        <w:gridCol w:w="5423"/>
        <w:gridCol w:w="81"/>
      </w:tblGrid>
      <w:tr w:rsidR="00A82FEA" w:rsidRPr="009C4FE7" w14:paraId="06B2223C" w14:textId="77777777">
        <w:trPr>
          <w:gridAfter w:val="1"/>
          <w:wAfter w:w="54" w:type="dxa"/>
          <w:trHeight w:val="337"/>
          <w:jc w:val="center"/>
        </w:trPr>
        <w:tc>
          <w:tcPr>
            <w:tcW w:w="1592" w:type="dxa"/>
          </w:tcPr>
          <w:p w14:paraId="188C0C46" w14:textId="77777777" w:rsidR="00A82FEA" w:rsidRPr="009C4FE7" w:rsidRDefault="009C4FE7">
            <w:pPr>
              <w:pStyle w:val="a3"/>
              <w:bidi w:val="0"/>
              <w:spacing w:line="360" w:lineRule="auto"/>
              <w:jc w:val="both"/>
              <w:rPr>
                <w:rFonts w:ascii="Times New Roman" w:hAnsi="Times New Roman"/>
              </w:rPr>
            </w:pPr>
            <w:r w:rsidRPr="009C4FE7">
              <w:rPr>
                <w:rFonts w:ascii="Times New Roman" w:hAnsi="Times New Roman"/>
              </w:rPr>
              <w:t xml:space="preserve">  </w:t>
            </w:r>
          </w:p>
        </w:tc>
        <w:tc>
          <w:tcPr>
            <w:tcW w:w="7128" w:type="dxa"/>
            <w:gridSpan w:val="3"/>
          </w:tcPr>
          <w:p w14:paraId="4FBFA88E" w14:textId="77777777" w:rsidR="00A82FEA" w:rsidRPr="009C4FE7" w:rsidRDefault="009C4FE7">
            <w:pPr>
              <w:pStyle w:val="a3"/>
              <w:jc w:val="right"/>
              <w:rPr>
                <w:b/>
                <w:bCs/>
                <w:sz w:val="26"/>
                <w:szCs w:val="26"/>
                <w:rtl/>
              </w:rPr>
            </w:pPr>
            <w:r w:rsidRPr="009C4FE7">
              <w:rPr>
                <w:rFonts w:hint="cs"/>
                <w:rtl/>
              </w:rPr>
              <w:t xml:space="preserve"> 48788-06-12</w:t>
            </w:r>
          </w:p>
        </w:tc>
      </w:tr>
      <w:tr w:rsidR="00A82FEA" w:rsidRPr="009C4FE7" w14:paraId="4F37D6F4" w14:textId="77777777">
        <w:tblPrEx>
          <w:jc w:val="left"/>
          <w:tblLook w:val="01E0" w:firstRow="1" w:lastRow="1" w:firstColumn="1" w:lastColumn="1" w:noHBand="0" w:noVBand="0"/>
        </w:tblPrEx>
        <w:trPr>
          <w:gridAfter w:val="1"/>
          <w:wAfter w:w="55" w:type="dxa"/>
        </w:trPr>
        <w:tc>
          <w:tcPr>
            <w:tcW w:w="8719" w:type="dxa"/>
            <w:gridSpan w:val="4"/>
          </w:tcPr>
          <w:p w14:paraId="7AD818AE" w14:textId="77777777" w:rsidR="00A82FEA" w:rsidRPr="009C4FE7" w:rsidRDefault="009C4FE7">
            <w:pPr>
              <w:spacing w:line="360" w:lineRule="auto"/>
              <w:rPr>
                <w:rFonts w:ascii="Times New Roman" w:eastAsia="Times New Roman" w:hAnsi="Times New Roman"/>
                <w:b/>
                <w:bCs/>
                <w:sz w:val="26"/>
                <w:szCs w:val="26"/>
                <w:rtl/>
              </w:rPr>
            </w:pPr>
            <w:r w:rsidRPr="009C4FE7">
              <w:rPr>
                <w:rFonts w:ascii="Times New Roman" w:eastAsia="Times New Roman" w:hAnsi="Times New Roman" w:hint="cs"/>
                <w:b/>
                <w:bCs/>
                <w:sz w:val="26"/>
                <w:szCs w:val="26"/>
                <w:rtl/>
              </w:rPr>
              <w:t>בפני כב' ה</w:t>
            </w:r>
            <w:r w:rsidRPr="009C4FE7">
              <w:rPr>
                <w:rFonts w:ascii="Times New Roman" w:eastAsia="Times New Roman" w:hAnsi="Times New Roman" w:hint="cs"/>
                <w:rtl/>
              </w:rPr>
              <w:t>שופטת דנה מרשק מרום</w:t>
            </w:r>
            <w:r w:rsidRPr="009C4FE7">
              <w:rPr>
                <w:rStyle w:val="TimesNewRomanTimesNewRoman"/>
                <w:rFonts w:eastAsia="Times New Roman"/>
                <w:rtl/>
              </w:rPr>
              <w:t xml:space="preserve"> </w:t>
            </w:r>
          </w:p>
        </w:tc>
      </w:tr>
      <w:tr w:rsidR="00A82FEA" w:rsidRPr="009C4FE7" w14:paraId="03BBADCB" w14:textId="77777777">
        <w:tblPrEx>
          <w:jc w:val="left"/>
          <w:tblLook w:val="01E0" w:firstRow="1" w:lastRow="1" w:firstColumn="1" w:lastColumn="1" w:noHBand="0" w:noVBand="0"/>
        </w:tblPrEx>
        <w:tc>
          <w:tcPr>
            <w:tcW w:w="2880" w:type="dxa"/>
            <w:gridSpan w:val="2"/>
          </w:tcPr>
          <w:p w14:paraId="2C3E1F57" w14:textId="77777777" w:rsidR="00A82FEA" w:rsidRPr="009C4FE7" w:rsidRDefault="009C4FE7">
            <w:pPr>
              <w:ind w:left="26"/>
              <w:rPr>
                <w:rFonts w:ascii="Times New Roman" w:eastAsia="Times New Roman" w:hAnsi="Times New Roman"/>
                <w:b/>
                <w:bCs/>
                <w:sz w:val="26"/>
                <w:szCs w:val="26"/>
                <w:rtl/>
              </w:rPr>
            </w:pPr>
            <w:bookmarkStart w:id="1" w:name="FirstAppellant"/>
            <w:r w:rsidRPr="009C4FE7">
              <w:rPr>
                <w:rFonts w:ascii="Times New Roman" w:eastAsia="Times New Roman" w:hAnsi="Times New Roman" w:hint="cs"/>
                <w:b/>
                <w:bCs/>
                <w:sz w:val="26"/>
                <w:szCs w:val="26"/>
                <w:rtl/>
              </w:rPr>
              <w:t>ה</w:t>
            </w:r>
            <w:r w:rsidRPr="009C4FE7">
              <w:rPr>
                <w:rFonts w:ascii="Times New Roman" w:eastAsia="Times New Roman" w:hAnsi="Times New Roman" w:hint="cs"/>
                <w:rtl/>
              </w:rPr>
              <w:t>מאשימה</w:t>
            </w:r>
          </w:p>
        </w:tc>
        <w:tc>
          <w:tcPr>
            <w:tcW w:w="5922" w:type="dxa"/>
            <w:gridSpan w:val="3"/>
          </w:tcPr>
          <w:p w14:paraId="66451822" w14:textId="77777777" w:rsidR="00A82FEA" w:rsidRPr="009C4FE7" w:rsidRDefault="009C4FE7">
            <w:pPr>
              <w:rPr>
                <w:rFonts w:ascii="Times New Roman" w:eastAsia="Times New Roman" w:hAnsi="Times New Roman"/>
                <w:b/>
                <w:bCs/>
                <w:sz w:val="26"/>
                <w:szCs w:val="26"/>
                <w:rtl/>
              </w:rPr>
            </w:pPr>
            <w:r w:rsidRPr="009C4FE7">
              <w:rPr>
                <w:rFonts w:ascii="Times New Roman" w:eastAsia="Times New Roman" w:hAnsi="Times New Roman" w:hint="cs"/>
                <w:rtl/>
              </w:rPr>
              <w:t>מדינת ישראל</w:t>
            </w:r>
          </w:p>
        </w:tc>
      </w:tr>
      <w:bookmarkEnd w:id="1"/>
      <w:tr w:rsidR="00A82FEA" w:rsidRPr="009C4FE7" w14:paraId="62CC5969" w14:textId="77777777">
        <w:tblPrEx>
          <w:jc w:val="left"/>
          <w:tblLook w:val="01E0" w:firstRow="1" w:lastRow="1" w:firstColumn="1" w:lastColumn="1" w:noHBand="0" w:noVBand="0"/>
        </w:tblPrEx>
        <w:tc>
          <w:tcPr>
            <w:tcW w:w="8802" w:type="dxa"/>
            <w:gridSpan w:val="5"/>
          </w:tcPr>
          <w:p w14:paraId="5206E544" w14:textId="77777777" w:rsidR="00A82FEA" w:rsidRPr="009C4FE7" w:rsidRDefault="00A82FEA">
            <w:pPr>
              <w:jc w:val="both"/>
              <w:rPr>
                <w:rFonts w:ascii="Arial" w:eastAsia="Times New Roman" w:hAnsi="Arial"/>
                <w:b/>
                <w:bCs/>
                <w:sz w:val="26"/>
                <w:szCs w:val="26"/>
                <w:rtl/>
              </w:rPr>
            </w:pPr>
          </w:p>
          <w:p w14:paraId="6D963519" w14:textId="77777777" w:rsidR="00A82FEA" w:rsidRPr="009C4FE7" w:rsidRDefault="009C4FE7">
            <w:pPr>
              <w:jc w:val="center"/>
              <w:rPr>
                <w:rFonts w:ascii="Arial" w:eastAsia="Times New Roman" w:hAnsi="Arial"/>
                <w:b/>
                <w:bCs/>
                <w:sz w:val="26"/>
                <w:szCs w:val="26"/>
                <w:rtl/>
              </w:rPr>
            </w:pPr>
            <w:r w:rsidRPr="009C4FE7">
              <w:rPr>
                <w:rFonts w:ascii="Arial" w:eastAsia="Times New Roman" w:hAnsi="Arial"/>
                <w:b/>
                <w:bCs/>
                <w:sz w:val="26"/>
                <w:szCs w:val="26"/>
                <w:rtl/>
              </w:rPr>
              <w:t>נגד</w:t>
            </w:r>
          </w:p>
          <w:p w14:paraId="367FE04A" w14:textId="77777777" w:rsidR="00A82FEA" w:rsidRPr="009C4FE7" w:rsidRDefault="00A82FEA">
            <w:pPr>
              <w:jc w:val="center"/>
              <w:rPr>
                <w:rFonts w:ascii="Arial" w:eastAsia="Times New Roman" w:hAnsi="Arial"/>
                <w:b/>
                <w:bCs/>
                <w:sz w:val="26"/>
                <w:szCs w:val="26"/>
              </w:rPr>
            </w:pPr>
          </w:p>
        </w:tc>
      </w:tr>
      <w:tr w:rsidR="00A82FEA" w:rsidRPr="009C4FE7" w14:paraId="4A1E3B89" w14:textId="77777777">
        <w:tblPrEx>
          <w:jc w:val="left"/>
          <w:tblLook w:val="01E0" w:firstRow="1" w:lastRow="1" w:firstColumn="1" w:lastColumn="1" w:noHBand="0" w:noVBand="0"/>
        </w:tblPrEx>
        <w:tc>
          <w:tcPr>
            <w:tcW w:w="2880" w:type="dxa"/>
            <w:gridSpan w:val="2"/>
          </w:tcPr>
          <w:p w14:paraId="548F0BE0" w14:textId="77777777" w:rsidR="00A82FEA" w:rsidRPr="009C4FE7" w:rsidRDefault="009C4FE7">
            <w:pPr>
              <w:ind w:left="26"/>
              <w:rPr>
                <w:rFonts w:ascii="Times New Roman" w:eastAsia="Times New Roman" w:hAnsi="Times New Roman"/>
                <w:b/>
                <w:bCs/>
                <w:sz w:val="26"/>
                <w:szCs w:val="26"/>
                <w:rtl/>
              </w:rPr>
            </w:pPr>
            <w:r w:rsidRPr="009C4FE7">
              <w:rPr>
                <w:rFonts w:ascii="Times New Roman" w:eastAsia="Times New Roman" w:hAnsi="Times New Roman" w:hint="cs"/>
                <w:b/>
                <w:bCs/>
                <w:sz w:val="26"/>
                <w:szCs w:val="26"/>
                <w:rtl/>
              </w:rPr>
              <w:t>ה</w:t>
            </w:r>
            <w:r w:rsidRPr="009C4FE7">
              <w:rPr>
                <w:rFonts w:ascii="Times New Roman" w:eastAsia="Times New Roman" w:hAnsi="Times New Roman" w:hint="cs"/>
                <w:rtl/>
              </w:rPr>
              <w:t>נאשם</w:t>
            </w:r>
          </w:p>
        </w:tc>
        <w:tc>
          <w:tcPr>
            <w:tcW w:w="5922" w:type="dxa"/>
            <w:gridSpan w:val="3"/>
          </w:tcPr>
          <w:p w14:paraId="0EC77E73" w14:textId="77777777" w:rsidR="00A82FEA" w:rsidRPr="009C4FE7" w:rsidRDefault="009C4FE7">
            <w:pPr>
              <w:rPr>
                <w:rFonts w:ascii="Times New Roman" w:eastAsia="Times New Roman" w:hAnsi="Times New Roman"/>
                <w:b/>
                <w:bCs/>
                <w:sz w:val="26"/>
                <w:szCs w:val="26"/>
                <w:rtl/>
              </w:rPr>
            </w:pPr>
            <w:r w:rsidRPr="009C4FE7">
              <w:rPr>
                <w:rFonts w:ascii="Times New Roman" w:eastAsia="Times New Roman" w:hAnsi="Times New Roman" w:hint="cs"/>
                <w:rtl/>
              </w:rPr>
              <w:t>נוח עמשה</w:t>
            </w:r>
          </w:p>
          <w:p w14:paraId="164AAEBD" w14:textId="77777777" w:rsidR="00A82FEA" w:rsidRPr="009C4FE7" w:rsidRDefault="00A82FEA">
            <w:pPr>
              <w:rPr>
                <w:rFonts w:ascii="Times New Roman" w:eastAsia="Times New Roman" w:hAnsi="Times New Roman"/>
                <w:b/>
                <w:bCs/>
                <w:sz w:val="26"/>
                <w:szCs w:val="26"/>
                <w:rtl/>
              </w:rPr>
            </w:pPr>
          </w:p>
        </w:tc>
      </w:tr>
      <w:tr w:rsidR="00A82FEA" w:rsidRPr="009C4FE7" w14:paraId="02363EAA" w14:textId="77777777">
        <w:tblPrEx>
          <w:jc w:val="left"/>
          <w:tblLook w:val="01E0" w:firstRow="1" w:lastRow="1" w:firstColumn="1" w:lastColumn="1" w:noHBand="0" w:noVBand="0"/>
        </w:tblPrEx>
        <w:tc>
          <w:tcPr>
            <w:tcW w:w="3240" w:type="dxa"/>
            <w:gridSpan w:val="3"/>
          </w:tcPr>
          <w:p w14:paraId="04DEDD6D" w14:textId="77777777" w:rsidR="00A82FEA" w:rsidRPr="009C4FE7" w:rsidRDefault="00A82FEA"/>
        </w:tc>
        <w:tc>
          <w:tcPr>
            <w:tcW w:w="5562" w:type="dxa"/>
            <w:gridSpan w:val="2"/>
          </w:tcPr>
          <w:p w14:paraId="74E14C3A" w14:textId="77777777" w:rsidR="00A82FEA" w:rsidRPr="009C4FE7" w:rsidRDefault="009C4FE7">
            <w:r w:rsidRPr="009C4FE7">
              <w:rPr>
                <w:rFonts w:ascii="Times New Roman" w:eastAsia="Times New Roman" w:hAnsi="Times New Roman" w:cs="Times New Roman" w:hint="cs"/>
                <w:rtl/>
              </w:rPr>
              <w:t xml:space="preserve"> </w:t>
            </w:r>
          </w:p>
        </w:tc>
      </w:tr>
    </w:tbl>
    <w:p w14:paraId="760EC151" w14:textId="77777777" w:rsidR="00A82FEA" w:rsidRPr="009C4FE7" w:rsidRDefault="009C4FE7">
      <w:pPr>
        <w:jc w:val="both"/>
        <w:rPr>
          <w:rFonts w:ascii="Arial" w:hAnsi="Arial"/>
          <w:b/>
          <w:bCs/>
        </w:rPr>
      </w:pPr>
      <w:r w:rsidRPr="009C4FE7">
        <w:rPr>
          <w:rFonts w:ascii="Arial" w:hAnsi="Arial" w:hint="cs"/>
          <w:b/>
          <w:bCs/>
          <w:rtl/>
        </w:rPr>
        <w:t>נוכחים:</w:t>
      </w:r>
    </w:p>
    <w:p w14:paraId="2F1B3E29" w14:textId="77777777" w:rsidR="00A82FEA" w:rsidRPr="009C4FE7" w:rsidRDefault="009C4FE7">
      <w:pPr>
        <w:rPr>
          <w:rFonts w:ascii="Times New Roman" w:hAnsi="Times New Roman"/>
          <w:b/>
          <w:bCs/>
          <w:rtl/>
        </w:rPr>
      </w:pPr>
      <w:bookmarkStart w:id="2" w:name="FirstLawyer"/>
      <w:r w:rsidRPr="009C4FE7">
        <w:rPr>
          <w:rFonts w:ascii="Times New Roman" w:hAnsi="Times New Roman" w:hint="cs"/>
          <w:b/>
          <w:bCs/>
          <w:rtl/>
        </w:rPr>
        <w:t>ב"כ</w:t>
      </w:r>
      <w:bookmarkEnd w:id="2"/>
      <w:r w:rsidRPr="009C4FE7">
        <w:rPr>
          <w:rFonts w:ascii="Times New Roman" w:hAnsi="Times New Roman" w:hint="cs"/>
          <w:b/>
          <w:bCs/>
          <w:rtl/>
        </w:rPr>
        <w:t xml:space="preserve"> המאשימה עו"ד דבורה דורסמן ועו"ד דפנה ינוביץ</w:t>
      </w:r>
    </w:p>
    <w:p w14:paraId="432C6D82" w14:textId="77777777" w:rsidR="00A82FEA" w:rsidRPr="009C4FE7" w:rsidRDefault="009C4FE7">
      <w:pPr>
        <w:rPr>
          <w:rFonts w:ascii="Times New Roman" w:hAnsi="Times New Roman"/>
          <w:b/>
          <w:bCs/>
          <w:rtl/>
        </w:rPr>
      </w:pPr>
      <w:r w:rsidRPr="009C4FE7">
        <w:rPr>
          <w:rFonts w:ascii="Times New Roman" w:hAnsi="Times New Roman" w:hint="cs"/>
          <w:b/>
          <w:bCs/>
          <w:rtl/>
        </w:rPr>
        <w:t>הנאשם בעצמו וע"י ב"כ עו"ד הילל ג'אבר</w:t>
      </w:r>
    </w:p>
    <w:p w14:paraId="1A71DA10" w14:textId="77777777" w:rsidR="00A82FEA" w:rsidRPr="009C4FE7" w:rsidRDefault="009C4FE7">
      <w:pPr>
        <w:spacing w:line="360" w:lineRule="auto"/>
        <w:jc w:val="both"/>
        <w:rPr>
          <w:sz w:val="6"/>
          <w:szCs w:val="6"/>
          <w:rtl/>
        </w:rPr>
      </w:pPr>
      <w:r w:rsidRPr="009C4FE7">
        <w:rPr>
          <w:sz w:val="6"/>
          <w:szCs w:val="6"/>
          <w:rtl/>
        </w:rPr>
        <w:t>&lt;#1#&gt;</w:t>
      </w:r>
    </w:p>
    <w:p w14:paraId="1CC75661" w14:textId="77777777" w:rsidR="00A82FEA" w:rsidRPr="009C4FE7" w:rsidRDefault="00A82FEA">
      <w:pPr>
        <w:pStyle w:val="12"/>
        <w:rPr>
          <w:b w:val="0"/>
          <w:bCs w:val="0"/>
          <w:u w:val="none"/>
          <w:rtl/>
        </w:rPr>
      </w:pPr>
    </w:p>
    <w:p w14:paraId="2649946B" w14:textId="77777777" w:rsidR="00A82FEA" w:rsidRPr="009C4FE7" w:rsidRDefault="009C4FE7">
      <w:pPr>
        <w:spacing w:line="360" w:lineRule="auto"/>
        <w:ind w:left="720" w:hanging="720"/>
        <w:jc w:val="center"/>
        <w:rPr>
          <w:b/>
          <w:bCs/>
          <w:sz w:val="28"/>
          <w:szCs w:val="28"/>
          <w:rtl/>
        </w:rPr>
      </w:pPr>
      <w:r w:rsidRPr="009C4FE7">
        <w:rPr>
          <w:b/>
          <w:color w:val="FF0000"/>
          <w:sz w:val="28"/>
          <w:rtl/>
        </w:rPr>
        <w:t>במסמך זה הושמטו פרוטוקולים</w:t>
      </w:r>
    </w:p>
    <w:p w14:paraId="6FCF83CA" w14:textId="77777777" w:rsidR="009C4FE7" w:rsidRPr="009C4FE7" w:rsidRDefault="009C4FE7">
      <w:pPr>
        <w:spacing w:line="360" w:lineRule="auto"/>
        <w:ind w:left="720" w:hanging="720"/>
        <w:jc w:val="center"/>
        <w:rPr>
          <w:b/>
          <w:bCs/>
          <w:sz w:val="28"/>
          <w:szCs w:val="28"/>
          <w:rtl/>
        </w:rPr>
      </w:pPr>
    </w:p>
    <w:p w14:paraId="06FFE20F" w14:textId="77777777" w:rsidR="009C4FE7" w:rsidRPr="009C4FE7" w:rsidRDefault="009C4FE7" w:rsidP="009C4FE7">
      <w:pPr>
        <w:spacing w:line="360" w:lineRule="auto"/>
        <w:ind w:left="720" w:hanging="720"/>
        <w:jc w:val="center"/>
        <w:rPr>
          <w:b/>
          <w:bCs/>
          <w:sz w:val="28"/>
          <w:szCs w:val="28"/>
          <w:u w:val="single"/>
          <w:rtl/>
        </w:rPr>
      </w:pPr>
      <w:bookmarkStart w:id="3" w:name="PsakDin"/>
      <w:bookmarkEnd w:id="0"/>
      <w:r w:rsidRPr="009C4FE7">
        <w:rPr>
          <w:b/>
          <w:bCs/>
          <w:sz w:val="28"/>
          <w:szCs w:val="28"/>
          <w:u w:val="single"/>
          <w:rtl/>
        </w:rPr>
        <w:t>גזר-דין</w:t>
      </w:r>
    </w:p>
    <w:bookmarkEnd w:id="3"/>
    <w:p w14:paraId="21900EBA" w14:textId="77777777" w:rsidR="00A82FEA" w:rsidRDefault="009C4FE7">
      <w:pPr>
        <w:spacing w:line="360" w:lineRule="auto"/>
        <w:ind w:left="720" w:hanging="720"/>
        <w:jc w:val="both"/>
        <w:rPr>
          <w:rtl/>
        </w:rPr>
      </w:pPr>
      <w:r>
        <w:rPr>
          <w:rFonts w:hint="cs"/>
          <w:rtl/>
        </w:rPr>
        <w:t>1.</w:t>
      </w:r>
      <w:r>
        <w:rPr>
          <w:rtl/>
        </w:rPr>
        <w:tab/>
      </w:r>
      <w:bookmarkStart w:id="4" w:name="ABSTRACT_START"/>
      <w:bookmarkEnd w:id="4"/>
      <w:r>
        <w:rPr>
          <w:rtl/>
        </w:rPr>
        <w:t xml:space="preserve">הנאשם הורשע על יסוד הודאתו בעובדות כתב-אישום, במסגרת הסדר </w:t>
      </w:r>
      <w:r>
        <w:rPr>
          <w:rFonts w:hint="cs"/>
          <w:rtl/>
        </w:rPr>
        <w:t>דיוני</w:t>
      </w:r>
      <w:r>
        <w:rPr>
          <w:rtl/>
        </w:rPr>
        <w:t xml:space="preserve">, בביצוע </w:t>
      </w:r>
      <w:r>
        <w:rPr>
          <w:rFonts w:hint="cs"/>
          <w:rtl/>
        </w:rPr>
        <w:t xml:space="preserve">עבירה </w:t>
      </w:r>
      <w:r>
        <w:rPr>
          <w:rtl/>
        </w:rPr>
        <w:t>של</w:t>
      </w:r>
      <w:r>
        <w:rPr>
          <w:rFonts w:hint="cs"/>
          <w:rtl/>
        </w:rPr>
        <w:t xml:space="preserve"> החזקת תחמושת לפי סע' 144 (א) סיפא  ל</w:t>
      </w:r>
      <w:hyperlink r:id="rId6" w:history="1">
        <w:r w:rsidRPr="009C4FE7">
          <w:rPr>
            <w:color w:val="0000FF"/>
            <w:u w:val="single"/>
            <w:rtl/>
          </w:rPr>
          <w:t>חוק העונשין</w:t>
        </w:r>
      </w:hyperlink>
      <w:r>
        <w:rPr>
          <w:rFonts w:hint="cs"/>
          <w:rtl/>
        </w:rPr>
        <w:t>, בכך שביום 25.06.2012, בבית עסקו שבטייבה הסליק בתוך חור בקיר שכוסה באריח קרמיקה בשתי כוורות לכדורי אקדח, ובהם 125 כדורים בקוטר 9 מ"מ.</w:t>
      </w:r>
    </w:p>
    <w:p w14:paraId="2E91AEAB" w14:textId="77777777" w:rsidR="00A82FEA" w:rsidRDefault="00A82FEA">
      <w:pPr>
        <w:spacing w:line="360" w:lineRule="auto"/>
        <w:ind w:left="720" w:hanging="720"/>
        <w:jc w:val="both"/>
        <w:rPr>
          <w:rtl/>
        </w:rPr>
      </w:pPr>
      <w:bookmarkStart w:id="5" w:name="ABSTRACT_END"/>
      <w:bookmarkEnd w:id="5"/>
    </w:p>
    <w:p w14:paraId="25E69955" w14:textId="77777777" w:rsidR="00A82FEA" w:rsidRDefault="009C4FE7">
      <w:pPr>
        <w:spacing w:line="360" w:lineRule="auto"/>
        <w:ind w:left="720" w:hanging="720"/>
        <w:jc w:val="both"/>
        <w:rPr>
          <w:rtl/>
        </w:rPr>
      </w:pPr>
      <w:r>
        <w:rPr>
          <w:rFonts w:hint="cs"/>
          <w:rtl/>
        </w:rPr>
        <w:t>2.</w:t>
      </w:r>
      <w:r>
        <w:rPr>
          <w:rtl/>
        </w:rPr>
        <w:tab/>
      </w:r>
      <w:r>
        <w:rPr>
          <w:rFonts w:hint="cs"/>
          <w:rtl/>
        </w:rPr>
        <w:t xml:space="preserve">במסגרת ההסדר סוכם על שליחתו של הנאשם לקבלת תסקיר, ואומר כבר כי אין המלצה טיפולית עניינו, אך יש לקחת בחשבון כי מדובר בגבר בן 56, המתפקד באורח חיובי בעבודה ובמשפחה, כשאירוע זה והרשעה קודמת הן הסתבכויותיו היחידות בפלילים. ייאמר כבר, כי בסלע המחלוקת קיומו של מאסר על תנאי בן 8 חודשים שהינו בר הפעלה. </w:t>
      </w:r>
    </w:p>
    <w:p w14:paraId="1A952919" w14:textId="77777777" w:rsidR="00A82FEA" w:rsidRDefault="00A82FEA">
      <w:pPr>
        <w:jc w:val="both"/>
        <w:rPr>
          <w:rtl/>
        </w:rPr>
      </w:pPr>
    </w:p>
    <w:p w14:paraId="6756680A" w14:textId="77777777" w:rsidR="00A82FEA" w:rsidRDefault="009C4FE7">
      <w:pPr>
        <w:spacing w:line="360" w:lineRule="auto"/>
        <w:ind w:left="720" w:hanging="720"/>
        <w:jc w:val="both"/>
        <w:rPr>
          <w:rtl/>
        </w:rPr>
      </w:pPr>
      <w:r>
        <w:rPr>
          <w:rtl/>
        </w:rPr>
        <w:t>3.</w:t>
      </w:r>
      <w:r>
        <w:rPr>
          <w:rtl/>
        </w:rPr>
        <w:tab/>
      </w:r>
      <w:r>
        <w:rPr>
          <w:rFonts w:hint="cs"/>
          <w:rtl/>
        </w:rPr>
        <w:t xml:space="preserve">ב"כ המאשימה הגישה לעיון בית משפט את רישיון הר.פ. של הנאשם, הכולל הרשעה בביצוע עבירה זהה משנת 2010, כשכאמור הוטל על הנאשם עונש מאסר על תנאי בן 8 חודשים וכן קנס בסך 10,000 ₪ לא היה בכך כדי להרתיעו, כאשר לטעם התביעה כמות הכדורים, אופן ההחזקה והעדר קיומה של המלצה טיפולית מביא לעתירה של הפעלת המאסר על תנאי, הטלת מאסר במצטבר, מאסר על תנאי וקנס. </w:t>
      </w:r>
    </w:p>
    <w:p w14:paraId="78E23E2B" w14:textId="77777777" w:rsidR="00A82FEA" w:rsidRDefault="00A82FEA">
      <w:pPr>
        <w:ind w:left="720" w:hanging="720"/>
        <w:jc w:val="both"/>
        <w:rPr>
          <w:rtl/>
        </w:rPr>
      </w:pPr>
    </w:p>
    <w:p w14:paraId="1A77DF1A" w14:textId="77777777" w:rsidR="00A82FEA" w:rsidRDefault="009C4FE7">
      <w:pPr>
        <w:spacing w:line="360" w:lineRule="auto"/>
        <w:ind w:left="720" w:hanging="720"/>
        <w:jc w:val="both"/>
        <w:rPr>
          <w:rtl/>
        </w:rPr>
      </w:pPr>
      <w:r>
        <w:rPr>
          <w:rFonts w:hint="cs"/>
          <w:rtl/>
        </w:rPr>
        <w:t>4.</w:t>
      </w:r>
      <w:r>
        <w:rPr>
          <w:rtl/>
        </w:rPr>
        <w:tab/>
      </w:r>
      <w:r>
        <w:rPr>
          <w:rFonts w:hint="cs"/>
          <w:rtl/>
        </w:rPr>
        <w:t xml:space="preserve">הסנגור הדגיש כי מדובר בנאשם שנטל אחריות על מעשיו, חש בושה עליהם וטענתו כי מדובר בהסתבכות המשכית להסתבכותו הראשונה לא נסתרה. עוד הפנה לאמור בתסקיר באשר לנסיבותיו המשפחתיות והאישיות, לתקופת המעצר בה שהה, וכן לעובדה ששוהה הוא בתנאים מגבילים במהלך שנה ומחצה. </w:t>
      </w:r>
    </w:p>
    <w:p w14:paraId="03B69615" w14:textId="77777777" w:rsidR="00A82FEA" w:rsidRDefault="00A82FEA">
      <w:pPr>
        <w:ind w:left="720" w:hanging="720"/>
        <w:jc w:val="both"/>
        <w:rPr>
          <w:rtl/>
        </w:rPr>
      </w:pPr>
    </w:p>
    <w:p w14:paraId="0EA8487F" w14:textId="77777777" w:rsidR="00A82FEA" w:rsidRDefault="009C4FE7">
      <w:pPr>
        <w:jc w:val="both"/>
        <w:rPr>
          <w:rtl/>
        </w:rPr>
      </w:pPr>
      <w:r>
        <w:rPr>
          <w:rtl/>
        </w:rPr>
        <w:t>5.</w:t>
      </w:r>
      <w:r>
        <w:rPr>
          <w:rtl/>
        </w:rPr>
        <w:tab/>
      </w:r>
      <w:r>
        <w:rPr>
          <w:rFonts w:hint="cs"/>
          <w:rtl/>
        </w:rPr>
        <w:t xml:space="preserve">שמעתי כמובן גם את דברי הנאשם. </w:t>
      </w:r>
    </w:p>
    <w:p w14:paraId="68F1F1B2" w14:textId="77777777" w:rsidR="00A82FEA" w:rsidRDefault="00A82FEA">
      <w:pPr>
        <w:jc w:val="both"/>
        <w:rPr>
          <w:rtl/>
        </w:rPr>
      </w:pPr>
    </w:p>
    <w:p w14:paraId="24D23765" w14:textId="77777777" w:rsidR="00A82FEA" w:rsidRDefault="009C4FE7">
      <w:pPr>
        <w:spacing w:line="360" w:lineRule="auto"/>
        <w:ind w:left="720" w:hanging="720"/>
        <w:jc w:val="both"/>
        <w:rPr>
          <w:rtl/>
        </w:rPr>
      </w:pPr>
      <w:r>
        <w:rPr>
          <w:rFonts w:hint="cs"/>
          <w:rtl/>
        </w:rPr>
        <w:t>6.</w:t>
      </w:r>
      <w:r>
        <w:rPr>
          <w:rFonts w:hint="cs"/>
          <w:rtl/>
        </w:rPr>
        <w:tab/>
        <w:t xml:space="preserve">צודקת ב"כ המאשימה כי במעשיו פגע הנאשם בערך החברתי של שמירה על בטחון הציבור כשעבירות הנשק מהוות מכת אזור של ממש. מבחינת נסיבות העבירה, אכן לא ניתן להתעלם מאופן ההחזקה, תוך הסלקה מכוונת ומהכמות הניכרת של הכדורים בהם החזיק הנאשם. </w:t>
      </w:r>
    </w:p>
    <w:p w14:paraId="2FA3EF97" w14:textId="77777777" w:rsidR="00A82FEA" w:rsidRDefault="00A82FEA">
      <w:pPr>
        <w:jc w:val="both"/>
        <w:rPr>
          <w:rtl/>
        </w:rPr>
      </w:pPr>
    </w:p>
    <w:p w14:paraId="3F2B3BC9" w14:textId="77777777" w:rsidR="00A82FEA" w:rsidRDefault="009C4FE7">
      <w:pPr>
        <w:spacing w:line="360" w:lineRule="auto"/>
        <w:ind w:left="720" w:hanging="720"/>
        <w:jc w:val="both"/>
        <w:rPr>
          <w:rtl/>
        </w:rPr>
      </w:pPr>
      <w:r>
        <w:rPr>
          <w:rFonts w:hint="cs"/>
          <w:rtl/>
        </w:rPr>
        <w:t>7.</w:t>
      </w:r>
      <w:r>
        <w:rPr>
          <w:rFonts w:hint="cs"/>
          <w:rtl/>
        </w:rPr>
        <w:tab/>
        <w:t xml:space="preserve">באופן עקרוני, ומבלי לקבוע מסמרות, מתחם העונש ההולם נע בין מספר חודשי מאסר שיכול וירוצו בעבודות שירות ועד למספר חודשי מאסר בפועל. </w:t>
      </w:r>
    </w:p>
    <w:p w14:paraId="78A1763E" w14:textId="77777777" w:rsidR="00A82FEA" w:rsidRDefault="00A82FEA">
      <w:pPr>
        <w:ind w:left="720" w:hanging="720"/>
        <w:jc w:val="both"/>
        <w:rPr>
          <w:rtl/>
        </w:rPr>
      </w:pPr>
    </w:p>
    <w:p w14:paraId="65421BC3" w14:textId="77777777" w:rsidR="00A82FEA" w:rsidRDefault="009C4FE7">
      <w:pPr>
        <w:spacing w:line="360" w:lineRule="auto"/>
        <w:ind w:left="720" w:hanging="720"/>
        <w:jc w:val="both"/>
        <w:rPr>
          <w:rtl/>
        </w:rPr>
      </w:pPr>
      <w:r>
        <w:rPr>
          <w:rFonts w:hint="cs"/>
          <w:rtl/>
        </w:rPr>
        <w:t>8.</w:t>
      </w:r>
      <w:r>
        <w:rPr>
          <w:rFonts w:hint="cs"/>
          <w:rtl/>
        </w:rPr>
        <w:tab/>
        <w:t xml:space="preserve">עם זאת, השאלה העומדת לפתחי היא באשר לאפשרות להאריך את התנאי ולהיעתר לבקשת ההגנה או שמא להפעילו כעתירת התביעה. </w:t>
      </w:r>
    </w:p>
    <w:p w14:paraId="342FEFC4" w14:textId="77777777" w:rsidR="00A82FEA" w:rsidRDefault="00A82FEA">
      <w:pPr>
        <w:ind w:left="720" w:hanging="720"/>
        <w:jc w:val="both"/>
        <w:rPr>
          <w:rtl/>
        </w:rPr>
      </w:pPr>
    </w:p>
    <w:p w14:paraId="2E0E0992" w14:textId="77777777" w:rsidR="00A82FEA" w:rsidRDefault="009C4FE7">
      <w:pPr>
        <w:spacing w:line="360" w:lineRule="auto"/>
        <w:ind w:left="720" w:hanging="720"/>
        <w:jc w:val="both"/>
        <w:rPr>
          <w:rtl/>
        </w:rPr>
      </w:pPr>
      <w:r>
        <w:rPr>
          <w:rFonts w:hint="cs"/>
          <w:rtl/>
        </w:rPr>
        <w:t>9.</w:t>
      </w:r>
      <w:r>
        <w:rPr>
          <w:rFonts w:hint="cs"/>
          <w:rtl/>
        </w:rPr>
        <w:tab/>
        <w:t xml:space="preserve">אומר כבר, כי לאור הודאתו של הנאשם, משכו של התנאי (שמחייב שליחתו אל מאחורי סורג ובריח), ובעיקר נוכח האמור בתסקיר, הכרעתי היא כי יהיה צודק להאריך את המאסר על תנאי התלוי ועומד כנגד הנאשם. </w:t>
      </w:r>
    </w:p>
    <w:p w14:paraId="6B91F7EF" w14:textId="77777777" w:rsidR="00A82FEA" w:rsidRDefault="00A82FEA">
      <w:pPr>
        <w:spacing w:line="360" w:lineRule="auto"/>
        <w:ind w:left="720" w:hanging="720"/>
        <w:jc w:val="both"/>
        <w:rPr>
          <w:rtl/>
        </w:rPr>
      </w:pPr>
    </w:p>
    <w:p w14:paraId="59E17A1E" w14:textId="77777777" w:rsidR="00A82FEA" w:rsidRDefault="009C4FE7">
      <w:pPr>
        <w:spacing w:line="360" w:lineRule="auto"/>
        <w:ind w:left="720" w:hanging="720"/>
        <w:jc w:val="both"/>
        <w:rPr>
          <w:rtl/>
        </w:rPr>
      </w:pPr>
      <w:r>
        <w:rPr>
          <w:rFonts w:hint="cs"/>
          <w:rtl/>
        </w:rPr>
        <w:t>10.</w:t>
      </w:r>
      <w:r>
        <w:rPr>
          <w:rFonts w:hint="cs"/>
          <w:rtl/>
        </w:rPr>
        <w:tab/>
        <w:t xml:space="preserve">כאמור, מדובר באדם לא צעיר, יליד 1957, נשוי ואב ל-6 ילדים, אחד מבניו סובל ממחלת נפש קשה, כאשר על פי התסקיר, הוא זה שמטפל ודואג לבנו החולה וכן לאמו הסיעודית בת 100 שנים. מדובר בבעל עסק, אשר כעקרון מנהל אורח חיים נורמטיבי. הנאשם התקשה לשתף בנסיבות ובמניעים לביצוע העבירה, אך לטענתו אכן מדובר במה שכינה הסנגור "הסתבכות המשכית" להסתבכותו הקודמת, כאשר שכח מקיומם של אותם כדורים </w:t>
      </w:r>
      <w:r>
        <w:rPr>
          <w:rtl/>
        </w:rPr>
        <w:t>–</w:t>
      </w:r>
      <w:r>
        <w:rPr>
          <w:rFonts w:hint="cs"/>
          <w:rtl/>
        </w:rPr>
        <w:t xml:space="preserve"> טענה שלא נסתרה. </w:t>
      </w:r>
    </w:p>
    <w:p w14:paraId="3A16B920" w14:textId="77777777" w:rsidR="00A82FEA" w:rsidRDefault="00A82FEA">
      <w:pPr>
        <w:ind w:left="720" w:hanging="720"/>
        <w:jc w:val="both"/>
        <w:rPr>
          <w:rtl/>
        </w:rPr>
      </w:pPr>
    </w:p>
    <w:p w14:paraId="14C8CD81" w14:textId="77777777" w:rsidR="00A82FEA" w:rsidRDefault="009C4FE7">
      <w:pPr>
        <w:spacing w:line="360" w:lineRule="auto"/>
        <w:ind w:left="720" w:hanging="720"/>
        <w:jc w:val="both"/>
        <w:rPr>
          <w:rtl/>
        </w:rPr>
      </w:pPr>
      <w:r>
        <w:rPr>
          <w:rFonts w:hint="cs"/>
          <w:rtl/>
        </w:rPr>
        <w:tab/>
        <w:t xml:space="preserve">הנאשם שהה מאחורי סורג ובריח בתקופת מעצרו, כאשר הוא תאר את תקופה זו כחוויה קשה, מלווה בתחושות השפלה ובושה </w:t>
      </w:r>
      <w:r>
        <w:rPr>
          <w:rtl/>
        </w:rPr>
        <w:t>–</w:t>
      </w:r>
      <w:r>
        <w:rPr>
          <w:rFonts w:hint="cs"/>
          <w:rtl/>
        </w:rPr>
        <w:t xml:space="preserve"> תקופה אשר היוותה עבורו גורם מרתיע ומדרבן אשר המחישה לו את האסור והסיכון שבהתנהגותו. </w:t>
      </w:r>
    </w:p>
    <w:p w14:paraId="76808F46" w14:textId="77777777" w:rsidR="00A82FEA" w:rsidRDefault="00A82FEA">
      <w:pPr>
        <w:ind w:left="720" w:hanging="720"/>
        <w:jc w:val="both"/>
        <w:rPr>
          <w:rtl/>
        </w:rPr>
      </w:pPr>
    </w:p>
    <w:p w14:paraId="3D056039" w14:textId="77777777" w:rsidR="00A82FEA" w:rsidRDefault="009C4FE7">
      <w:pPr>
        <w:spacing w:line="360" w:lineRule="auto"/>
        <w:ind w:left="720" w:hanging="720"/>
        <w:jc w:val="both"/>
        <w:rPr>
          <w:rtl/>
        </w:rPr>
      </w:pPr>
      <w:r>
        <w:rPr>
          <w:rFonts w:hint="cs"/>
          <w:rtl/>
        </w:rPr>
        <w:t>11.</w:t>
      </w:r>
      <w:r>
        <w:rPr>
          <w:rFonts w:hint="cs"/>
          <w:rtl/>
        </w:rPr>
        <w:tab/>
        <w:t xml:space="preserve">אמנם, אין המלצה טיפולית בעניינו ואולם שירות המבחן מתרשם כי הפנים את האיסור והסיכון שבהתנהגותו, ומכלול הנסיבות מעלה צמצום הסיכון להישנות התנהגות בעייתית. </w:t>
      </w:r>
    </w:p>
    <w:p w14:paraId="124944D9" w14:textId="77777777" w:rsidR="00A82FEA" w:rsidRDefault="00A82FEA">
      <w:pPr>
        <w:ind w:left="720" w:hanging="720"/>
        <w:jc w:val="both"/>
        <w:rPr>
          <w:rtl/>
        </w:rPr>
      </w:pPr>
    </w:p>
    <w:p w14:paraId="1FE30004" w14:textId="77777777" w:rsidR="00A82FEA" w:rsidRDefault="009C4FE7">
      <w:pPr>
        <w:spacing w:line="360" w:lineRule="auto"/>
        <w:ind w:left="720" w:hanging="720"/>
        <w:jc w:val="both"/>
        <w:rPr>
          <w:rtl/>
        </w:rPr>
      </w:pPr>
      <w:r>
        <w:rPr>
          <w:rFonts w:hint="cs"/>
          <w:rtl/>
        </w:rPr>
        <w:t>12.</w:t>
      </w:r>
      <w:r>
        <w:rPr>
          <w:rFonts w:hint="cs"/>
          <w:rtl/>
        </w:rPr>
        <w:tab/>
        <w:t xml:space="preserve">על רקע האמור בתסקיר, תקופת שהייתו מאחורי סורג ובריח (כשלושה שבועות), התקופה הממושכת בה שהה בתנאים מגבילים ולקיחת האחריות על מעשיו ולאחר ששקלתי את מכלול השיקולים </w:t>
      </w:r>
      <w:r>
        <w:rPr>
          <w:rtl/>
        </w:rPr>
        <w:t>אני גוזרת על הנאשם את העונשים הבאים:</w:t>
      </w:r>
    </w:p>
    <w:p w14:paraId="6284625B" w14:textId="77777777" w:rsidR="00A82FEA" w:rsidRDefault="009C4FE7">
      <w:pPr>
        <w:jc w:val="both"/>
        <w:rPr>
          <w:rtl/>
        </w:rPr>
      </w:pPr>
      <w:r>
        <w:rPr>
          <w:rtl/>
        </w:rPr>
        <w:t xml:space="preserve"> </w:t>
      </w:r>
    </w:p>
    <w:p w14:paraId="0BBE3326" w14:textId="77777777" w:rsidR="00A82FEA" w:rsidRDefault="009C4FE7">
      <w:pPr>
        <w:spacing w:line="360" w:lineRule="auto"/>
        <w:ind w:left="720"/>
        <w:jc w:val="both"/>
        <w:rPr>
          <w:rtl/>
        </w:rPr>
      </w:pPr>
      <w:r>
        <w:rPr>
          <w:rFonts w:hint="cs"/>
          <w:rtl/>
        </w:rPr>
        <w:t>מאריכה מאסר על תנאי בן 8 חודשים מ</w:t>
      </w:r>
      <w:hyperlink r:id="rId7" w:history="1">
        <w:r w:rsidRPr="009C4FE7">
          <w:rPr>
            <w:color w:val="0000FF"/>
            <w:u w:val="single"/>
            <w:rtl/>
          </w:rPr>
          <w:t>ת.פ. 52921-12-10</w:t>
        </w:r>
      </w:hyperlink>
      <w:r>
        <w:rPr>
          <w:rFonts w:hint="cs"/>
          <w:rtl/>
        </w:rPr>
        <w:t xml:space="preserve"> (שלום כ"ס), גזר דין מיום 11.05.2011 למשך שנתיים. </w:t>
      </w:r>
    </w:p>
    <w:p w14:paraId="1ABCF679" w14:textId="77777777" w:rsidR="00A82FEA" w:rsidRDefault="00A82FEA">
      <w:pPr>
        <w:ind w:left="720"/>
        <w:jc w:val="both"/>
        <w:rPr>
          <w:rStyle w:val="normal-h1"/>
          <w:rtl/>
        </w:rPr>
      </w:pPr>
    </w:p>
    <w:p w14:paraId="5E48463D" w14:textId="77777777" w:rsidR="00A82FEA" w:rsidRDefault="009C4FE7">
      <w:pPr>
        <w:spacing w:line="360" w:lineRule="auto"/>
        <w:ind w:left="720"/>
        <w:jc w:val="both"/>
        <w:rPr>
          <w:rtl/>
        </w:rPr>
      </w:pPr>
      <w:r>
        <w:rPr>
          <w:rtl/>
        </w:rPr>
        <w:t xml:space="preserve">קנס בסך </w:t>
      </w:r>
      <w:r>
        <w:rPr>
          <w:rFonts w:hint="cs"/>
          <w:rtl/>
        </w:rPr>
        <w:t xml:space="preserve">15,000 </w:t>
      </w:r>
      <w:r>
        <w:rPr>
          <w:rtl/>
        </w:rPr>
        <w:t xml:space="preserve">₪, או </w:t>
      </w:r>
      <w:r>
        <w:rPr>
          <w:rFonts w:hint="cs"/>
          <w:rtl/>
        </w:rPr>
        <w:t xml:space="preserve">150 </w:t>
      </w:r>
      <w:r>
        <w:rPr>
          <w:rtl/>
        </w:rPr>
        <w:t xml:space="preserve">ימי מאסר תמורתו. </w:t>
      </w:r>
      <w:r>
        <w:rPr>
          <w:rFonts w:hint="cs"/>
          <w:rtl/>
        </w:rPr>
        <w:t xml:space="preserve">ככל שישנו פיקדון בתיק המ"ת יקוזז הוא לטובת הקנס, ובכל מקרה, </w:t>
      </w:r>
      <w:r>
        <w:rPr>
          <w:rtl/>
        </w:rPr>
        <w:t xml:space="preserve">הקנס </w:t>
      </w:r>
      <w:r>
        <w:rPr>
          <w:rFonts w:hint="cs"/>
          <w:rtl/>
        </w:rPr>
        <w:t xml:space="preserve">במלואו </w:t>
      </w:r>
      <w:r>
        <w:rPr>
          <w:rtl/>
        </w:rPr>
        <w:t xml:space="preserve">ישולם </w:t>
      </w:r>
      <w:r>
        <w:rPr>
          <w:rFonts w:hint="cs"/>
          <w:rtl/>
        </w:rPr>
        <w:t>עד ליום 01.01.2014.</w:t>
      </w:r>
    </w:p>
    <w:p w14:paraId="15BB7A8A" w14:textId="77777777" w:rsidR="00A82FEA" w:rsidRDefault="009C4FE7">
      <w:pPr>
        <w:ind w:left="720"/>
        <w:jc w:val="both"/>
        <w:rPr>
          <w:rtl/>
        </w:rPr>
      </w:pPr>
      <w:r>
        <w:rPr>
          <w:rtl/>
        </w:rPr>
        <w:lastRenderedPageBreak/>
        <w:t xml:space="preserve"> </w:t>
      </w:r>
    </w:p>
    <w:p w14:paraId="5458B495" w14:textId="77777777" w:rsidR="00A82FEA" w:rsidRDefault="009C4FE7">
      <w:pPr>
        <w:jc w:val="both"/>
        <w:rPr>
          <w:rtl/>
        </w:rPr>
      </w:pPr>
      <w:r>
        <w:rPr>
          <w:rtl/>
        </w:rPr>
        <w:t>ניתן צו להשמדת המוצג.</w:t>
      </w:r>
    </w:p>
    <w:p w14:paraId="6A1497A9" w14:textId="77777777" w:rsidR="00A82FEA" w:rsidRDefault="00A82FEA">
      <w:pPr>
        <w:rPr>
          <w:b/>
          <w:bCs/>
          <w:rtl/>
        </w:rPr>
      </w:pPr>
    </w:p>
    <w:p w14:paraId="330B1EF0" w14:textId="77777777" w:rsidR="00A82FEA" w:rsidRDefault="009C4FE7">
      <w:r>
        <w:rPr>
          <w:b/>
          <w:bCs/>
          <w:rtl/>
        </w:rPr>
        <w:t xml:space="preserve">הודעה זכות ערעור לבית-המשפט המחוזי בתוך 45 יום. </w:t>
      </w:r>
    </w:p>
    <w:p w14:paraId="4CAEB048" w14:textId="77777777" w:rsidR="00A82FEA" w:rsidRDefault="009C4FE7">
      <w:pPr>
        <w:rPr>
          <w:rtl/>
        </w:rPr>
      </w:pPr>
      <w:r>
        <w:rPr>
          <w:sz w:val="6"/>
          <w:szCs w:val="6"/>
          <w:rtl/>
        </w:rPr>
        <w:t>&lt;#2#&gt;</w:t>
      </w:r>
    </w:p>
    <w:p w14:paraId="64ADA4DA" w14:textId="77777777" w:rsidR="00A82FEA" w:rsidRDefault="009C4FE7">
      <w:pPr>
        <w:jc w:val="right"/>
        <w:rPr>
          <w:rtl/>
        </w:rPr>
      </w:pPr>
      <w:bookmarkStart w:id="6" w:name="_GoBack"/>
      <w:bookmarkEnd w:id="6"/>
      <w:r w:rsidRPr="009C4FE7">
        <w:rPr>
          <w:b/>
          <w:bCs/>
          <w:color w:val="FFFFFF"/>
          <w:sz w:val="2"/>
          <w:szCs w:val="2"/>
          <w:rtl/>
        </w:rPr>
        <w:t>5129371</w:t>
      </w:r>
      <w:r>
        <w:rPr>
          <w:b/>
          <w:bCs/>
          <w:rtl/>
        </w:rPr>
        <w:t xml:space="preserve">ניתנה והודעה היום כ"ז תשרי תשע"ד, 01/10/2013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82FEA" w14:paraId="3E6FD55A" w14:textId="77777777">
        <w:trPr>
          <w:trHeight w:val="364"/>
          <w:jc w:val="right"/>
        </w:trPr>
        <w:tc>
          <w:tcPr>
            <w:tcW w:w="3708" w:type="dxa"/>
          </w:tcPr>
          <w:p w14:paraId="749A3235" w14:textId="77777777" w:rsidR="00A82FEA" w:rsidRPr="009C4FE7" w:rsidRDefault="009C4FE7">
            <w:pPr>
              <w:jc w:val="center"/>
              <w:rPr>
                <w:rFonts w:ascii="Times New Roman" w:eastAsia="Times New Roman" w:hAnsi="Times New Roman" w:cs="Times New Roman"/>
                <w:color w:val="FFFFFF"/>
                <w:sz w:val="2"/>
                <w:szCs w:val="2"/>
              </w:rPr>
            </w:pPr>
            <w:r w:rsidRPr="009C4FE7">
              <w:rPr>
                <w:rFonts w:ascii="Times New Roman" w:eastAsia="Times New Roman" w:hAnsi="Times New Roman" w:cs="Times New Roman"/>
                <w:color w:val="FFFFFF"/>
                <w:sz w:val="2"/>
                <w:szCs w:val="2"/>
                <w:rtl/>
              </w:rPr>
              <w:t>54678313</w:t>
            </w:r>
          </w:p>
          <w:p w14:paraId="5A85147D" w14:textId="77777777" w:rsidR="00A82FEA" w:rsidRDefault="00A82FEA">
            <w:pPr>
              <w:jc w:val="center"/>
              <w:rPr>
                <w:rFonts w:ascii="Times New Roman" w:eastAsia="Times New Roman" w:hAnsi="Times New Roman" w:cs="Times New Roman"/>
                <w:rtl/>
              </w:rPr>
            </w:pPr>
          </w:p>
        </w:tc>
      </w:tr>
      <w:tr w:rsidR="00A82FEA" w14:paraId="5F7CDDCF" w14:textId="77777777">
        <w:trPr>
          <w:trHeight w:val="415"/>
          <w:jc w:val="right"/>
        </w:trPr>
        <w:tc>
          <w:tcPr>
            <w:tcW w:w="3708" w:type="dxa"/>
          </w:tcPr>
          <w:p w14:paraId="6358C4A5" w14:textId="77777777" w:rsidR="00A82FEA" w:rsidRDefault="009C4FE7">
            <w:pPr>
              <w:jc w:val="center"/>
              <w:rPr>
                <w:rFonts w:ascii="Times New Roman" w:eastAsia="Times New Roman" w:hAnsi="Times New Roman"/>
                <w:b/>
                <w:bCs/>
                <w:rtl/>
              </w:rPr>
            </w:pPr>
            <w:r>
              <w:rPr>
                <w:rFonts w:ascii="Times New Roman" w:eastAsia="Times New Roman" w:hAnsi="Times New Roman" w:hint="cs"/>
                <w:rtl/>
              </w:rPr>
              <w:t>דנה</w:t>
            </w:r>
            <w:r>
              <w:rPr>
                <w:rFonts w:ascii="Times New Roman" w:eastAsia="Times New Roman" w:hAnsi="Times New Roman" w:hint="cs"/>
                <w:b/>
                <w:bCs/>
                <w:rtl/>
              </w:rPr>
              <w:t xml:space="preserve"> </w:t>
            </w:r>
            <w:r>
              <w:rPr>
                <w:rFonts w:ascii="Times New Roman" w:eastAsia="Times New Roman" w:hAnsi="Times New Roman" w:hint="cs"/>
                <w:rtl/>
              </w:rPr>
              <w:t>מרשק מרום</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54562F4E" w14:textId="77777777" w:rsidR="00A82FEA" w:rsidRDefault="00A82FEA">
      <w:pPr>
        <w:jc w:val="right"/>
        <w:rPr>
          <w:rtl/>
        </w:rPr>
      </w:pPr>
    </w:p>
    <w:p w14:paraId="0961ACC4" w14:textId="77777777" w:rsidR="00A82FEA" w:rsidRDefault="009C4FE7">
      <w:r>
        <w:rPr>
          <w:rtl/>
        </w:rPr>
        <w:t>הוקלד</w:t>
      </w:r>
      <w:r>
        <w:t xml:space="preserve"> </w:t>
      </w:r>
      <w:r>
        <w:rPr>
          <w:rtl/>
        </w:rPr>
        <w:t>על</w:t>
      </w:r>
      <w:r>
        <w:t xml:space="preserve"> </w:t>
      </w:r>
      <w:r>
        <w:rPr>
          <w:rtl/>
        </w:rPr>
        <w:t>ידי</w:t>
      </w:r>
      <w:r>
        <w:t xml:space="preserve"> </w:t>
      </w:r>
      <w:r>
        <w:rPr>
          <w:rtl/>
        </w:rPr>
        <w:t>ארית</w:t>
      </w:r>
      <w:r>
        <w:t xml:space="preserve"> </w:t>
      </w:r>
      <w:r>
        <w:rPr>
          <w:rtl/>
        </w:rPr>
        <w:t>מליחי</w:t>
      </w:r>
    </w:p>
    <w:p w14:paraId="032D7E20" w14:textId="77777777" w:rsidR="009C4FE7" w:rsidRPr="009C4FE7" w:rsidRDefault="009C4FE7" w:rsidP="009C4FE7">
      <w:pPr>
        <w:keepNext/>
        <w:rPr>
          <w:color w:val="000000"/>
          <w:sz w:val="22"/>
          <w:szCs w:val="22"/>
          <w:rtl/>
        </w:rPr>
      </w:pPr>
    </w:p>
    <w:p w14:paraId="034C3778" w14:textId="77777777" w:rsidR="009C4FE7" w:rsidRPr="009C4FE7" w:rsidRDefault="009C4FE7" w:rsidP="009C4FE7">
      <w:pPr>
        <w:keepNext/>
        <w:rPr>
          <w:color w:val="000000"/>
          <w:sz w:val="22"/>
          <w:szCs w:val="22"/>
          <w:rtl/>
        </w:rPr>
      </w:pPr>
      <w:r w:rsidRPr="009C4FE7">
        <w:rPr>
          <w:color w:val="000000"/>
          <w:sz w:val="22"/>
          <w:szCs w:val="22"/>
          <w:rtl/>
        </w:rPr>
        <w:t>דנה מרשק מרום 54678313</w:t>
      </w:r>
    </w:p>
    <w:p w14:paraId="1DF89FA9" w14:textId="77777777" w:rsidR="009C4FE7" w:rsidRDefault="009C4FE7" w:rsidP="009C4FE7">
      <w:r w:rsidRPr="009C4FE7">
        <w:rPr>
          <w:color w:val="000000"/>
          <w:rtl/>
        </w:rPr>
        <w:t>נוסח מסמך זה כפוף לשינויי ניסוח ועריכה</w:t>
      </w:r>
    </w:p>
    <w:p w14:paraId="6611CF2F" w14:textId="77777777" w:rsidR="009C4FE7" w:rsidRDefault="009C4FE7" w:rsidP="009C4FE7">
      <w:pPr>
        <w:rPr>
          <w:rtl/>
        </w:rPr>
      </w:pPr>
    </w:p>
    <w:p w14:paraId="54462A7F" w14:textId="77777777" w:rsidR="009C4FE7" w:rsidRDefault="009C4FE7" w:rsidP="009C4FE7">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22D91D9C" w14:textId="77777777" w:rsidR="00A82FEA" w:rsidRPr="009C4FE7" w:rsidRDefault="00A82FEA" w:rsidP="009C4FE7">
      <w:pPr>
        <w:jc w:val="center"/>
        <w:rPr>
          <w:color w:val="0000FF"/>
          <w:u w:val="single"/>
        </w:rPr>
      </w:pPr>
    </w:p>
    <w:sectPr w:rsidR="00A82FEA" w:rsidRPr="009C4FE7" w:rsidSect="009C4FE7">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69E47" w14:textId="77777777" w:rsidR="005060C0" w:rsidRPr="00EE2AE1" w:rsidRDefault="005060C0">
      <w:pPr>
        <w:rPr>
          <w:rFonts w:cs="Arial"/>
          <w:szCs w:val="20"/>
        </w:rPr>
      </w:pPr>
      <w:r>
        <w:separator/>
      </w:r>
    </w:p>
  </w:endnote>
  <w:endnote w:type="continuationSeparator" w:id="0">
    <w:p w14:paraId="46A567FB" w14:textId="77777777" w:rsidR="005060C0" w:rsidRPr="00EE2AE1" w:rsidRDefault="005060C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9D04B" w14:textId="77777777" w:rsidR="009C4FE7" w:rsidRDefault="009C4FE7" w:rsidP="009C4FE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36389F98" w14:textId="77777777" w:rsidR="00A82FEA" w:rsidRPr="009C4FE7" w:rsidRDefault="009C4FE7" w:rsidP="009C4FE7">
    <w:pPr>
      <w:pStyle w:val="a4"/>
      <w:pBdr>
        <w:top w:val="single" w:sz="4" w:space="1" w:color="auto"/>
        <w:between w:val="single" w:sz="4" w:space="0" w:color="auto"/>
      </w:pBdr>
      <w:spacing w:after="60"/>
      <w:jc w:val="center"/>
      <w:rPr>
        <w:rFonts w:ascii="FrankRuehl" w:hAnsi="FrankRuehl" w:cs="FrankRuehl"/>
        <w:color w:val="000000"/>
      </w:rPr>
    </w:pPr>
    <w:r w:rsidRPr="009C4F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39E15" w14:textId="77777777" w:rsidR="009C4FE7" w:rsidRDefault="009C4FE7" w:rsidP="009C4FE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052D">
      <w:rPr>
        <w:rFonts w:ascii="FrankRuehl" w:hAnsi="FrankRuehl" w:cs="FrankRuehl"/>
        <w:noProof/>
        <w:rtl/>
      </w:rPr>
      <w:t>1</w:t>
    </w:r>
    <w:r>
      <w:rPr>
        <w:rFonts w:ascii="FrankRuehl" w:hAnsi="FrankRuehl" w:cs="FrankRuehl"/>
        <w:rtl/>
      </w:rPr>
      <w:fldChar w:fldCharType="end"/>
    </w:r>
  </w:p>
  <w:p w14:paraId="1D245AC1" w14:textId="77777777" w:rsidR="00A82FEA" w:rsidRPr="009C4FE7" w:rsidRDefault="009C4FE7" w:rsidP="009C4FE7">
    <w:pPr>
      <w:pStyle w:val="a4"/>
      <w:pBdr>
        <w:top w:val="single" w:sz="4" w:space="1" w:color="auto"/>
        <w:between w:val="single" w:sz="4" w:space="0" w:color="auto"/>
      </w:pBdr>
      <w:spacing w:after="60"/>
      <w:jc w:val="center"/>
      <w:rPr>
        <w:rFonts w:ascii="FrankRuehl" w:hAnsi="FrankRuehl" w:cs="FrankRuehl"/>
        <w:color w:val="000000"/>
      </w:rPr>
    </w:pPr>
    <w:r w:rsidRPr="009C4FE7">
      <w:rPr>
        <w:rFonts w:ascii="FrankRuehl" w:hAnsi="FrankRuehl" w:cs="FrankRuehl"/>
        <w:color w:val="000000"/>
      </w:rPr>
      <w:pict w14:anchorId="417029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63575" w14:textId="77777777" w:rsidR="005060C0" w:rsidRPr="00EE2AE1" w:rsidRDefault="005060C0">
      <w:pPr>
        <w:rPr>
          <w:rFonts w:cs="Arial"/>
          <w:szCs w:val="20"/>
        </w:rPr>
      </w:pPr>
      <w:r>
        <w:separator/>
      </w:r>
    </w:p>
  </w:footnote>
  <w:footnote w:type="continuationSeparator" w:id="0">
    <w:p w14:paraId="29ECC170" w14:textId="77777777" w:rsidR="005060C0" w:rsidRPr="00EE2AE1" w:rsidRDefault="005060C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1F312" w14:textId="77777777" w:rsidR="009C4FE7" w:rsidRPr="009C4FE7" w:rsidRDefault="009C4FE7" w:rsidP="009C4FE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48759-06-12</w:t>
    </w:r>
    <w:r>
      <w:rPr>
        <w:color w:val="000000"/>
        <w:sz w:val="22"/>
        <w:szCs w:val="22"/>
        <w:rtl/>
      </w:rPr>
      <w:tab/>
      <w:t xml:space="preserve"> מדינת ישראל נ' נוח עמשה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4E5FA" w14:textId="77777777" w:rsidR="009C4FE7" w:rsidRPr="009C4FE7" w:rsidRDefault="009C4FE7" w:rsidP="009C4FE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48759-06-12</w:t>
    </w:r>
    <w:r>
      <w:rPr>
        <w:color w:val="000000"/>
        <w:sz w:val="22"/>
        <w:szCs w:val="22"/>
        <w:rtl/>
      </w:rPr>
      <w:tab/>
      <w:t xml:space="preserve"> מדינת ישראל נ' נוח עמשה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2FEA"/>
    <w:rsid w:val="000F5CC8"/>
    <w:rsid w:val="005060C0"/>
    <w:rsid w:val="009C4FE7"/>
    <w:rsid w:val="00A82FEA"/>
    <w:rsid w:val="00DC052D"/>
    <w:rsid w:val="00F73280"/>
    <w:rsid w:val="00FF77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02A57B"/>
  <w15:chartTrackingRefBased/>
  <w15:docId w15:val="{4AA2896B-7938-4D0F-8DC5-D25C9002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2FE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82FEA"/>
    <w:pPr>
      <w:tabs>
        <w:tab w:val="center" w:pos="4153"/>
        <w:tab w:val="right" w:pos="8306"/>
      </w:tabs>
    </w:pPr>
  </w:style>
  <w:style w:type="paragraph" w:styleId="a4">
    <w:name w:val="footer"/>
    <w:basedOn w:val="a"/>
    <w:rsid w:val="00A82FEA"/>
    <w:pPr>
      <w:tabs>
        <w:tab w:val="center" w:pos="4153"/>
        <w:tab w:val="right" w:pos="8306"/>
      </w:tabs>
    </w:pPr>
  </w:style>
  <w:style w:type="character" w:styleId="a5">
    <w:name w:val="page number"/>
    <w:basedOn w:val="a0"/>
    <w:rsid w:val="00A82FEA"/>
  </w:style>
  <w:style w:type="character" w:customStyle="1" w:styleId="TimesNewRomanTimesNewRoman">
    <w:name w:val="סגנון (לטיני) Times New Roman (עברית ושפות אחרות) Times New Roman..."/>
    <w:basedOn w:val="a0"/>
    <w:rsid w:val="00A82FE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82FEA"/>
    <w:rPr>
      <w:rFonts w:ascii="Times New Roman" w:eastAsia="Times New Roman" w:hAnsi="Times New Roman"/>
      <w:b/>
      <w:bCs/>
      <w:u w:val="single"/>
    </w:rPr>
  </w:style>
  <w:style w:type="paragraph" w:styleId="a6">
    <w:name w:val="Body Text"/>
    <w:basedOn w:val="a"/>
    <w:link w:val="a7"/>
    <w:rsid w:val="00A82FEA"/>
    <w:pPr>
      <w:spacing w:after="120"/>
    </w:pPr>
  </w:style>
  <w:style w:type="character" w:customStyle="1" w:styleId="a7">
    <w:name w:val="גוף טקסט תו"/>
    <w:basedOn w:val="a0"/>
    <w:link w:val="a6"/>
    <w:rsid w:val="00A82FEA"/>
    <w:rPr>
      <w:rFonts w:ascii="David" w:eastAsia="David" w:hAnsi="David" w:cs="David"/>
      <w:sz w:val="24"/>
      <w:szCs w:val="24"/>
      <w:lang w:val="en-US" w:eastAsia="en-US" w:bidi="he-IL"/>
    </w:rPr>
  </w:style>
  <w:style w:type="character" w:customStyle="1" w:styleId="normal-h1">
    <w:name w:val="normal-h1"/>
    <w:basedOn w:val="a0"/>
    <w:rsid w:val="00A82FEA"/>
    <w:rPr>
      <w:rFonts w:ascii="Times New Roman" w:hAnsi="Times New Roman" w:cs="Times New Roman"/>
      <w:sz w:val="20"/>
      <w:szCs w:val="20"/>
    </w:rPr>
  </w:style>
  <w:style w:type="character" w:styleId="a8">
    <w:name w:val="line number"/>
    <w:basedOn w:val="a0"/>
    <w:rsid w:val="00A82FEA"/>
  </w:style>
  <w:style w:type="character" w:styleId="Hyperlink">
    <w:name w:val="Hyperlink"/>
    <w:basedOn w:val="a0"/>
    <w:rsid w:val="009C4F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inks/psika/?NEWPROC=&#1514;&#1508;&amp;NEWPARTA=52921&amp;NEWPARTB=12&amp;NEWPARTC=10"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3955</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97715678</vt:i4>
      </vt:variant>
      <vt:variant>
        <vt:i4>3</vt:i4>
      </vt:variant>
      <vt:variant>
        <vt:i4>0</vt:i4>
      </vt:variant>
      <vt:variant>
        <vt:i4>5</vt:i4>
      </vt:variant>
      <vt:variant>
        <vt:lpwstr>http://www.nevo.co.il/links/psika/?NEWPROC=תפ&amp;NEWPARTA=52921&amp;NEWPARTB=12&amp;NEWPARTC=10</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2025-01-19T17:31:00Z</dcterms:created>
  <dcterms:modified xsi:type="dcterms:W3CDTF">2025-01-19T17:31:00Z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48759</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נוח עמשה</vt:lpwstr>
  </property>
  <property fmtid="{D5CDD505-2E9C-101B-9397-08002B2CF9AE}" pid="10" name="LAWYER">
    <vt:lpwstr>דבורה דורסמן דפנה ינוביץ;ו הילל ג'אבר</vt:lpwstr>
  </property>
  <property fmtid="{D5CDD505-2E9C-101B-9397-08002B2CF9AE}" pid="11" name="JUDGE">
    <vt:lpwstr>דנה מרשק מרום</vt:lpwstr>
  </property>
  <property fmtid="{D5CDD505-2E9C-101B-9397-08002B2CF9AE}" pid="12" name="CITY">
    <vt:lpwstr>כ"ס</vt:lpwstr>
  </property>
  <property fmtid="{D5CDD505-2E9C-101B-9397-08002B2CF9AE}" pid="13" name="DATE">
    <vt:lpwstr>20131001</vt:lpwstr>
  </property>
  <property fmtid="{D5CDD505-2E9C-101B-9397-08002B2CF9AE}" pid="14" name="TYPE_N_DATE">
    <vt:lpwstr>38020131001</vt:lpwstr>
  </property>
  <property fmtid="{D5CDD505-2E9C-101B-9397-08002B2CF9AE}" pid="15" name="WORDNUMPAGES">
    <vt:lpwstr>3</vt:lpwstr>
  </property>
  <property fmtid="{D5CDD505-2E9C-101B-9397-08002B2CF9AE}" pid="16" name="TYPE_ABS_DATE">
    <vt:lpwstr>380020131001</vt:lpwstr>
  </property>
  <property fmtid="{D5CDD505-2E9C-101B-9397-08002B2CF9AE}" pid="17" name="ISABSTRACT">
    <vt:lpwstr>Y</vt:lpwstr>
  </property>
</Properties>
</file>