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C1F2C" w:rsidRPr="00AF63F7" w14:paraId="29391F37" w14:textId="77777777">
        <w:trPr>
          <w:trHeight w:hRule="exact" w:val="704"/>
          <w:jc w:val="center"/>
        </w:trPr>
        <w:tc>
          <w:tcPr>
            <w:tcW w:w="8721" w:type="dxa"/>
            <w:gridSpan w:val="2"/>
          </w:tcPr>
          <w:p w14:paraId="30BBA1C0" w14:textId="77777777" w:rsidR="006C1F2C" w:rsidRPr="00AF63F7" w:rsidRDefault="00AF63F7">
            <w:pPr>
              <w:pStyle w:val="a3"/>
              <w:jc w:val="center"/>
              <w:rPr>
                <w:rFonts w:ascii="Tahoma" w:hAnsi="Tahoma" w:cs="Tahoma"/>
                <w:noProof w:val="0"/>
                <w:color w:val="000080"/>
                <w:rtl/>
              </w:rPr>
            </w:pPr>
            <w:bookmarkStart w:id="0" w:name="LastJudge"/>
            <w:r w:rsidRPr="00AF63F7">
              <w:rPr>
                <w:rFonts w:ascii="Tahoma" w:hAnsi="Tahoma" w:cs="Tahoma"/>
                <w:b/>
                <w:bCs/>
                <w:noProof w:val="0"/>
                <w:color w:val="000080"/>
                <w:rtl/>
              </w:rPr>
              <w:t>בית משפט השלום בירושלים</w:t>
            </w:r>
            <w:r w:rsidRPr="00AF63F7">
              <w:rPr>
                <w:rFonts w:ascii="Tahoma" w:hAnsi="Tahoma" w:cs="Tahoma" w:hint="cs"/>
                <w:b/>
                <w:bCs/>
                <w:noProof w:val="0"/>
                <w:color w:val="000080"/>
                <w:rtl/>
              </w:rPr>
              <w:t xml:space="preserve"> </w:t>
            </w:r>
          </w:p>
        </w:tc>
      </w:tr>
      <w:tr w:rsidR="006C1F2C" w:rsidRPr="00AF63F7" w14:paraId="5A84B9A5" w14:textId="77777777">
        <w:trPr>
          <w:trHeight w:val="337"/>
          <w:jc w:val="center"/>
        </w:trPr>
        <w:tc>
          <w:tcPr>
            <w:tcW w:w="5047" w:type="dxa"/>
          </w:tcPr>
          <w:p w14:paraId="0F6F3A01" w14:textId="77777777" w:rsidR="006C1F2C" w:rsidRPr="00AF63F7" w:rsidRDefault="006C1F2C">
            <w:pPr>
              <w:rPr>
                <w:b/>
                <w:bCs/>
                <w:noProof w:val="0"/>
                <w:sz w:val="26"/>
                <w:szCs w:val="26"/>
                <w:rtl/>
              </w:rPr>
            </w:pPr>
          </w:p>
        </w:tc>
        <w:tc>
          <w:tcPr>
            <w:tcW w:w="3674" w:type="dxa"/>
          </w:tcPr>
          <w:p w14:paraId="3910F49B" w14:textId="77777777" w:rsidR="006C1F2C" w:rsidRPr="00AF63F7" w:rsidRDefault="006C1F2C">
            <w:pPr>
              <w:pStyle w:val="a3"/>
              <w:jc w:val="right"/>
              <w:rPr>
                <w:b/>
                <w:bCs/>
                <w:noProof w:val="0"/>
                <w:sz w:val="26"/>
                <w:szCs w:val="26"/>
                <w:rtl/>
              </w:rPr>
            </w:pPr>
          </w:p>
        </w:tc>
      </w:tr>
      <w:tr w:rsidR="006C1F2C" w:rsidRPr="00AF63F7" w14:paraId="1916C31B" w14:textId="77777777">
        <w:trPr>
          <w:trHeight w:val="337"/>
          <w:jc w:val="center"/>
        </w:trPr>
        <w:tc>
          <w:tcPr>
            <w:tcW w:w="8721" w:type="dxa"/>
            <w:gridSpan w:val="2"/>
          </w:tcPr>
          <w:p w14:paraId="30D2D8E4" w14:textId="77777777" w:rsidR="006C1F2C" w:rsidRPr="00AF63F7" w:rsidRDefault="00AF63F7">
            <w:pPr>
              <w:rPr>
                <w:b/>
                <w:bCs/>
                <w:noProof w:val="0"/>
                <w:sz w:val="26"/>
                <w:szCs w:val="26"/>
                <w:rtl/>
              </w:rPr>
            </w:pPr>
            <w:r w:rsidRPr="00AF63F7">
              <w:rPr>
                <w:b/>
                <w:bCs/>
                <w:noProof w:val="0"/>
                <w:sz w:val="26"/>
                <w:szCs w:val="26"/>
                <w:rtl/>
              </w:rPr>
              <w:t>ת"פ 14836-08-12 מדינת ישראל נ' גועבה(עציר)</w:t>
            </w:r>
          </w:p>
          <w:p w14:paraId="23D77686" w14:textId="77777777" w:rsidR="006C1F2C" w:rsidRPr="00AF63F7" w:rsidRDefault="006C1F2C">
            <w:pPr>
              <w:rPr>
                <w:rtl/>
              </w:rPr>
            </w:pPr>
          </w:p>
          <w:p w14:paraId="1BEAC866" w14:textId="77777777" w:rsidR="006C1F2C" w:rsidRPr="00AF63F7" w:rsidRDefault="00AF63F7">
            <w:pPr>
              <w:rPr>
                <w:rtl/>
              </w:rPr>
            </w:pPr>
            <w:r w:rsidRPr="00AF63F7">
              <w:rPr>
                <w:rFonts w:hint="cs"/>
                <w:sz w:val="20"/>
                <w:szCs w:val="20"/>
                <w:rtl/>
              </w:rPr>
              <w:t>תיק חיצוני</w:t>
            </w:r>
            <w:r w:rsidRPr="00AF63F7">
              <w:rPr>
                <w:rFonts w:hint="cs"/>
                <w:rtl/>
              </w:rPr>
              <w:t xml:space="preserve">: </w:t>
            </w:r>
            <w:r w:rsidRPr="00AF63F7">
              <w:rPr>
                <w:sz w:val="20"/>
                <w:szCs w:val="20"/>
                <w:rtl/>
              </w:rPr>
              <w:t>1701/12</w:t>
            </w:r>
          </w:p>
        </w:tc>
      </w:tr>
    </w:tbl>
    <w:p w14:paraId="19479251" w14:textId="77777777" w:rsidR="006C1F2C" w:rsidRPr="00AF63F7" w:rsidRDefault="00AF63F7">
      <w:pPr>
        <w:pStyle w:val="a3"/>
        <w:rPr>
          <w:noProof w:val="0"/>
          <w:rtl/>
        </w:rPr>
      </w:pPr>
      <w:r w:rsidRPr="00AF63F7">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6C1F2C" w:rsidRPr="00AF63F7" w14:paraId="5D5A9847" w14:textId="77777777">
        <w:trPr>
          <w:jc w:val="center"/>
        </w:trPr>
        <w:tc>
          <w:tcPr>
            <w:tcW w:w="743" w:type="dxa"/>
          </w:tcPr>
          <w:p w14:paraId="69C4E70B" w14:textId="77777777" w:rsidR="006C1F2C" w:rsidRPr="00AF63F7" w:rsidRDefault="00AF63F7">
            <w:pPr>
              <w:jc w:val="both"/>
              <w:rPr>
                <w:rFonts w:ascii="Arial" w:hAnsi="Arial"/>
                <w:b/>
                <w:bCs/>
                <w:sz w:val="26"/>
                <w:szCs w:val="26"/>
              </w:rPr>
            </w:pPr>
            <w:r w:rsidRPr="00AF63F7">
              <w:rPr>
                <w:rFonts w:ascii="Arial" w:hAnsi="Arial" w:hint="cs"/>
                <w:b/>
                <w:bCs/>
                <w:sz w:val="26"/>
                <w:szCs w:val="26"/>
                <w:rtl/>
              </w:rPr>
              <w:t>ל</w:t>
            </w:r>
            <w:r w:rsidRPr="00AF63F7">
              <w:rPr>
                <w:rFonts w:ascii="Arial" w:hAnsi="Arial"/>
                <w:b/>
                <w:bCs/>
                <w:sz w:val="26"/>
                <w:szCs w:val="26"/>
                <w:rtl/>
              </w:rPr>
              <w:t xml:space="preserve">פני </w:t>
            </w:r>
          </w:p>
        </w:tc>
        <w:tc>
          <w:tcPr>
            <w:tcW w:w="8077" w:type="dxa"/>
            <w:gridSpan w:val="2"/>
          </w:tcPr>
          <w:p w14:paraId="41E084FC" w14:textId="77777777" w:rsidR="006C1F2C" w:rsidRPr="00AF63F7" w:rsidRDefault="00AF63F7">
            <w:pPr>
              <w:rPr>
                <w:rFonts w:ascii="Arial" w:hAnsi="Arial" w:cs="FrankRuehl"/>
                <w:sz w:val="26"/>
                <w:szCs w:val="26"/>
                <w:highlight w:val="yellow"/>
              </w:rPr>
            </w:pPr>
            <w:r w:rsidRPr="00AF63F7">
              <w:rPr>
                <w:rFonts w:ascii="Arial" w:hAnsi="Arial" w:hint="cs"/>
                <w:b/>
                <w:bCs/>
                <w:sz w:val="26"/>
                <w:szCs w:val="26"/>
                <w:rtl/>
              </w:rPr>
              <w:t>כב' ה</w:t>
            </w:r>
            <w:r w:rsidRPr="00AF63F7">
              <w:rPr>
                <w:rFonts w:hint="cs"/>
                <w:sz w:val="26"/>
                <w:szCs w:val="26"/>
                <w:rtl/>
              </w:rPr>
              <w:t>שופט</w:t>
            </w:r>
            <w:r w:rsidRPr="00AF63F7">
              <w:rPr>
                <w:rFonts w:ascii="Arial" w:hAnsi="Arial" w:hint="cs"/>
                <w:b/>
                <w:bCs/>
                <w:sz w:val="26"/>
                <w:szCs w:val="26"/>
                <w:rtl/>
              </w:rPr>
              <w:t xml:space="preserve">  </w:t>
            </w:r>
            <w:r w:rsidRPr="00AF63F7">
              <w:rPr>
                <w:rFonts w:hint="cs"/>
                <w:sz w:val="26"/>
                <w:szCs w:val="26"/>
                <w:rtl/>
              </w:rPr>
              <w:t>מרדכי כדורי</w:t>
            </w:r>
          </w:p>
        </w:tc>
      </w:tr>
      <w:tr w:rsidR="006C1F2C" w:rsidRPr="00AF63F7" w14:paraId="3449B6F1" w14:textId="77777777">
        <w:trPr>
          <w:jc w:val="center"/>
        </w:trPr>
        <w:tc>
          <w:tcPr>
            <w:tcW w:w="3249" w:type="dxa"/>
            <w:gridSpan w:val="2"/>
          </w:tcPr>
          <w:p w14:paraId="7790C8BC" w14:textId="77777777" w:rsidR="006C1F2C" w:rsidRPr="00AF63F7" w:rsidRDefault="006C1F2C">
            <w:pPr>
              <w:bidi w:val="0"/>
              <w:jc w:val="right"/>
              <w:rPr>
                <w:rFonts w:ascii="Arial" w:hAnsi="Arial"/>
                <w:b/>
                <w:bCs/>
                <w:noProof w:val="0"/>
                <w:sz w:val="26"/>
                <w:szCs w:val="26"/>
              </w:rPr>
            </w:pPr>
            <w:bookmarkStart w:id="1" w:name="FirstAppellant"/>
          </w:p>
          <w:p w14:paraId="0871D88D" w14:textId="77777777" w:rsidR="006C1F2C" w:rsidRPr="00AF63F7" w:rsidRDefault="00AF63F7">
            <w:pPr>
              <w:bidi w:val="0"/>
              <w:jc w:val="right"/>
              <w:rPr>
                <w:rFonts w:ascii="Arial" w:hAnsi="Arial"/>
                <w:b/>
                <w:bCs/>
                <w:noProof w:val="0"/>
                <w:sz w:val="26"/>
                <w:szCs w:val="26"/>
                <w:rtl/>
              </w:rPr>
            </w:pPr>
            <w:r w:rsidRPr="00AF63F7">
              <w:rPr>
                <w:rFonts w:hint="cs"/>
                <w:rtl/>
              </w:rPr>
              <w:t xml:space="preserve">מאשימה </w:t>
            </w:r>
          </w:p>
        </w:tc>
        <w:tc>
          <w:tcPr>
            <w:tcW w:w="5571" w:type="dxa"/>
          </w:tcPr>
          <w:p w14:paraId="128D3D44" w14:textId="77777777" w:rsidR="006C1F2C" w:rsidRPr="00AF63F7" w:rsidRDefault="006C1F2C">
            <w:pPr>
              <w:rPr>
                <w:rFonts w:ascii="Arial" w:hAnsi="Arial"/>
                <w:b/>
                <w:bCs/>
                <w:noProof w:val="0"/>
                <w:sz w:val="26"/>
                <w:szCs w:val="26"/>
                <w:rtl/>
              </w:rPr>
            </w:pPr>
          </w:p>
          <w:p w14:paraId="4F741B57" w14:textId="77777777" w:rsidR="006C1F2C" w:rsidRPr="00AF63F7" w:rsidRDefault="00AF63F7">
            <w:pPr>
              <w:rPr>
                <w:b/>
                <w:bCs/>
                <w:noProof w:val="0"/>
                <w:sz w:val="26"/>
                <w:szCs w:val="26"/>
              </w:rPr>
            </w:pPr>
            <w:r w:rsidRPr="00AF63F7">
              <w:rPr>
                <w:rFonts w:hint="cs"/>
                <w:rtl/>
              </w:rPr>
              <w:t>מדינת ישראל</w:t>
            </w:r>
            <w:r w:rsidRPr="00AF63F7">
              <w:rPr>
                <w:rFonts w:hint="cs"/>
                <w:rtl/>
              </w:rPr>
              <w:br/>
              <w:t>באמצעות פרקליטות מחוז ירושלים</w:t>
            </w:r>
          </w:p>
        </w:tc>
      </w:tr>
      <w:bookmarkEnd w:id="1"/>
      <w:tr w:rsidR="006C1F2C" w:rsidRPr="00AF63F7" w14:paraId="3C3D55E9" w14:textId="77777777">
        <w:trPr>
          <w:jc w:val="center"/>
        </w:trPr>
        <w:tc>
          <w:tcPr>
            <w:tcW w:w="8820" w:type="dxa"/>
            <w:gridSpan w:val="3"/>
          </w:tcPr>
          <w:p w14:paraId="0AFC0954" w14:textId="77777777" w:rsidR="006C1F2C" w:rsidRPr="00AF63F7" w:rsidRDefault="006C1F2C">
            <w:pPr>
              <w:rPr>
                <w:rFonts w:ascii="Arial" w:hAnsi="Arial"/>
                <w:b/>
                <w:bCs/>
                <w:noProof w:val="0"/>
                <w:sz w:val="26"/>
                <w:szCs w:val="26"/>
                <w:rtl/>
              </w:rPr>
            </w:pPr>
          </w:p>
          <w:p w14:paraId="01FEA3D3" w14:textId="77777777" w:rsidR="006C1F2C" w:rsidRPr="00AF63F7" w:rsidRDefault="00AF63F7">
            <w:pPr>
              <w:jc w:val="center"/>
              <w:rPr>
                <w:rFonts w:ascii="Arial" w:hAnsi="Arial"/>
                <w:b/>
                <w:bCs/>
                <w:noProof w:val="0"/>
                <w:sz w:val="26"/>
                <w:szCs w:val="26"/>
                <w:rtl/>
              </w:rPr>
            </w:pPr>
            <w:r w:rsidRPr="00AF63F7">
              <w:rPr>
                <w:rFonts w:ascii="Arial" w:hAnsi="Arial"/>
                <w:b/>
                <w:bCs/>
                <w:noProof w:val="0"/>
                <w:sz w:val="26"/>
                <w:szCs w:val="26"/>
                <w:rtl/>
              </w:rPr>
              <w:t>נגד</w:t>
            </w:r>
          </w:p>
          <w:p w14:paraId="20DF93FF" w14:textId="77777777" w:rsidR="006C1F2C" w:rsidRPr="00AF63F7" w:rsidRDefault="006C1F2C">
            <w:pPr>
              <w:rPr>
                <w:rFonts w:ascii="Arial" w:hAnsi="Arial"/>
                <w:b/>
                <w:bCs/>
                <w:noProof w:val="0"/>
                <w:sz w:val="26"/>
                <w:szCs w:val="26"/>
              </w:rPr>
            </w:pPr>
          </w:p>
        </w:tc>
      </w:tr>
      <w:tr w:rsidR="006C1F2C" w:rsidRPr="00AF63F7" w14:paraId="34DA5926" w14:textId="77777777">
        <w:trPr>
          <w:jc w:val="center"/>
        </w:trPr>
        <w:tc>
          <w:tcPr>
            <w:tcW w:w="3249" w:type="dxa"/>
            <w:gridSpan w:val="2"/>
          </w:tcPr>
          <w:p w14:paraId="1815A5F0" w14:textId="77777777" w:rsidR="006C1F2C" w:rsidRPr="00AF63F7" w:rsidRDefault="006C1F2C">
            <w:pPr>
              <w:rPr>
                <w:rFonts w:ascii="Arial" w:hAnsi="Arial"/>
                <w:b/>
                <w:bCs/>
                <w:noProof w:val="0"/>
                <w:sz w:val="26"/>
                <w:szCs w:val="26"/>
                <w:rtl/>
              </w:rPr>
            </w:pPr>
          </w:p>
          <w:p w14:paraId="118B96F2" w14:textId="77777777" w:rsidR="006C1F2C" w:rsidRPr="00AF63F7" w:rsidRDefault="00AF63F7">
            <w:pPr>
              <w:rPr>
                <w:rFonts w:ascii="Arial" w:hAnsi="Arial"/>
                <w:b/>
                <w:bCs/>
                <w:noProof w:val="0"/>
                <w:sz w:val="26"/>
                <w:szCs w:val="26"/>
              </w:rPr>
            </w:pPr>
            <w:r w:rsidRPr="00AF63F7">
              <w:rPr>
                <w:rFonts w:hint="cs"/>
                <w:rtl/>
              </w:rPr>
              <w:t xml:space="preserve">נאשם </w:t>
            </w:r>
          </w:p>
        </w:tc>
        <w:tc>
          <w:tcPr>
            <w:tcW w:w="5571" w:type="dxa"/>
          </w:tcPr>
          <w:p w14:paraId="332A8294" w14:textId="77777777" w:rsidR="006C1F2C" w:rsidRPr="00AF63F7" w:rsidRDefault="006C1F2C">
            <w:pPr>
              <w:rPr>
                <w:rFonts w:ascii="Arial" w:hAnsi="Arial"/>
                <w:b/>
                <w:bCs/>
                <w:noProof w:val="0"/>
                <w:sz w:val="26"/>
                <w:szCs w:val="26"/>
                <w:rtl/>
              </w:rPr>
            </w:pPr>
          </w:p>
          <w:p w14:paraId="00E0383E" w14:textId="77777777" w:rsidR="006C1F2C" w:rsidRPr="00AF63F7" w:rsidRDefault="00AF63F7">
            <w:pPr>
              <w:rPr>
                <w:b/>
                <w:bCs/>
                <w:noProof w:val="0"/>
                <w:sz w:val="26"/>
                <w:szCs w:val="26"/>
                <w:rtl/>
              </w:rPr>
            </w:pPr>
            <w:r w:rsidRPr="00AF63F7">
              <w:rPr>
                <w:rFonts w:hint="cs"/>
                <w:rtl/>
              </w:rPr>
              <w:t>איאד גועבה (עציר)</w:t>
            </w:r>
          </w:p>
        </w:tc>
      </w:tr>
    </w:tbl>
    <w:p w14:paraId="379ACA3E" w14:textId="77777777" w:rsidR="006C1F2C" w:rsidRPr="00AF63F7" w:rsidRDefault="006C1F2C">
      <w:pPr>
        <w:suppressLineNumbers/>
      </w:pPr>
    </w:p>
    <w:tbl>
      <w:tblPr>
        <w:bidiVisual/>
        <w:tblW w:w="8820" w:type="dxa"/>
        <w:jc w:val="center"/>
        <w:tblLook w:val="01E0" w:firstRow="1" w:lastRow="1" w:firstColumn="1" w:lastColumn="1" w:noHBand="0" w:noVBand="0"/>
      </w:tblPr>
      <w:tblGrid>
        <w:gridCol w:w="8820"/>
      </w:tblGrid>
      <w:tr w:rsidR="006C1F2C" w14:paraId="14CBC85A" w14:textId="77777777">
        <w:trPr>
          <w:jc w:val="center"/>
        </w:trPr>
        <w:tc>
          <w:tcPr>
            <w:tcW w:w="8820" w:type="dxa"/>
          </w:tcPr>
          <w:p w14:paraId="484D7DC8" w14:textId="77777777" w:rsidR="00AF63F7" w:rsidRPr="00AF63F7" w:rsidRDefault="00AF63F7" w:rsidP="00AF63F7">
            <w:pPr>
              <w:bidi w:val="0"/>
              <w:jc w:val="center"/>
              <w:rPr>
                <w:rFonts w:ascii="Arial" w:hAnsi="Arial"/>
                <w:b/>
                <w:bCs/>
                <w:noProof w:val="0"/>
                <w:sz w:val="28"/>
                <w:szCs w:val="28"/>
                <w:u w:val="single"/>
                <w:rtl/>
              </w:rPr>
            </w:pPr>
            <w:bookmarkStart w:id="2" w:name="PsakDin" w:colFirst="0" w:colLast="0"/>
            <w:bookmarkEnd w:id="0"/>
            <w:r w:rsidRPr="00AF63F7">
              <w:rPr>
                <w:rFonts w:ascii="Arial" w:hAnsi="Arial"/>
                <w:b/>
                <w:bCs/>
                <w:noProof w:val="0"/>
                <w:sz w:val="28"/>
                <w:szCs w:val="28"/>
                <w:u w:val="single"/>
                <w:rtl/>
              </w:rPr>
              <w:t>גזר דין</w:t>
            </w:r>
          </w:p>
          <w:p w14:paraId="5FDF4E4D" w14:textId="77777777" w:rsidR="006C1F2C" w:rsidRPr="00AF63F7" w:rsidRDefault="006C1F2C" w:rsidP="00AF63F7">
            <w:pPr>
              <w:bidi w:val="0"/>
              <w:jc w:val="center"/>
              <w:rPr>
                <w:rFonts w:ascii="Arial" w:hAnsi="Arial"/>
                <w:b/>
                <w:bCs/>
                <w:noProof w:val="0"/>
                <w:sz w:val="28"/>
                <w:szCs w:val="28"/>
                <w:u w:val="single"/>
              </w:rPr>
            </w:pPr>
          </w:p>
        </w:tc>
      </w:tr>
      <w:bookmarkEnd w:id="2"/>
    </w:tbl>
    <w:p w14:paraId="68D1D925" w14:textId="77777777" w:rsidR="006C1F2C" w:rsidRDefault="006C1F2C">
      <w:pPr>
        <w:spacing w:line="360" w:lineRule="auto"/>
        <w:rPr>
          <w:noProof w:val="0"/>
          <w:rtl/>
        </w:rPr>
      </w:pPr>
    </w:p>
    <w:p w14:paraId="55843FF9" w14:textId="77777777" w:rsidR="006C1F2C" w:rsidRDefault="00AF63F7">
      <w:pPr>
        <w:spacing w:line="360" w:lineRule="auto"/>
        <w:jc w:val="both"/>
        <w:rPr>
          <w:b/>
          <w:bCs/>
          <w:noProof w:val="0"/>
          <w:u w:val="single"/>
          <w:rtl/>
        </w:rPr>
      </w:pPr>
      <w:r>
        <w:rPr>
          <w:b/>
          <w:bCs/>
          <w:noProof w:val="0"/>
          <w:u w:val="single"/>
          <w:rtl/>
        </w:rPr>
        <w:t>רקע:</w:t>
      </w:r>
    </w:p>
    <w:p w14:paraId="4D972400" w14:textId="77777777" w:rsidR="006C1F2C" w:rsidRDefault="00AF63F7">
      <w:pPr>
        <w:spacing w:line="360" w:lineRule="auto"/>
        <w:jc w:val="both"/>
        <w:rPr>
          <w:noProof w:val="0"/>
          <w:rtl/>
        </w:rPr>
      </w:pPr>
      <w:bookmarkStart w:id="3" w:name="ABSTRACT_START"/>
      <w:bookmarkEnd w:id="3"/>
      <w:r>
        <w:rPr>
          <w:noProof w:val="0"/>
          <w:rtl/>
        </w:rPr>
        <w:t>הנאשם הורשע, על פי הודאתו, בעבירה של החזקת נשק, בניגוד לסעיף 144(א) רישא וסיפא ל</w:t>
      </w:r>
      <w:hyperlink r:id="rId6" w:history="1">
        <w:r w:rsidRPr="00AF63F7">
          <w:rPr>
            <w:noProof w:val="0"/>
            <w:color w:val="0000FF"/>
            <w:u w:val="single"/>
            <w:rtl/>
          </w:rPr>
          <w:t>חוק העונשין</w:t>
        </w:r>
      </w:hyperlink>
      <w:r>
        <w:rPr>
          <w:noProof w:val="0"/>
          <w:rtl/>
        </w:rPr>
        <w:t xml:space="preserve"> תשל"ז-1977.</w:t>
      </w:r>
    </w:p>
    <w:p w14:paraId="3A4CE719" w14:textId="77777777" w:rsidR="006C1F2C" w:rsidRDefault="00AF63F7">
      <w:pPr>
        <w:spacing w:line="360" w:lineRule="auto"/>
        <w:jc w:val="both"/>
        <w:rPr>
          <w:noProof w:val="0"/>
          <w:rtl/>
        </w:rPr>
      </w:pPr>
      <w:r>
        <w:rPr>
          <w:noProof w:val="0"/>
          <w:rtl/>
        </w:rPr>
        <w:t>על פי עובדות כתב האישום, ביום 5/8/2012 נתפסו בביתו של הנאשם אקדח מסוג ברטה ושתי מחסניות, טעונות בארבעה עשר ובשלושה עשר כדורים.</w:t>
      </w:r>
    </w:p>
    <w:p w14:paraId="334A6E6B" w14:textId="77777777" w:rsidR="006C1F2C" w:rsidRDefault="00AF63F7">
      <w:pPr>
        <w:spacing w:line="360" w:lineRule="auto"/>
        <w:jc w:val="both"/>
        <w:rPr>
          <w:noProof w:val="0"/>
          <w:rtl/>
        </w:rPr>
      </w:pPr>
      <w:bookmarkStart w:id="4" w:name="ABSTRACT_END"/>
      <w:bookmarkEnd w:id="4"/>
      <w:r>
        <w:rPr>
          <w:noProof w:val="0"/>
          <w:rtl/>
        </w:rPr>
        <w:t>הנשק והתחמושת היו עטופים במגבת וטמונים בשקית בארון, בסלון ביתו של הנאשם.</w:t>
      </w:r>
    </w:p>
    <w:p w14:paraId="497ACB86" w14:textId="77777777" w:rsidR="006C1F2C" w:rsidRDefault="006C1F2C">
      <w:pPr>
        <w:spacing w:line="360" w:lineRule="auto"/>
        <w:jc w:val="both"/>
        <w:rPr>
          <w:noProof w:val="0"/>
          <w:rtl/>
        </w:rPr>
      </w:pPr>
    </w:p>
    <w:p w14:paraId="06DEA68E" w14:textId="77777777" w:rsidR="006C1F2C" w:rsidRDefault="00AF63F7">
      <w:pPr>
        <w:spacing w:line="360" w:lineRule="auto"/>
        <w:jc w:val="both"/>
        <w:rPr>
          <w:b/>
          <w:bCs/>
          <w:noProof w:val="0"/>
          <w:u w:val="single"/>
          <w:rtl/>
        </w:rPr>
      </w:pPr>
      <w:r>
        <w:rPr>
          <w:b/>
          <w:bCs/>
          <w:noProof w:val="0"/>
          <w:u w:val="single"/>
          <w:rtl/>
        </w:rPr>
        <w:t>טיעונים לעונש:</w:t>
      </w:r>
    </w:p>
    <w:p w14:paraId="26A84504" w14:textId="77777777" w:rsidR="006C1F2C" w:rsidRDefault="00AF63F7">
      <w:pPr>
        <w:spacing w:line="360" w:lineRule="auto"/>
        <w:jc w:val="both"/>
        <w:rPr>
          <w:noProof w:val="0"/>
          <w:rtl/>
        </w:rPr>
      </w:pPr>
      <w:r>
        <w:rPr>
          <w:noProof w:val="0"/>
          <w:rtl/>
        </w:rPr>
        <w:t>המאשימה טוענת כי מתחם הענישה הראוי במקרה דנן נע בין 12 חודשי מאסר לבין 24 חודשי מאסר. המאשימה מבקשת להטיל על הנאשם  עונש מאסר המצוי ברף העליון של מתחם הענישה הנ"ל, וכן מאסר על תנאי ארוך וקנס.</w:t>
      </w:r>
    </w:p>
    <w:p w14:paraId="206C8378" w14:textId="77777777" w:rsidR="006C1F2C" w:rsidRDefault="00AF63F7">
      <w:pPr>
        <w:spacing w:line="360" w:lineRule="auto"/>
        <w:jc w:val="both"/>
        <w:rPr>
          <w:noProof w:val="0"/>
          <w:rtl/>
        </w:rPr>
      </w:pPr>
      <w:r>
        <w:rPr>
          <w:noProof w:val="0"/>
          <w:rtl/>
        </w:rPr>
        <w:t>בטיעוניה הפנתה המאשימה לפסקי דין בהם הוטלו עונשים מכבידים בשל עבירות נשק, והוטעמה החומרה שבהם.</w:t>
      </w:r>
    </w:p>
    <w:p w14:paraId="7DFC6456" w14:textId="77777777" w:rsidR="006C1F2C" w:rsidRDefault="00AF63F7">
      <w:pPr>
        <w:spacing w:line="360" w:lineRule="auto"/>
        <w:jc w:val="both"/>
        <w:rPr>
          <w:noProof w:val="0"/>
          <w:rtl/>
        </w:rPr>
      </w:pPr>
      <w:r>
        <w:rPr>
          <w:noProof w:val="0"/>
          <w:rtl/>
        </w:rPr>
        <w:t xml:space="preserve">המאשימה התייחסה לפגיעה שפגע הנאשם במעשיו בביטחון הציבור, הוא הערך החברתי המוגן על ידי עבירות הנשק. המאשימה ציינה את החומרה היתרה שבעבירת החזקת נשק, וטענה כי הנאשם החזיק באקדח ובתחמושת לצורך שימוש בסכסוכים </w:t>
      </w:r>
      <w:r>
        <w:rPr>
          <w:rFonts w:hint="cs"/>
          <w:noProof w:val="0"/>
          <w:rtl/>
        </w:rPr>
        <w:t>בהם הוא מעורב</w:t>
      </w:r>
      <w:r>
        <w:rPr>
          <w:noProof w:val="0"/>
          <w:rtl/>
        </w:rPr>
        <w:t>.</w:t>
      </w:r>
    </w:p>
    <w:p w14:paraId="56A23DF6" w14:textId="77777777" w:rsidR="006C1F2C" w:rsidRDefault="00AF63F7">
      <w:pPr>
        <w:spacing w:line="360" w:lineRule="auto"/>
        <w:jc w:val="both"/>
        <w:rPr>
          <w:noProof w:val="0"/>
          <w:rtl/>
        </w:rPr>
      </w:pPr>
      <w:r>
        <w:rPr>
          <w:noProof w:val="0"/>
          <w:rtl/>
        </w:rPr>
        <w:t>בנוסף הפנתה המאשימה לעברו הפלילי של הנאשם, הכולל, בין היתר, עבירות תקיפה, איומים החזקת סכין, ואף עבירה קודמת של החזקת נשק</w:t>
      </w:r>
      <w:r>
        <w:rPr>
          <w:rFonts w:hint="cs"/>
          <w:noProof w:val="0"/>
          <w:rtl/>
        </w:rPr>
        <w:t>.</w:t>
      </w:r>
    </w:p>
    <w:p w14:paraId="292FF6FC" w14:textId="77777777" w:rsidR="006C1F2C" w:rsidRDefault="00AF63F7">
      <w:pPr>
        <w:spacing w:line="360" w:lineRule="auto"/>
        <w:jc w:val="both"/>
        <w:rPr>
          <w:noProof w:val="0"/>
          <w:rtl/>
        </w:rPr>
      </w:pPr>
      <w:r>
        <w:rPr>
          <w:rFonts w:hint="cs"/>
          <w:noProof w:val="0"/>
          <w:rtl/>
        </w:rPr>
        <w:t xml:space="preserve">כמו כן הפנתה המאשימה </w:t>
      </w:r>
      <w:r>
        <w:rPr>
          <w:noProof w:val="0"/>
          <w:rtl/>
        </w:rPr>
        <w:t xml:space="preserve"> לתסקיר שירות המבחן, שנמנע מהמלצה בעניינו</w:t>
      </w:r>
      <w:r>
        <w:rPr>
          <w:rFonts w:hint="cs"/>
          <w:noProof w:val="0"/>
          <w:rtl/>
        </w:rPr>
        <w:t xml:space="preserve"> של הנאשם</w:t>
      </w:r>
      <w:r>
        <w:rPr>
          <w:noProof w:val="0"/>
          <w:rtl/>
        </w:rPr>
        <w:t>.</w:t>
      </w:r>
    </w:p>
    <w:p w14:paraId="3022FB9D" w14:textId="77777777" w:rsidR="006C1F2C" w:rsidRDefault="006C1F2C">
      <w:pPr>
        <w:spacing w:line="360" w:lineRule="auto"/>
        <w:jc w:val="both"/>
        <w:rPr>
          <w:noProof w:val="0"/>
          <w:rtl/>
        </w:rPr>
      </w:pPr>
    </w:p>
    <w:p w14:paraId="491B7640" w14:textId="77777777" w:rsidR="006C1F2C" w:rsidRDefault="00AF63F7">
      <w:pPr>
        <w:spacing w:line="360" w:lineRule="auto"/>
        <w:jc w:val="both"/>
        <w:rPr>
          <w:noProof w:val="0"/>
          <w:rtl/>
        </w:rPr>
      </w:pPr>
      <w:r>
        <w:rPr>
          <w:noProof w:val="0"/>
          <w:rtl/>
        </w:rPr>
        <w:lastRenderedPageBreak/>
        <w:t>ההגנה מצידה מבקשת להסתפק בתקופת מעצרו של הנאשם, כשישה חודשים.</w:t>
      </w:r>
    </w:p>
    <w:p w14:paraId="3D944247" w14:textId="77777777" w:rsidR="006C1F2C" w:rsidRDefault="00AF63F7">
      <w:pPr>
        <w:spacing w:line="360" w:lineRule="auto"/>
        <w:jc w:val="both"/>
        <w:rPr>
          <w:noProof w:val="0"/>
          <w:rtl/>
        </w:rPr>
      </w:pPr>
      <w:r>
        <w:rPr>
          <w:noProof w:val="0"/>
          <w:rtl/>
        </w:rPr>
        <w:t>בטיעוניו הדגיש הסניגור את לקיחת האחריות של הנאשם למעשיו ואת הודאתו המי</w:t>
      </w:r>
      <w:r>
        <w:rPr>
          <w:rFonts w:hint="cs"/>
          <w:noProof w:val="0"/>
          <w:rtl/>
        </w:rPr>
        <w:t>י</w:t>
      </w:r>
      <w:r>
        <w:rPr>
          <w:noProof w:val="0"/>
          <w:rtl/>
        </w:rPr>
        <w:t>דית, עוד בתחנת המשטרה. הסניגור הטעים כי אין לראות בהודאת הנאשם כנימוק לקולא רק בשל החיסכון בזמן השיפוטי, אלא גם בשל היותה מבטאת הבנה מצידו של הנאשם לפסול ולחומרה שבמעשיו.</w:t>
      </w:r>
    </w:p>
    <w:p w14:paraId="7BBF6D24" w14:textId="77777777" w:rsidR="006C1F2C" w:rsidRDefault="00AF63F7">
      <w:pPr>
        <w:spacing w:line="360" w:lineRule="auto"/>
        <w:jc w:val="both"/>
        <w:rPr>
          <w:noProof w:val="0"/>
          <w:rtl/>
        </w:rPr>
      </w:pPr>
      <w:r>
        <w:rPr>
          <w:noProof w:val="0"/>
          <w:rtl/>
        </w:rPr>
        <w:t>הסניגור הפנה בטיעוניו למספר פסקי דין בהם הוטלו עונשי מאסר למשך 6 חודשים לריצוי בעבודות שירות, בשל עבירות נשק חמורות מן העבירה בה הורשע הנאשם.</w:t>
      </w:r>
    </w:p>
    <w:p w14:paraId="79CAE5A0" w14:textId="77777777" w:rsidR="006C1F2C" w:rsidRDefault="00AF63F7">
      <w:pPr>
        <w:spacing w:line="360" w:lineRule="auto"/>
        <w:jc w:val="both"/>
        <w:rPr>
          <w:noProof w:val="0"/>
          <w:rtl/>
        </w:rPr>
      </w:pPr>
      <w:r>
        <w:rPr>
          <w:noProof w:val="0"/>
          <w:rtl/>
        </w:rPr>
        <w:t>ב"כ הנאשם העלה תמיהה באשר לקביעת שירות המבחן לפיה הנאשם התקשה לקחת אחריות, שכן, לטענתו, קביעה זו אינה עולה בקנה אחד עם הודאתו של הנאשם עוד בתחנת המשטרה, ובפתח ההליכים כנגדו.</w:t>
      </w:r>
    </w:p>
    <w:p w14:paraId="77D82C86" w14:textId="77777777" w:rsidR="006C1F2C" w:rsidRDefault="00AF63F7">
      <w:pPr>
        <w:spacing w:line="360" w:lineRule="auto"/>
        <w:jc w:val="both"/>
        <w:rPr>
          <w:noProof w:val="0"/>
          <w:rtl/>
        </w:rPr>
      </w:pPr>
      <w:r>
        <w:rPr>
          <w:noProof w:val="0"/>
          <w:rtl/>
        </w:rPr>
        <w:t xml:space="preserve">הסניגור התייחס בטיעוניו לנסיבותיו האישות של הנאשם, ובכלל זאת להיותו מפרנס יחיד למשפחתו בת </w:t>
      </w:r>
      <w:r>
        <w:rPr>
          <w:rFonts w:hint="cs"/>
          <w:noProof w:val="0"/>
          <w:rtl/>
        </w:rPr>
        <w:t xml:space="preserve">חמש </w:t>
      </w:r>
      <w:r>
        <w:rPr>
          <w:noProof w:val="0"/>
          <w:rtl/>
        </w:rPr>
        <w:t>הנפשות.</w:t>
      </w:r>
    </w:p>
    <w:p w14:paraId="3B310532" w14:textId="77777777" w:rsidR="006C1F2C" w:rsidRDefault="00AF63F7">
      <w:pPr>
        <w:spacing w:line="360" w:lineRule="auto"/>
        <w:jc w:val="both"/>
        <w:rPr>
          <w:noProof w:val="0"/>
          <w:rtl/>
        </w:rPr>
      </w:pPr>
      <w:r>
        <w:rPr>
          <w:noProof w:val="0"/>
          <w:rtl/>
        </w:rPr>
        <w:t>באשר לעברו הפלילי של הנאשם ציין הסניגור כי יש לזקוף לזכותו של הנאשם את העובדה שהעבירה האחרונה בה הורשע בוצעה בשנת 2003, ועבירת הנשק הקודמת בוצעה בשנת 1996.</w:t>
      </w:r>
    </w:p>
    <w:p w14:paraId="62A11405" w14:textId="77777777" w:rsidR="006C1F2C" w:rsidRDefault="006C1F2C">
      <w:pPr>
        <w:spacing w:line="360" w:lineRule="auto"/>
        <w:jc w:val="both"/>
        <w:rPr>
          <w:noProof w:val="0"/>
          <w:rtl/>
        </w:rPr>
      </w:pPr>
    </w:p>
    <w:p w14:paraId="588A013F" w14:textId="77777777" w:rsidR="006C1F2C" w:rsidRDefault="00AF63F7">
      <w:pPr>
        <w:spacing w:line="360" w:lineRule="auto"/>
        <w:jc w:val="both"/>
        <w:rPr>
          <w:b/>
          <w:bCs/>
          <w:noProof w:val="0"/>
          <w:u w:val="single"/>
          <w:rtl/>
        </w:rPr>
      </w:pPr>
      <w:r>
        <w:rPr>
          <w:b/>
          <w:bCs/>
          <w:noProof w:val="0"/>
          <w:u w:val="single"/>
          <w:rtl/>
        </w:rPr>
        <w:t>תסקיר שירות המבחן:</w:t>
      </w:r>
    </w:p>
    <w:p w14:paraId="415EAA46" w14:textId="77777777" w:rsidR="006C1F2C" w:rsidRDefault="00AF63F7">
      <w:pPr>
        <w:spacing w:line="360" w:lineRule="auto"/>
        <w:jc w:val="both"/>
        <w:rPr>
          <w:noProof w:val="0"/>
          <w:rtl/>
        </w:rPr>
      </w:pPr>
      <w:r>
        <w:rPr>
          <w:noProof w:val="0"/>
          <w:rtl/>
        </w:rPr>
        <w:t>שירות המבחן פירט בתסקירו את הרקע של הנאשם, את נסיבותיו האישיות והמשפחתיות ואת קשיי הלימודים שלו.</w:t>
      </w:r>
    </w:p>
    <w:p w14:paraId="67B717D8" w14:textId="77777777" w:rsidR="006C1F2C" w:rsidRDefault="00AF63F7">
      <w:pPr>
        <w:spacing w:line="360" w:lineRule="auto"/>
        <w:jc w:val="both"/>
        <w:rPr>
          <w:noProof w:val="0"/>
          <w:rtl/>
        </w:rPr>
      </w:pPr>
      <w:r>
        <w:rPr>
          <w:noProof w:val="0"/>
          <w:rtl/>
        </w:rPr>
        <w:t>שירות המבחן תיאר את תחושות הכישלון והדחיה שליוו את התפתחותו של הנאשם, ואשר עמדו ברקע לחבירתו לחברה שולית ולמעורבותו בפלילים.</w:t>
      </w:r>
    </w:p>
    <w:p w14:paraId="761AA031" w14:textId="77777777" w:rsidR="006C1F2C" w:rsidRDefault="00AF63F7">
      <w:pPr>
        <w:spacing w:line="360" w:lineRule="auto"/>
        <w:jc w:val="both"/>
        <w:rPr>
          <w:noProof w:val="0"/>
          <w:rtl/>
        </w:rPr>
      </w:pPr>
      <w:r>
        <w:rPr>
          <w:noProof w:val="0"/>
          <w:rtl/>
        </w:rPr>
        <w:t xml:space="preserve">שירות המבחן ציין כי הנאשם חש מחויבות למשפחתו, ומביע נכונות ושאיפות לנהל אורח חיים </w:t>
      </w:r>
    </w:p>
    <w:p w14:paraId="76807920" w14:textId="77777777" w:rsidR="006C1F2C" w:rsidRDefault="00AF63F7">
      <w:pPr>
        <w:spacing w:line="360" w:lineRule="auto"/>
        <w:jc w:val="both"/>
        <w:rPr>
          <w:noProof w:val="0"/>
          <w:rtl/>
        </w:rPr>
      </w:pPr>
      <w:r>
        <w:rPr>
          <w:noProof w:val="0"/>
          <w:rtl/>
        </w:rPr>
        <w:t>תקין וחיובי, שבמרכזו מאמץ להשתלב בעבודה לצורך פרנסת המשפחה.</w:t>
      </w:r>
    </w:p>
    <w:p w14:paraId="39B3AE3F" w14:textId="77777777" w:rsidR="006C1F2C" w:rsidRDefault="00AF63F7">
      <w:pPr>
        <w:spacing w:line="360" w:lineRule="auto"/>
        <w:jc w:val="both"/>
        <w:rPr>
          <w:noProof w:val="0"/>
          <w:rtl/>
        </w:rPr>
      </w:pPr>
      <w:r>
        <w:rPr>
          <w:noProof w:val="0"/>
          <w:rtl/>
        </w:rPr>
        <w:t>עם זאת ציין שירות המבחן כי הנאשם התקשה לקחת אחריות ולהסביר את הרקע למעשיו.</w:t>
      </w:r>
    </w:p>
    <w:p w14:paraId="3D3076D6" w14:textId="77777777" w:rsidR="006C1F2C" w:rsidRDefault="006C1F2C">
      <w:pPr>
        <w:spacing w:line="360" w:lineRule="auto"/>
        <w:jc w:val="both"/>
        <w:rPr>
          <w:noProof w:val="0"/>
          <w:rtl/>
        </w:rPr>
      </w:pPr>
    </w:p>
    <w:p w14:paraId="074BC251" w14:textId="77777777" w:rsidR="006C1F2C" w:rsidRDefault="00AF63F7">
      <w:pPr>
        <w:spacing w:line="360" w:lineRule="auto"/>
        <w:jc w:val="both"/>
        <w:rPr>
          <w:noProof w:val="0"/>
          <w:rtl/>
        </w:rPr>
      </w:pPr>
      <w:r>
        <w:rPr>
          <w:noProof w:val="0"/>
          <w:rtl/>
        </w:rPr>
        <w:t>לנוכח עברו הפלילי של הנאשם, קשייו להתמיד לאורך זמן בניהול אורח חיים תקין והחשש שמא הבעת רצו</w:t>
      </w:r>
      <w:r>
        <w:rPr>
          <w:rFonts w:hint="cs"/>
          <w:noProof w:val="0"/>
          <w:rtl/>
        </w:rPr>
        <w:t>נו</w:t>
      </w:r>
      <w:r>
        <w:rPr>
          <w:noProof w:val="0"/>
          <w:rtl/>
        </w:rPr>
        <w:t xml:space="preserve"> לנהל אורח חיים תקין מונעת מההליך המשפטי המתנהל נגדו, נמנע שירות המבחן מהמלצה בעניינו.</w:t>
      </w:r>
    </w:p>
    <w:p w14:paraId="006A5759" w14:textId="77777777" w:rsidR="006C1F2C" w:rsidRDefault="006C1F2C">
      <w:pPr>
        <w:spacing w:line="360" w:lineRule="auto"/>
        <w:jc w:val="both"/>
        <w:rPr>
          <w:noProof w:val="0"/>
          <w:rtl/>
        </w:rPr>
      </w:pPr>
    </w:p>
    <w:p w14:paraId="0AA5B479" w14:textId="77777777" w:rsidR="006C1F2C" w:rsidRDefault="00AF63F7">
      <w:pPr>
        <w:spacing w:line="360" w:lineRule="auto"/>
        <w:jc w:val="both"/>
        <w:rPr>
          <w:b/>
          <w:bCs/>
          <w:noProof w:val="0"/>
          <w:u w:val="single"/>
          <w:rtl/>
        </w:rPr>
      </w:pPr>
      <w:r>
        <w:rPr>
          <w:b/>
          <w:bCs/>
          <w:noProof w:val="0"/>
          <w:u w:val="single"/>
          <w:rtl/>
        </w:rPr>
        <w:t>דיון והכרעה:</w:t>
      </w:r>
    </w:p>
    <w:p w14:paraId="12092FD9" w14:textId="77777777" w:rsidR="006C1F2C" w:rsidRDefault="00AF63F7">
      <w:pPr>
        <w:spacing w:line="360" w:lineRule="auto"/>
        <w:jc w:val="both"/>
        <w:rPr>
          <w:noProof w:val="0"/>
          <w:rtl/>
        </w:rPr>
      </w:pPr>
      <w:r>
        <w:rPr>
          <w:noProof w:val="0"/>
          <w:rtl/>
        </w:rPr>
        <w:t xml:space="preserve">כלל הוא כי במסגרת הטיעונים לעונש לא יישמעו טענות הנסמכות על ראיות שלא הובאו לבית המשפט. שעה שנאשם מודה בעובדות כתב האישום, ישמשו עובדות אלו תשתית לגזר הדין שייגזר (השוו: </w:t>
      </w:r>
      <w:hyperlink r:id="rId7" w:history="1">
        <w:r w:rsidRPr="00AF63F7">
          <w:rPr>
            <w:noProof w:val="0"/>
            <w:color w:val="0000FF"/>
            <w:u w:val="single"/>
            <w:rtl/>
          </w:rPr>
          <w:t>ע"פ 8314/03</w:t>
        </w:r>
      </w:hyperlink>
      <w:r>
        <w:rPr>
          <w:noProof w:val="0"/>
          <w:rtl/>
        </w:rPr>
        <w:t xml:space="preserve"> </w:t>
      </w:r>
      <w:r>
        <w:rPr>
          <w:b/>
          <w:bCs/>
          <w:noProof w:val="0"/>
          <w:rtl/>
        </w:rPr>
        <w:t>רג'אח נ' מדינת ישראל</w:t>
      </w:r>
      <w:r>
        <w:rPr>
          <w:noProof w:val="0"/>
          <w:rtl/>
        </w:rPr>
        <w:t xml:space="preserve"> 7/6/2005).</w:t>
      </w:r>
    </w:p>
    <w:p w14:paraId="057D450E" w14:textId="77777777" w:rsidR="006C1F2C" w:rsidRDefault="00AF63F7">
      <w:pPr>
        <w:spacing w:line="360" w:lineRule="auto"/>
        <w:jc w:val="both"/>
        <w:rPr>
          <w:noProof w:val="0"/>
          <w:rtl/>
        </w:rPr>
      </w:pPr>
      <w:r>
        <w:rPr>
          <w:noProof w:val="0"/>
          <w:rtl/>
        </w:rPr>
        <w:t>לכן, טענות שנשמעו במסגרת הטיעונים לעונש, והמתייחסות למטרת החזקת הנשק על ידי הנאשם, לא יובאו בחשבון גזר הדין. חומרת מעשה העבירה של הנאשם תיבחן בהתאם לעובדות כתב האישום בלבד.</w:t>
      </w:r>
    </w:p>
    <w:p w14:paraId="31CEE22C" w14:textId="77777777" w:rsidR="006C1F2C" w:rsidRDefault="00AF63F7">
      <w:pPr>
        <w:spacing w:line="360" w:lineRule="auto"/>
        <w:jc w:val="both"/>
        <w:rPr>
          <w:noProof w:val="0"/>
          <w:rtl/>
        </w:rPr>
      </w:pPr>
      <w:r>
        <w:rPr>
          <w:noProof w:val="0"/>
          <w:rtl/>
        </w:rPr>
        <w:lastRenderedPageBreak/>
        <w:t xml:space="preserve">אולם, כבר נקבע בפסיקה כי יש להניח שאדם המחזיק, ללא רישיון, בנשק ובתחמושת מתאימה לנשק זה, עושה זאת שלא למטרות כשרות. במיוחד נכונים הדברים כאשר אותו אדם, כמו הנאשם דכאן, אינו משמיע הסבר שיש בו להניח את הדעת לסיבת מעשיו (ראו: </w:t>
      </w:r>
      <w:hyperlink r:id="rId8" w:history="1">
        <w:r w:rsidRPr="00AF63F7">
          <w:rPr>
            <w:noProof w:val="0"/>
            <w:color w:val="0000FF"/>
            <w:u w:val="single"/>
            <w:rtl/>
          </w:rPr>
          <w:t>ע"פ 761/07</w:t>
        </w:r>
      </w:hyperlink>
      <w:r>
        <w:rPr>
          <w:noProof w:val="0"/>
          <w:rtl/>
        </w:rPr>
        <w:t xml:space="preserve"> </w:t>
      </w:r>
      <w:r>
        <w:rPr>
          <w:b/>
          <w:bCs/>
          <w:noProof w:val="0"/>
          <w:rtl/>
        </w:rPr>
        <w:t>מדינת ישראל נ' אדרי</w:t>
      </w:r>
      <w:r>
        <w:rPr>
          <w:noProof w:val="0"/>
          <w:rtl/>
        </w:rPr>
        <w:t xml:space="preserve"> 22/2/2007). </w:t>
      </w:r>
    </w:p>
    <w:p w14:paraId="68C77707" w14:textId="77777777" w:rsidR="006C1F2C" w:rsidRDefault="006C1F2C">
      <w:pPr>
        <w:spacing w:line="360" w:lineRule="auto"/>
        <w:jc w:val="both"/>
        <w:rPr>
          <w:noProof w:val="0"/>
          <w:rtl/>
        </w:rPr>
      </w:pPr>
    </w:p>
    <w:p w14:paraId="472E4336" w14:textId="77777777" w:rsidR="006C1F2C" w:rsidRDefault="00AF63F7">
      <w:pPr>
        <w:spacing w:line="360" w:lineRule="auto"/>
        <w:jc w:val="both"/>
        <w:rPr>
          <w:noProof w:val="0"/>
          <w:rtl/>
        </w:rPr>
      </w:pPr>
      <w:r>
        <w:rPr>
          <w:noProof w:val="0"/>
          <w:rtl/>
        </w:rPr>
        <w:t>הערך החברתי המוגן על ידי האיסור להחזיק נשק שלא ברישיון כדין הינו שלום הציבור ובטחונו. העובדה שכלי בו גלום פוטנציאל קטלני מוחזק ללא פיקוח רשויות  המדינה ומבלי שנבחנו מראש מיומנותו של אותו מחזיק לעשות שימוש בנשק וכשירותו להחזיק בו, כשהיא לעצמה, מהווה סכנה ממשית לשלומו ובטחונו של הציבור. סכנה זו עומדת בתוקפה גם</w:t>
      </w:r>
      <w:r>
        <w:rPr>
          <w:rFonts w:hint="cs"/>
          <w:noProof w:val="0"/>
          <w:rtl/>
        </w:rPr>
        <w:t xml:space="preserve"> אם</w:t>
      </w:r>
      <w:r>
        <w:rPr>
          <w:noProof w:val="0"/>
          <w:rtl/>
        </w:rPr>
        <w:t xml:space="preserve"> אין בדעתו של המחזיק בנשק לעשות בו שימוש לצורך ביצוע עבירה.</w:t>
      </w:r>
    </w:p>
    <w:p w14:paraId="54D553EB" w14:textId="77777777" w:rsidR="006C1F2C" w:rsidRDefault="00AF63F7">
      <w:pPr>
        <w:spacing w:line="360" w:lineRule="auto"/>
        <w:jc w:val="both"/>
        <w:rPr>
          <w:noProof w:val="0"/>
          <w:rtl/>
        </w:rPr>
      </w:pPr>
      <w:r>
        <w:rPr>
          <w:noProof w:val="0"/>
          <w:rtl/>
        </w:rPr>
        <w:t>לנוכח ההנחה הנ"ל</w:t>
      </w:r>
      <w:r>
        <w:rPr>
          <w:rFonts w:hint="cs"/>
          <w:noProof w:val="0"/>
          <w:rtl/>
        </w:rPr>
        <w:t xml:space="preserve">, </w:t>
      </w:r>
      <w:r>
        <w:rPr>
          <w:noProof w:val="0"/>
          <w:rtl/>
        </w:rPr>
        <w:t>לפיה הנאשם החזיק בנשק ובתחמושת שלא למטרות כשרות, מידת הסכנה לשלום הציבור ובטחונו חמורה שבעתיים.</w:t>
      </w:r>
    </w:p>
    <w:p w14:paraId="17014E64" w14:textId="77777777" w:rsidR="006C1F2C" w:rsidRDefault="00AF63F7">
      <w:pPr>
        <w:spacing w:line="360" w:lineRule="auto"/>
        <w:jc w:val="both"/>
        <w:rPr>
          <w:noProof w:val="0"/>
          <w:rtl/>
        </w:rPr>
      </w:pPr>
      <w:r>
        <w:rPr>
          <w:noProof w:val="0"/>
          <w:rtl/>
        </w:rPr>
        <w:t>הנאשם פגע אפוא בערך המוגן פגיעה חמורה וממשית.</w:t>
      </w:r>
    </w:p>
    <w:p w14:paraId="28291B03" w14:textId="77777777" w:rsidR="006C1F2C" w:rsidRDefault="006C1F2C">
      <w:pPr>
        <w:spacing w:line="360" w:lineRule="auto"/>
        <w:jc w:val="both"/>
        <w:rPr>
          <w:noProof w:val="0"/>
          <w:rtl/>
        </w:rPr>
      </w:pPr>
    </w:p>
    <w:p w14:paraId="4BFDFCE8" w14:textId="77777777" w:rsidR="006C1F2C" w:rsidRDefault="00AF63F7">
      <w:pPr>
        <w:spacing w:line="360" w:lineRule="auto"/>
        <w:jc w:val="both"/>
        <w:rPr>
          <w:noProof w:val="0"/>
          <w:rtl/>
        </w:rPr>
      </w:pPr>
      <w:r>
        <w:rPr>
          <w:noProof w:val="0"/>
          <w:rtl/>
        </w:rPr>
        <w:t xml:space="preserve">עם זאת, מידת הפגיעה של הנאשם בערך המוגן נמוכה משמעותית ממידת הפגיעה של עבירות הנשק במדרג הגבוה. יש להביא בחשבון כי אין מדובר בנסיבות דומות לאלו שנדונו בפסקי הדין אליהם הפנתה המאשימה בטיעוניה. בניגוד לפרשיות שנדונו בפסקי הדין הנ"ל, הנאשם לא נשא את הנשק, הובילו או סחר בו. הנאשם לא החזיק את הנשק על גופו, לא שהה עמו ברחובה של עיר, ולא נטען כי הנשק היה טעון ומוכן לירי. </w:t>
      </w:r>
    </w:p>
    <w:p w14:paraId="69DC40AC" w14:textId="77777777" w:rsidR="006C1F2C" w:rsidRDefault="006C1F2C">
      <w:pPr>
        <w:spacing w:line="360" w:lineRule="auto"/>
        <w:jc w:val="both"/>
        <w:rPr>
          <w:noProof w:val="0"/>
          <w:rtl/>
        </w:rPr>
      </w:pPr>
    </w:p>
    <w:p w14:paraId="41A9F202" w14:textId="77777777" w:rsidR="006C1F2C" w:rsidRDefault="00AF63F7">
      <w:pPr>
        <w:spacing w:line="360" w:lineRule="auto"/>
        <w:jc w:val="both"/>
        <w:rPr>
          <w:noProof w:val="0"/>
        </w:rPr>
      </w:pPr>
      <w:r>
        <w:rPr>
          <w:noProof w:val="0"/>
          <w:rtl/>
        </w:rPr>
        <w:t xml:space="preserve">לאור האמור, בהתחשב בערך החברתי שנפגע מביצוע העבירה, במידת הפגיעה בו ובמדיניות הענישה הנהוגה (ראו: </w:t>
      </w:r>
      <w:hyperlink r:id="rId9" w:history="1">
        <w:r w:rsidRPr="00AF63F7">
          <w:rPr>
            <w:noProof w:val="0"/>
            <w:color w:val="0000FF"/>
            <w:u w:val="single"/>
            <w:rtl/>
          </w:rPr>
          <w:t>ע"פ 5220/09</w:t>
        </w:r>
      </w:hyperlink>
      <w:r>
        <w:rPr>
          <w:noProof w:val="0"/>
          <w:rtl/>
        </w:rPr>
        <w:t xml:space="preserve"> </w:t>
      </w:r>
      <w:r>
        <w:rPr>
          <w:b/>
          <w:bCs/>
          <w:noProof w:val="0"/>
          <w:rtl/>
        </w:rPr>
        <w:t>עוואודה נ' מדינת ישראל</w:t>
      </w:r>
      <w:r>
        <w:rPr>
          <w:noProof w:val="0"/>
          <w:rtl/>
        </w:rPr>
        <w:t xml:space="preserve"> 30/12/2009, </w:t>
      </w:r>
      <w:hyperlink r:id="rId10" w:history="1">
        <w:r w:rsidRPr="00AF63F7">
          <w:rPr>
            <w:noProof w:val="0"/>
            <w:color w:val="0000FF"/>
            <w:u w:val="single"/>
            <w:rtl/>
          </w:rPr>
          <w:t>רע"פ 5921/08</w:t>
        </w:r>
      </w:hyperlink>
      <w:r>
        <w:rPr>
          <w:noProof w:val="0"/>
          <w:rtl/>
        </w:rPr>
        <w:t xml:space="preserve"> </w:t>
      </w:r>
      <w:r>
        <w:rPr>
          <w:b/>
          <w:bCs/>
          <w:noProof w:val="0"/>
          <w:rtl/>
        </w:rPr>
        <w:t>רג'בי נ' מדינת ישראל</w:t>
      </w:r>
      <w:r>
        <w:rPr>
          <w:noProof w:val="0"/>
          <w:rtl/>
        </w:rPr>
        <w:t xml:space="preserve">  6/5/2009, </w:t>
      </w:r>
      <w:hyperlink r:id="rId11" w:history="1">
        <w:r w:rsidRPr="00AF63F7">
          <w:rPr>
            <w:noProof w:val="0"/>
            <w:color w:val="0000FF"/>
            <w:u w:val="single"/>
            <w:rtl/>
          </w:rPr>
          <w:t>ע"פ 7955/06</w:t>
        </w:r>
      </w:hyperlink>
      <w:r>
        <w:rPr>
          <w:noProof w:val="0"/>
          <w:rtl/>
        </w:rPr>
        <w:t xml:space="preserve"> </w:t>
      </w:r>
      <w:r>
        <w:rPr>
          <w:b/>
          <w:bCs/>
          <w:noProof w:val="0"/>
          <w:rtl/>
        </w:rPr>
        <w:t>כרכור נ'</w:t>
      </w:r>
      <w:r>
        <w:rPr>
          <w:noProof w:val="0"/>
          <w:rtl/>
        </w:rPr>
        <w:t xml:space="preserve"> </w:t>
      </w:r>
      <w:r>
        <w:rPr>
          <w:b/>
          <w:bCs/>
          <w:noProof w:val="0"/>
          <w:rtl/>
        </w:rPr>
        <w:t>מדינת ישראל</w:t>
      </w:r>
      <w:r>
        <w:rPr>
          <w:noProof w:val="0"/>
          <w:rtl/>
        </w:rPr>
        <w:t xml:space="preserve"> 1/1/2007, ע"פ (חי') 4318-10-11 </w:t>
      </w:r>
      <w:r>
        <w:rPr>
          <w:b/>
          <w:bCs/>
          <w:noProof w:val="0"/>
          <w:rtl/>
        </w:rPr>
        <w:t>מדינת ישראל נ' רפאלוב</w:t>
      </w:r>
      <w:r>
        <w:rPr>
          <w:noProof w:val="0"/>
          <w:rtl/>
        </w:rPr>
        <w:t xml:space="preserve"> 5/1/2012, </w:t>
      </w:r>
      <w:hyperlink r:id="rId12" w:history="1">
        <w:r w:rsidRPr="00AF63F7">
          <w:rPr>
            <w:noProof w:val="0"/>
            <w:color w:val="0000FF"/>
            <w:u w:val="single"/>
            <w:rtl/>
          </w:rPr>
          <w:t>ת.פ. (מחוזי י-ם) 207/08</w:t>
        </w:r>
      </w:hyperlink>
      <w:r>
        <w:rPr>
          <w:noProof w:val="0"/>
          <w:rtl/>
        </w:rPr>
        <w:t xml:space="preserve"> </w:t>
      </w:r>
      <w:r>
        <w:rPr>
          <w:b/>
          <w:bCs/>
          <w:noProof w:val="0"/>
          <w:rtl/>
        </w:rPr>
        <w:t>מדינת ישראל נ' בלטי</w:t>
      </w:r>
      <w:r>
        <w:rPr>
          <w:noProof w:val="0"/>
          <w:rtl/>
        </w:rPr>
        <w:t xml:space="preserve"> 2/11/2008, </w:t>
      </w:r>
      <w:hyperlink r:id="rId13" w:history="1">
        <w:r w:rsidRPr="00AF63F7">
          <w:rPr>
            <w:noProof w:val="0"/>
            <w:color w:val="0000FF"/>
            <w:u w:val="single"/>
            <w:rtl/>
          </w:rPr>
          <w:t>עפ"ג 22065/09</w:t>
        </w:r>
      </w:hyperlink>
      <w:r>
        <w:rPr>
          <w:noProof w:val="0"/>
          <w:rtl/>
        </w:rPr>
        <w:t xml:space="preserve"> </w:t>
      </w:r>
      <w:r>
        <w:rPr>
          <w:b/>
          <w:bCs/>
          <w:noProof w:val="0"/>
          <w:rtl/>
        </w:rPr>
        <w:t>מדינת ישראל נ' ריאד</w:t>
      </w:r>
      <w:r>
        <w:rPr>
          <w:noProof w:val="0"/>
          <w:rtl/>
        </w:rPr>
        <w:t xml:space="preserve"> 26/10/2009, ת"פ (מח</w:t>
      </w:r>
      <w:r>
        <w:rPr>
          <w:rFonts w:hint="cs"/>
          <w:noProof w:val="0"/>
          <w:rtl/>
        </w:rPr>
        <w:t>ו</w:t>
      </w:r>
      <w:r>
        <w:rPr>
          <w:noProof w:val="0"/>
          <w:rtl/>
        </w:rPr>
        <w:t xml:space="preserve">זי חי') 4206-01-09 </w:t>
      </w:r>
      <w:r>
        <w:rPr>
          <w:b/>
          <w:bCs/>
          <w:noProof w:val="0"/>
          <w:rtl/>
        </w:rPr>
        <w:t>מדינת ישראל נ' עלוואי</w:t>
      </w:r>
      <w:r>
        <w:rPr>
          <w:noProof w:val="0"/>
          <w:rtl/>
        </w:rPr>
        <w:t xml:space="preserve">  3/3/2010, ת"פ (מחוזי חי') 10774-06-09 </w:t>
      </w:r>
      <w:r>
        <w:rPr>
          <w:b/>
          <w:bCs/>
          <w:noProof w:val="0"/>
          <w:rtl/>
        </w:rPr>
        <w:t>מדינת ישראל נ' אגבריה</w:t>
      </w:r>
      <w:r>
        <w:rPr>
          <w:noProof w:val="0"/>
          <w:rtl/>
        </w:rPr>
        <w:t xml:space="preserve">  21/10/2009, </w:t>
      </w:r>
      <w:hyperlink r:id="rId14" w:history="1">
        <w:r w:rsidRPr="00AF63F7">
          <w:rPr>
            <w:noProof w:val="0"/>
            <w:color w:val="0000FF"/>
            <w:u w:val="single"/>
            <w:rtl/>
          </w:rPr>
          <w:t>ת"פ (מחוזי נצ') 134/09</w:t>
        </w:r>
      </w:hyperlink>
      <w:r>
        <w:rPr>
          <w:noProof w:val="0"/>
          <w:rtl/>
        </w:rPr>
        <w:t xml:space="preserve"> </w:t>
      </w:r>
      <w:r>
        <w:rPr>
          <w:b/>
          <w:bCs/>
          <w:noProof w:val="0"/>
          <w:rtl/>
        </w:rPr>
        <w:t>מדינת ישראל נ' אמין</w:t>
      </w:r>
      <w:r>
        <w:rPr>
          <w:noProof w:val="0"/>
          <w:rtl/>
        </w:rPr>
        <w:t xml:space="preserve">  3/11/2009, </w:t>
      </w:r>
      <w:hyperlink r:id="rId15" w:history="1">
        <w:r w:rsidRPr="00AF63F7">
          <w:rPr>
            <w:noProof w:val="0"/>
            <w:color w:val="0000FF"/>
            <w:u w:val="single"/>
            <w:rtl/>
          </w:rPr>
          <w:t>ת"פ (מחוזי נצ') 1074/07</w:t>
        </w:r>
      </w:hyperlink>
      <w:r>
        <w:rPr>
          <w:noProof w:val="0"/>
          <w:rtl/>
        </w:rPr>
        <w:t xml:space="preserve"> </w:t>
      </w:r>
      <w:r>
        <w:rPr>
          <w:b/>
          <w:bCs/>
          <w:noProof w:val="0"/>
          <w:rtl/>
        </w:rPr>
        <w:t xml:space="preserve">מדינת ישראל נ' שלבי </w:t>
      </w:r>
      <w:r>
        <w:rPr>
          <w:noProof w:val="0"/>
          <w:rtl/>
        </w:rPr>
        <w:t xml:space="preserve">6/3/2008, ע"פ (חי') 11877-07-09 </w:t>
      </w:r>
      <w:r>
        <w:rPr>
          <w:b/>
          <w:bCs/>
          <w:noProof w:val="0"/>
          <w:rtl/>
        </w:rPr>
        <w:t>מדינת ישראל נ' כהן</w:t>
      </w:r>
      <w:r>
        <w:rPr>
          <w:noProof w:val="0"/>
          <w:rtl/>
        </w:rPr>
        <w:t xml:space="preserve">  26/11/2009), נראה לי כי מתחם הענישה ההולם למעשה העבירה שביצע הנאשם נע בין 6 חודשי מאסר לבין 15 חודשי מאסר בפועל.</w:t>
      </w:r>
    </w:p>
    <w:p w14:paraId="2FB6034E" w14:textId="77777777" w:rsidR="006C1F2C" w:rsidRDefault="006C1F2C">
      <w:pPr>
        <w:spacing w:line="360" w:lineRule="auto"/>
        <w:jc w:val="both"/>
        <w:rPr>
          <w:noProof w:val="0"/>
          <w:rtl/>
        </w:rPr>
      </w:pPr>
    </w:p>
    <w:p w14:paraId="74A9933C" w14:textId="77777777" w:rsidR="006C1F2C" w:rsidRDefault="00AF63F7">
      <w:pPr>
        <w:spacing w:line="360" w:lineRule="auto"/>
        <w:jc w:val="both"/>
        <w:rPr>
          <w:noProof w:val="0"/>
          <w:rtl/>
        </w:rPr>
      </w:pPr>
      <w:r>
        <w:rPr>
          <w:noProof w:val="0"/>
          <w:rtl/>
        </w:rPr>
        <w:t xml:space="preserve">לצורך קביעת העונש בתוך מתחם הענישה יש  להביא בחשבון, לטובתו של הנאשם, את הודאתו בפתח ההליכים נגדו, </w:t>
      </w:r>
      <w:r>
        <w:rPr>
          <w:rFonts w:hint="cs"/>
          <w:noProof w:val="0"/>
          <w:rtl/>
        </w:rPr>
        <w:t xml:space="preserve">ואת </w:t>
      </w:r>
      <w:r>
        <w:rPr>
          <w:noProof w:val="0"/>
          <w:rtl/>
        </w:rPr>
        <w:t>העובדה שנטל אחריות על מעשיו ושיתף פעולה עם הרשויות.</w:t>
      </w:r>
    </w:p>
    <w:p w14:paraId="28826513" w14:textId="77777777" w:rsidR="006C1F2C" w:rsidRDefault="00AF63F7">
      <w:pPr>
        <w:spacing w:line="360" w:lineRule="auto"/>
        <w:jc w:val="both"/>
        <w:rPr>
          <w:noProof w:val="0"/>
          <w:rtl/>
        </w:rPr>
      </w:pPr>
      <w:r>
        <w:rPr>
          <w:noProof w:val="0"/>
          <w:rtl/>
        </w:rPr>
        <w:t xml:space="preserve">עוד יש להביא בחשבון את נסיבותיו </w:t>
      </w:r>
      <w:r>
        <w:rPr>
          <w:rFonts w:hint="cs"/>
          <w:noProof w:val="0"/>
          <w:rtl/>
        </w:rPr>
        <w:t xml:space="preserve">האישיות של הנאשם </w:t>
      </w:r>
      <w:r>
        <w:rPr>
          <w:noProof w:val="0"/>
          <w:rtl/>
        </w:rPr>
        <w:t>אשר עמדו ברקע למעורבותו בפלילים, כמפורט בתסקיר שירות המבחן, ואת הרצון אותו הוא מביע כיום לנהל אורח חיים תקין וחיובי. ברם, להבעת רצון זו של הנאשם יש השפעה מוגבלת, לנוכח החשש הבא לידי ביטוי בתסקיר כי היא מונעת מההליך המשפטי, ובהתחשב בכך שהנאשם התקשה להסביר לשירות המבחן את הרקע למעשיו.</w:t>
      </w:r>
    </w:p>
    <w:p w14:paraId="2D6C628B" w14:textId="77777777" w:rsidR="006C1F2C" w:rsidRDefault="00AF63F7">
      <w:pPr>
        <w:spacing w:line="360" w:lineRule="auto"/>
        <w:jc w:val="both"/>
        <w:rPr>
          <w:noProof w:val="0"/>
          <w:rtl/>
        </w:rPr>
      </w:pPr>
      <w:r>
        <w:rPr>
          <w:noProof w:val="0"/>
          <w:rtl/>
        </w:rPr>
        <w:t>בנוסף, יש להתחשב בפגיעה במשפחתו של הנאשם, אשתו ושלושת בנותיו, שהנאשם נושא לבדו בעול פרנסתה.</w:t>
      </w:r>
    </w:p>
    <w:p w14:paraId="320D43C4" w14:textId="77777777" w:rsidR="006C1F2C" w:rsidRDefault="006C1F2C">
      <w:pPr>
        <w:spacing w:line="360" w:lineRule="auto"/>
        <w:jc w:val="both"/>
        <w:rPr>
          <w:noProof w:val="0"/>
          <w:rtl/>
        </w:rPr>
      </w:pPr>
    </w:p>
    <w:p w14:paraId="41ED84CE" w14:textId="77777777" w:rsidR="006C1F2C" w:rsidRDefault="00AF63F7">
      <w:pPr>
        <w:spacing w:line="360" w:lineRule="auto"/>
        <w:jc w:val="both"/>
        <w:rPr>
          <w:noProof w:val="0"/>
          <w:rtl/>
        </w:rPr>
      </w:pPr>
      <w:r>
        <w:rPr>
          <w:noProof w:val="0"/>
          <w:rtl/>
        </w:rPr>
        <w:t>לחובתו של הנאשם יש לזקוף, בעיקר, את עברו הפלילי המכביד. לנאשם 9 הרשעות קודמות, בהן בשל עבירה קודמת של נשיאת נשק שלא כדין, וכן בשל עבירות אלימות, רכוש, החזקת סכין ועוד. ברם, אין להתעלם מכך שלאחרונה חלה התמתנות של ממש במעורבותו של הנאשם בפלילים. מאז הרשעתו האחרונה חלפו כ- 9 שנים, ומאז עבירת נשיאת הנשק הקודמת חלפו למעלה מ- 20 שנה.</w:t>
      </w:r>
    </w:p>
    <w:p w14:paraId="500C9B11" w14:textId="77777777" w:rsidR="006C1F2C" w:rsidRDefault="006C1F2C">
      <w:pPr>
        <w:spacing w:line="360" w:lineRule="auto"/>
        <w:jc w:val="both"/>
        <w:rPr>
          <w:noProof w:val="0"/>
          <w:rtl/>
        </w:rPr>
      </w:pPr>
    </w:p>
    <w:p w14:paraId="0EA5B8EA" w14:textId="77777777" w:rsidR="006C1F2C" w:rsidRDefault="00AF63F7">
      <w:pPr>
        <w:spacing w:line="360" w:lineRule="auto"/>
        <w:jc w:val="both"/>
        <w:rPr>
          <w:noProof w:val="0"/>
          <w:rtl/>
        </w:rPr>
      </w:pPr>
      <w:r>
        <w:rPr>
          <w:noProof w:val="0"/>
          <w:rtl/>
        </w:rPr>
        <w:t>בהתחשב במכלול השיקולים האמורים נראה לי כי העונש המתאים לנאשם מצוי לפני מרכז מתחם הענישה.</w:t>
      </w:r>
    </w:p>
    <w:p w14:paraId="06B3A567" w14:textId="77777777" w:rsidR="006C1F2C" w:rsidRDefault="006C1F2C">
      <w:pPr>
        <w:spacing w:line="360" w:lineRule="auto"/>
        <w:jc w:val="both"/>
        <w:rPr>
          <w:noProof w:val="0"/>
          <w:rtl/>
        </w:rPr>
      </w:pPr>
    </w:p>
    <w:p w14:paraId="34DD2354" w14:textId="77777777" w:rsidR="006C1F2C" w:rsidRDefault="00AF63F7">
      <w:pPr>
        <w:ind w:left="720" w:hanging="720"/>
        <w:jc w:val="both"/>
        <w:rPr>
          <w:b/>
          <w:bCs/>
          <w:rtl/>
        </w:rPr>
      </w:pPr>
      <w:r>
        <w:rPr>
          <w:rFonts w:hint="cs"/>
          <w:b/>
          <w:bCs/>
          <w:rtl/>
        </w:rPr>
        <w:t>א</w:t>
      </w:r>
      <w:r>
        <w:rPr>
          <w:b/>
          <w:bCs/>
          <w:rtl/>
        </w:rPr>
        <w:t xml:space="preserve">ני דן </w:t>
      </w:r>
      <w:r>
        <w:rPr>
          <w:rFonts w:hint="cs"/>
          <w:b/>
          <w:bCs/>
          <w:rtl/>
        </w:rPr>
        <w:t>אפוא</w:t>
      </w:r>
      <w:r>
        <w:rPr>
          <w:b/>
          <w:bCs/>
          <w:rtl/>
        </w:rPr>
        <w:t xml:space="preserve"> את הנאשם לעונשים הבאים:</w:t>
      </w:r>
    </w:p>
    <w:p w14:paraId="22A12F39" w14:textId="77777777" w:rsidR="006C1F2C" w:rsidRDefault="006C1F2C">
      <w:pPr>
        <w:spacing w:line="360" w:lineRule="auto"/>
        <w:ind w:left="720" w:hanging="720"/>
        <w:jc w:val="both"/>
        <w:rPr>
          <w:b/>
          <w:bCs/>
          <w:rtl/>
        </w:rPr>
      </w:pPr>
    </w:p>
    <w:p w14:paraId="1C9D7227" w14:textId="77777777" w:rsidR="006C1F2C" w:rsidRDefault="00AF63F7">
      <w:pPr>
        <w:spacing w:line="360" w:lineRule="auto"/>
        <w:ind w:left="720" w:hanging="720"/>
        <w:jc w:val="both"/>
        <w:rPr>
          <w:rtl/>
        </w:rPr>
      </w:pPr>
      <w:r>
        <w:rPr>
          <w:b/>
          <w:bCs/>
          <w:rtl/>
        </w:rPr>
        <w:t>1.</w:t>
      </w:r>
      <w:r>
        <w:rPr>
          <w:b/>
          <w:bCs/>
          <w:rtl/>
        </w:rPr>
        <w:tab/>
      </w:r>
      <w:r>
        <w:rPr>
          <w:rFonts w:hint="cs"/>
          <w:rtl/>
        </w:rPr>
        <w:t>מאסר בפועל</w:t>
      </w:r>
      <w:r>
        <w:rPr>
          <w:rtl/>
        </w:rPr>
        <w:t xml:space="preserve"> למשך</w:t>
      </w:r>
      <w:r>
        <w:rPr>
          <w:rFonts w:hint="cs"/>
          <w:rtl/>
        </w:rPr>
        <w:t xml:space="preserve"> 9</w:t>
      </w:r>
      <w:r>
        <w:rPr>
          <w:rtl/>
        </w:rPr>
        <w:t xml:space="preserve"> חודשים</w:t>
      </w:r>
      <w:r>
        <w:rPr>
          <w:rFonts w:hint="cs"/>
          <w:rtl/>
        </w:rPr>
        <w:t>, החל מיום מעצרו (5/8/2012).</w:t>
      </w:r>
    </w:p>
    <w:p w14:paraId="5F3110D7" w14:textId="77777777" w:rsidR="006C1F2C" w:rsidRDefault="006C1F2C">
      <w:pPr>
        <w:spacing w:line="360" w:lineRule="auto"/>
        <w:ind w:left="720" w:hanging="720"/>
        <w:jc w:val="both"/>
        <w:rPr>
          <w:rtl/>
        </w:rPr>
      </w:pPr>
    </w:p>
    <w:p w14:paraId="785FFDAA" w14:textId="77777777" w:rsidR="006C1F2C" w:rsidRDefault="00AF63F7">
      <w:pPr>
        <w:spacing w:line="360" w:lineRule="auto"/>
        <w:ind w:left="720" w:hanging="720"/>
        <w:jc w:val="both"/>
        <w:rPr>
          <w:rtl/>
        </w:rPr>
      </w:pPr>
      <w:r>
        <w:rPr>
          <w:rFonts w:hint="cs"/>
          <w:b/>
          <w:bCs/>
          <w:rtl/>
        </w:rPr>
        <w:t>2.</w:t>
      </w:r>
      <w:r>
        <w:rPr>
          <w:rFonts w:hint="cs"/>
          <w:b/>
          <w:bCs/>
          <w:rtl/>
        </w:rPr>
        <w:tab/>
      </w:r>
      <w:r>
        <w:rPr>
          <w:rtl/>
        </w:rPr>
        <w:t>מאסר למשך</w:t>
      </w:r>
      <w:r>
        <w:rPr>
          <w:rFonts w:hint="cs"/>
          <w:rtl/>
        </w:rPr>
        <w:t xml:space="preserve"> 12</w:t>
      </w:r>
      <w:r>
        <w:rPr>
          <w:rtl/>
        </w:rPr>
        <w:t xml:space="preserve"> </w:t>
      </w:r>
      <w:r>
        <w:rPr>
          <w:rFonts w:hint="cs"/>
          <w:rtl/>
        </w:rPr>
        <w:t>חודשים</w:t>
      </w:r>
      <w:r>
        <w:rPr>
          <w:rtl/>
        </w:rPr>
        <w:t xml:space="preserve"> וזאת על תנאי למשך 3 שנים, אם יעבור </w:t>
      </w:r>
      <w:r>
        <w:rPr>
          <w:rFonts w:hint="cs"/>
          <w:rtl/>
        </w:rPr>
        <w:t>עבירת נשק לפי סעיף 144 ל</w:t>
      </w:r>
      <w:hyperlink r:id="rId16" w:history="1">
        <w:r w:rsidRPr="00AF63F7">
          <w:rPr>
            <w:color w:val="0000FF"/>
            <w:u w:val="single"/>
            <w:rtl/>
          </w:rPr>
          <w:t>חוק העונשין</w:t>
        </w:r>
      </w:hyperlink>
      <w:r>
        <w:rPr>
          <w:rFonts w:hint="cs"/>
          <w:rtl/>
        </w:rPr>
        <w:t>.</w:t>
      </w:r>
    </w:p>
    <w:p w14:paraId="159362BD" w14:textId="77777777" w:rsidR="006C1F2C" w:rsidRDefault="006C1F2C">
      <w:pPr>
        <w:spacing w:line="360" w:lineRule="auto"/>
        <w:ind w:left="720" w:hanging="720"/>
        <w:jc w:val="both"/>
        <w:rPr>
          <w:b/>
          <w:bCs/>
          <w:rtl/>
        </w:rPr>
      </w:pPr>
    </w:p>
    <w:p w14:paraId="523FA96D" w14:textId="77777777" w:rsidR="006C1F2C" w:rsidRDefault="00AF63F7">
      <w:pPr>
        <w:spacing w:line="360" w:lineRule="auto"/>
        <w:ind w:left="720" w:hanging="720"/>
        <w:jc w:val="both"/>
        <w:rPr>
          <w:rtl/>
        </w:rPr>
      </w:pPr>
      <w:r>
        <w:rPr>
          <w:rFonts w:hint="cs"/>
          <w:b/>
          <w:bCs/>
          <w:rtl/>
        </w:rPr>
        <w:t>3.</w:t>
      </w:r>
      <w:r>
        <w:rPr>
          <w:rFonts w:hint="cs"/>
          <w:b/>
          <w:bCs/>
          <w:rtl/>
        </w:rPr>
        <w:tab/>
      </w:r>
      <w:r>
        <w:rPr>
          <w:rtl/>
        </w:rPr>
        <w:t xml:space="preserve">קנס בסך </w:t>
      </w:r>
      <w:r>
        <w:rPr>
          <w:rFonts w:hint="cs"/>
          <w:rtl/>
        </w:rPr>
        <w:t>5,000</w:t>
      </w:r>
      <w:r>
        <w:rPr>
          <w:rtl/>
        </w:rPr>
        <w:t xml:space="preserve"> </w:t>
      </w:r>
      <w:r>
        <w:rPr>
          <w:rFonts w:hint="cs"/>
          <w:rtl/>
        </w:rPr>
        <w:t>₪, או 3 חודשי מאסר תמורתו.</w:t>
      </w:r>
    </w:p>
    <w:p w14:paraId="6F53A059" w14:textId="77777777" w:rsidR="006C1F2C" w:rsidRDefault="00AF63F7">
      <w:pPr>
        <w:spacing w:line="360" w:lineRule="auto"/>
        <w:ind w:left="720"/>
        <w:jc w:val="both"/>
        <w:rPr>
          <w:rtl/>
        </w:rPr>
      </w:pPr>
      <w:r>
        <w:rPr>
          <w:rFonts w:hint="cs"/>
          <w:rtl/>
        </w:rPr>
        <w:t xml:space="preserve">הקנס </w:t>
      </w:r>
      <w:r>
        <w:rPr>
          <w:rtl/>
        </w:rPr>
        <w:t>ישולם ב</w:t>
      </w:r>
      <w:r>
        <w:rPr>
          <w:rFonts w:hint="cs"/>
          <w:rtl/>
        </w:rPr>
        <w:t>-</w:t>
      </w:r>
      <w:r>
        <w:rPr>
          <w:rtl/>
        </w:rPr>
        <w:t xml:space="preserve"> </w:t>
      </w:r>
      <w:r>
        <w:rPr>
          <w:rFonts w:hint="cs"/>
          <w:rtl/>
        </w:rPr>
        <w:t xml:space="preserve">10 </w:t>
      </w:r>
      <w:r>
        <w:rPr>
          <w:rtl/>
        </w:rPr>
        <w:t xml:space="preserve">תשלומים חודשיים החל מיום </w:t>
      </w:r>
      <w:r>
        <w:rPr>
          <w:rFonts w:hint="cs"/>
          <w:rtl/>
        </w:rPr>
        <w:t>2/6/2013. אולם, אם איזה מן התשלומים לא יבוצע במלואו או במועדו תעמוד מלוא יתרת הקנס לתשלום מיידי.</w:t>
      </w:r>
    </w:p>
    <w:p w14:paraId="763B69CB" w14:textId="77777777" w:rsidR="006C1F2C" w:rsidRDefault="006C1F2C">
      <w:pPr>
        <w:spacing w:line="360" w:lineRule="auto"/>
        <w:ind w:left="720"/>
        <w:jc w:val="both"/>
        <w:rPr>
          <w:rtl/>
        </w:rPr>
      </w:pPr>
    </w:p>
    <w:p w14:paraId="60568D80" w14:textId="77777777" w:rsidR="006C1F2C" w:rsidRDefault="006C1F2C">
      <w:pPr>
        <w:spacing w:line="360" w:lineRule="auto"/>
        <w:ind w:left="720" w:hanging="720"/>
        <w:jc w:val="both"/>
        <w:rPr>
          <w:rtl/>
        </w:rPr>
      </w:pPr>
    </w:p>
    <w:p w14:paraId="737F51F8" w14:textId="77777777" w:rsidR="006C1F2C" w:rsidRDefault="00AF63F7">
      <w:pPr>
        <w:spacing w:line="360" w:lineRule="auto"/>
        <w:ind w:left="720" w:hanging="720"/>
        <w:jc w:val="both"/>
        <w:rPr>
          <w:b/>
          <w:bCs/>
          <w:rtl/>
        </w:rPr>
      </w:pPr>
      <w:r>
        <w:rPr>
          <w:rtl/>
        </w:rPr>
        <w:t>זכות ערעור לבי</w:t>
      </w:r>
      <w:r>
        <w:rPr>
          <w:rFonts w:hint="cs"/>
          <w:rtl/>
        </w:rPr>
        <w:t xml:space="preserve">ת המשפט </w:t>
      </w:r>
      <w:r>
        <w:rPr>
          <w:rtl/>
        </w:rPr>
        <w:t>המחוזי בירושלים תוך 45 יום מהיום.</w:t>
      </w:r>
    </w:p>
    <w:p w14:paraId="76789B90" w14:textId="77777777" w:rsidR="006C1F2C" w:rsidRPr="00AF63F7" w:rsidRDefault="00AF63F7">
      <w:pPr>
        <w:spacing w:line="360" w:lineRule="auto"/>
        <w:jc w:val="both"/>
        <w:rPr>
          <w:rFonts w:ascii="Arial" w:hAnsi="Arial"/>
          <w:noProof w:val="0"/>
          <w:color w:val="FFFFFF"/>
          <w:sz w:val="2"/>
          <w:szCs w:val="2"/>
          <w:rtl/>
        </w:rPr>
      </w:pPr>
      <w:r w:rsidRPr="00AF63F7">
        <w:rPr>
          <w:rFonts w:ascii="Arial" w:hAnsi="Arial"/>
          <w:noProof w:val="0"/>
          <w:color w:val="FFFFFF"/>
          <w:sz w:val="2"/>
          <w:szCs w:val="2"/>
          <w:rtl/>
        </w:rPr>
        <w:t>5129371</w:t>
      </w:r>
    </w:p>
    <w:p w14:paraId="0BF4E8EA" w14:textId="77777777" w:rsidR="006C1F2C" w:rsidRPr="00AF63F7" w:rsidRDefault="00AF63F7">
      <w:pPr>
        <w:spacing w:line="360" w:lineRule="auto"/>
        <w:jc w:val="both"/>
        <w:rPr>
          <w:rFonts w:ascii="Arial" w:hAnsi="Arial"/>
          <w:noProof w:val="0"/>
          <w:color w:val="FFFFFF"/>
          <w:sz w:val="2"/>
          <w:szCs w:val="2"/>
          <w:rtl/>
        </w:rPr>
      </w:pPr>
      <w:r w:rsidRPr="00AF63F7">
        <w:rPr>
          <w:rFonts w:ascii="Arial" w:hAnsi="Arial"/>
          <w:noProof w:val="0"/>
          <w:color w:val="FFFFFF"/>
          <w:sz w:val="2"/>
          <w:szCs w:val="2"/>
          <w:rtl/>
        </w:rPr>
        <w:t>54678313</w:t>
      </w:r>
    </w:p>
    <w:p w14:paraId="4D980763" w14:textId="77777777" w:rsidR="00AF63F7" w:rsidRPr="00B26B7A" w:rsidRDefault="00B26B7A" w:rsidP="00AF63F7">
      <w:pPr>
        <w:keepNext/>
        <w:spacing w:line="360" w:lineRule="auto"/>
        <w:rPr>
          <w:rFonts w:ascii="David" w:hAnsi="David"/>
          <w:noProof w:val="0"/>
          <w:color w:val="FFFFFF"/>
          <w:sz w:val="2"/>
          <w:szCs w:val="2"/>
          <w:rtl/>
        </w:rPr>
      </w:pPr>
      <w:r w:rsidRPr="00B26B7A">
        <w:rPr>
          <w:rFonts w:ascii="David" w:hAnsi="David"/>
          <w:noProof w:val="0"/>
          <w:color w:val="FFFFFF"/>
          <w:sz w:val="2"/>
          <w:szCs w:val="2"/>
          <w:rtl/>
        </w:rPr>
        <w:t>5129371</w:t>
      </w:r>
    </w:p>
    <w:p w14:paraId="5C604B83" w14:textId="77777777" w:rsidR="00B26B7A" w:rsidRPr="00B26B7A" w:rsidRDefault="00B26B7A" w:rsidP="00B26B7A">
      <w:pPr>
        <w:keepNext/>
        <w:spacing w:line="360" w:lineRule="auto"/>
        <w:rPr>
          <w:rFonts w:ascii="David" w:hAnsi="David" w:hint="cs"/>
          <w:noProof w:val="0"/>
          <w:color w:val="000000"/>
          <w:sz w:val="22"/>
          <w:szCs w:val="22"/>
          <w:rtl/>
        </w:rPr>
      </w:pPr>
    </w:p>
    <w:p w14:paraId="753DC5AA" w14:textId="77777777" w:rsidR="00B26B7A" w:rsidRPr="00B26B7A" w:rsidRDefault="00B26B7A" w:rsidP="00B26B7A">
      <w:pPr>
        <w:keepNext/>
        <w:spacing w:line="360" w:lineRule="auto"/>
        <w:rPr>
          <w:rFonts w:ascii="David" w:hAnsi="David"/>
          <w:noProof w:val="0"/>
          <w:color w:val="000000"/>
          <w:sz w:val="22"/>
          <w:szCs w:val="22"/>
          <w:rtl/>
        </w:rPr>
      </w:pPr>
      <w:r w:rsidRPr="00B26B7A">
        <w:rPr>
          <w:rFonts w:ascii="David" w:hAnsi="David"/>
          <w:noProof w:val="0"/>
          <w:color w:val="000000"/>
          <w:sz w:val="22"/>
          <w:szCs w:val="22"/>
          <w:rtl/>
        </w:rPr>
        <w:t>מרדכי כדורי 54678313-/</w:t>
      </w:r>
    </w:p>
    <w:p w14:paraId="5DD50C3B" w14:textId="77777777" w:rsidR="006C1F2C" w:rsidRDefault="00AF63F7">
      <w:pPr>
        <w:spacing w:line="360" w:lineRule="auto"/>
        <w:jc w:val="both"/>
        <w:rPr>
          <w:rFonts w:ascii="Arial" w:hAnsi="Arial"/>
          <w:noProof w:val="0"/>
          <w:rtl/>
        </w:rPr>
      </w:pPr>
      <w:r>
        <w:rPr>
          <w:rFonts w:ascii="Arial" w:hAnsi="Arial"/>
          <w:noProof w:val="0"/>
          <w:rtl/>
        </w:rPr>
        <w:t xml:space="preserve">ניתן היום, ח' אדר תשע"ג, 18 פברואר 2013, במעמד המתייצבים. </w:t>
      </w:r>
    </w:p>
    <w:p w14:paraId="51432ED7" w14:textId="77777777" w:rsidR="00AF63F7" w:rsidRDefault="00AF63F7" w:rsidP="00AF63F7">
      <w:bookmarkStart w:id="5" w:name="_GoBack"/>
      <w:bookmarkEnd w:id="5"/>
      <w:r w:rsidRPr="00AF63F7">
        <w:rPr>
          <w:color w:val="000000"/>
          <w:rtl/>
        </w:rPr>
        <w:t>נוסח מסמך זה כפוף לשינויי ניסוח ועריכה</w:t>
      </w:r>
    </w:p>
    <w:p w14:paraId="1968CE2B" w14:textId="77777777" w:rsidR="00AF63F7" w:rsidRDefault="00AF63F7" w:rsidP="00AF63F7">
      <w:pPr>
        <w:rPr>
          <w:rtl/>
        </w:rPr>
      </w:pPr>
    </w:p>
    <w:p w14:paraId="64B9F5DA" w14:textId="77777777" w:rsidR="00AF63F7" w:rsidRDefault="00AF63F7" w:rsidP="00AF63F7">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sectPr w:rsidR="00AF63F7" w:rsidSect="00B26B7A">
      <w:headerReference w:type="even" r:id="rId18"/>
      <w:headerReference w:type="default" r:id="rId19"/>
      <w:footerReference w:type="even" r:id="rId20"/>
      <w:footerReference w:type="default" r:id="rId2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152E0" w14:textId="77777777" w:rsidR="000976D1" w:rsidRPr="00BC5C43" w:rsidRDefault="000976D1">
      <w:pPr>
        <w:rPr>
          <w:rFonts w:cs="Arial"/>
          <w:szCs w:val="20"/>
        </w:rPr>
      </w:pPr>
      <w:r>
        <w:separator/>
      </w:r>
    </w:p>
  </w:endnote>
  <w:endnote w:type="continuationSeparator" w:id="0">
    <w:p w14:paraId="5C28F14C" w14:textId="77777777" w:rsidR="000976D1" w:rsidRPr="00BC5C43" w:rsidRDefault="000976D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7F716" w14:textId="77777777" w:rsidR="00B26B7A" w:rsidRDefault="00B26B7A" w:rsidP="00B26B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0FEC76F" w14:textId="77777777" w:rsidR="00AF63F7" w:rsidRPr="00B26B7A" w:rsidRDefault="00B26B7A" w:rsidP="00B26B7A">
    <w:pPr>
      <w:pStyle w:val="a4"/>
      <w:pBdr>
        <w:top w:val="single" w:sz="4" w:space="1" w:color="auto"/>
        <w:between w:val="single" w:sz="4" w:space="0" w:color="auto"/>
      </w:pBdr>
      <w:spacing w:after="60"/>
      <w:jc w:val="center"/>
      <w:rPr>
        <w:rFonts w:ascii="FrankRuehl" w:hAnsi="FrankRuehl" w:cs="FrankRuehl"/>
        <w:color w:val="000000"/>
      </w:rPr>
    </w:pPr>
    <w:r w:rsidRPr="00B26B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D1C2D" w14:textId="77777777" w:rsidR="00B26B7A" w:rsidRDefault="00B26B7A" w:rsidP="00B26B7A">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503FE7">
      <w:rPr>
        <w:rStyle w:val="a5"/>
        <w:rFonts w:ascii="FrankRuehl" w:hAnsi="FrankRuehl" w:cs="FrankRuehl"/>
        <w:rtl/>
      </w:rPr>
      <w:t>1</w:t>
    </w:r>
    <w:r>
      <w:rPr>
        <w:rStyle w:val="a5"/>
        <w:rFonts w:ascii="FrankRuehl" w:hAnsi="FrankRuehl" w:cs="FrankRuehl"/>
        <w:rtl/>
      </w:rPr>
      <w:fldChar w:fldCharType="end"/>
    </w:r>
  </w:p>
  <w:p w14:paraId="084ED307" w14:textId="77777777" w:rsidR="006C1F2C" w:rsidRPr="00B26B7A" w:rsidRDefault="00B26B7A" w:rsidP="00B26B7A">
    <w:pPr>
      <w:pStyle w:val="a4"/>
      <w:pBdr>
        <w:top w:val="single" w:sz="4" w:space="1" w:color="auto"/>
        <w:between w:val="single" w:sz="4" w:space="0" w:color="auto"/>
      </w:pBdr>
      <w:spacing w:after="60"/>
      <w:jc w:val="center"/>
      <w:rPr>
        <w:rStyle w:val="a5"/>
        <w:rFonts w:ascii="FrankRuehl" w:hAnsi="FrankRuehl" w:cs="FrankRuehl"/>
        <w:color w:val="000000"/>
      </w:rPr>
    </w:pPr>
    <w:r w:rsidRPr="00B26B7A">
      <w:rPr>
        <w:rStyle w:val="a5"/>
        <w:rFonts w:ascii="FrankRuehl" w:hAnsi="FrankRuehl" w:cs="FrankRuehl"/>
        <w:color w:val="000000"/>
      </w:rPr>
      <w:pict w14:anchorId="09929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23427" w14:textId="77777777" w:rsidR="000976D1" w:rsidRPr="00BC5C43" w:rsidRDefault="000976D1">
      <w:pPr>
        <w:rPr>
          <w:rFonts w:cs="Arial"/>
          <w:szCs w:val="20"/>
        </w:rPr>
      </w:pPr>
      <w:r>
        <w:separator/>
      </w:r>
    </w:p>
  </w:footnote>
  <w:footnote w:type="continuationSeparator" w:id="0">
    <w:p w14:paraId="27D67948" w14:textId="77777777" w:rsidR="000976D1" w:rsidRPr="00BC5C43" w:rsidRDefault="000976D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1ACA8" w14:textId="77777777" w:rsidR="00AF63F7" w:rsidRPr="00B26B7A" w:rsidRDefault="00B26B7A" w:rsidP="00B26B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14836-08-12</w:t>
    </w:r>
    <w:r>
      <w:rPr>
        <w:rFonts w:ascii="David" w:hAnsi="David"/>
        <w:color w:val="000000"/>
        <w:sz w:val="22"/>
        <w:szCs w:val="22"/>
        <w:rtl/>
      </w:rPr>
      <w:tab/>
      <w:t xml:space="preserve"> מדינת ישראל נ' איאד גועבה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54E8B" w14:textId="77777777" w:rsidR="00AF63F7" w:rsidRPr="00B26B7A" w:rsidRDefault="00B26B7A" w:rsidP="00B26B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14836-08-12</w:t>
    </w:r>
    <w:r>
      <w:rPr>
        <w:rFonts w:ascii="David" w:hAnsi="David"/>
        <w:color w:val="000000"/>
        <w:sz w:val="22"/>
        <w:szCs w:val="22"/>
        <w:rtl/>
      </w:rPr>
      <w:tab/>
      <w:t xml:space="preserve"> מדינת ישראל נ' איאד גועבה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1F2C"/>
    <w:rsid w:val="000976D1"/>
    <w:rsid w:val="001B50BC"/>
    <w:rsid w:val="00503FE7"/>
    <w:rsid w:val="00505719"/>
    <w:rsid w:val="006C1F2C"/>
    <w:rsid w:val="00AF63F7"/>
    <w:rsid w:val="00B26B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1294EA"/>
  <w15:chartTrackingRefBased/>
  <w15:docId w15:val="{3EDEBFB0-4BC2-4BBE-A24D-6F615D70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1F2C"/>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C1F2C"/>
    <w:pPr>
      <w:tabs>
        <w:tab w:val="center" w:pos="4153"/>
        <w:tab w:val="right" w:pos="8306"/>
      </w:tabs>
    </w:pPr>
  </w:style>
  <w:style w:type="paragraph" w:styleId="a4">
    <w:name w:val="footer"/>
    <w:basedOn w:val="a"/>
    <w:rsid w:val="006C1F2C"/>
    <w:pPr>
      <w:tabs>
        <w:tab w:val="center" w:pos="4153"/>
        <w:tab w:val="right" w:pos="8306"/>
      </w:tabs>
    </w:pPr>
  </w:style>
  <w:style w:type="character" w:styleId="a5">
    <w:name w:val="page number"/>
    <w:basedOn w:val="a0"/>
    <w:rsid w:val="006C1F2C"/>
  </w:style>
  <w:style w:type="character" w:styleId="a6">
    <w:name w:val="line number"/>
    <w:basedOn w:val="a0"/>
    <w:rsid w:val="006C1F2C"/>
  </w:style>
  <w:style w:type="character" w:styleId="Hyperlink">
    <w:name w:val="Hyperlink"/>
    <w:basedOn w:val="a0"/>
    <w:rsid w:val="00AF6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06;&#1508;%20761/07" TargetMode="External"/><Relationship Id="rId13" Type="http://schemas.openxmlformats.org/officeDocument/2006/relationships/hyperlink" Target="http://www.nevo.co.il/links/psika/?link=&#1506;&#1508;&#1490;%2022065/09"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inks/psika/?link=&#1506;&#1508;%208314/03" TargetMode="External"/><Relationship Id="rId12" Type="http://schemas.openxmlformats.org/officeDocument/2006/relationships/hyperlink" Target="http://www.nevo.co.il/links/psika/?link=&#1514;&#1508;%20207/08"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html/law01/073_002.htm"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yperlink" Target="http://www.nevo.co.il/links/psika/?link=&#1506;&#1508;%207955/06" TargetMode="External"/><Relationship Id="rId5" Type="http://schemas.openxmlformats.org/officeDocument/2006/relationships/endnotes" Target="endnotes.xml"/><Relationship Id="rId15" Type="http://schemas.openxmlformats.org/officeDocument/2006/relationships/hyperlink" Target="http://www.nevo.co.il/links/psika/?link=&#1514;&#1508;%201074/07" TargetMode="External"/><Relationship Id="rId23" Type="http://schemas.openxmlformats.org/officeDocument/2006/relationships/theme" Target="theme/theme1.xml"/><Relationship Id="rId10" Type="http://schemas.openxmlformats.org/officeDocument/2006/relationships/hyperlink" Target="http://www.nevo.co.il/links/psika/?link=&#1512;&#1506;&#1508;%205921/08"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inks/psika/?link=&#1506;&#1508;%205220/09" TargetMode="External"/><Relationship Id="rId14" Type="http://schemas.openxmlformats.org/officeDocument/2006/relationships/hyperlink" Target="http://www.nevo.co.il/links/psika/?link=&#1514;&#1508;%20134/09"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1262</Words>
  <Characters>6315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7562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3932214</vt:i4>
      </vt:variant>
      <vt:variant>
        <vt:i4>30</vt:i4>
      </vt:variant>
      <vt:variant>
        <vt:i4>0</vt:i4>
      </vt:variant>
      <vt:variant>
        <vt:i4>5</vt:i4>
      </vt:variant>
      <vt:variant>
        <vt:lpwstr>http://www.nevo.co.il/law_html/law01/073_002.htm</vt:lpwstr>
      </vt:variant>
      <vt:variant>
        <vt:lpwstr/>
      </vt:variant>
      <vt:variant>
        <vt:i4>99288497</vt:i4>
      </vt:variant>
      <vt:variant>
        <vt:i4>27</vt:i4>
      </vt:variant>
      <vt:variant>
        <vt:i4>0</vt:i4>
      </vt:variant>
      <vt:variant>
        <vt:i4>5</vt:i4>
      </vt:variant>
      <vt:variant>
        <vt:lpwstr>http://www.nevo.co.il/links/psika/?link=תפ 1074/07</vt:lpwstr>
      </vt:variant>
      <vt:variant>
        <vt:lpwstr/>
      </vt:variant>
      <vt:variant>
        <vt:i4>96470425</vt:i4>
      </vt:variant>
      <vt:variant>
        <vt:i4>24</vt:i4>
      </vt:variant>
      <vt:variant>
        <vt:i4>0</vt:i4>
      </vt:variant>
      <vt:variant>
        <vt:i4>5</vt:i4>
      </vt:variant>
      <vt:variant>
        <vt:lpwstr>http://www.nevo.co.il/links/psika/?link=תפ 134/09</vt:lpwstr>
      </vt:variant>
      <vt:variant>
        <vt:lpwstr/>
      </vt:variant>
      <vt:variant>
        <vt:i4>96927864</vt:i4>
      </vt:variant>
      <vt:variant>
        <vt:i4>21</vt:i4>
      </vt:variant>
      <vt:variant>
        <vt:i4>0</vt:i4>
      </vt:variant>
      <vt:variant>
        <vt:i4>5</vt:i4>
      </vt:variant>
      <vt:variant>
        <vt:lpwstr>http://www.nevo.co.il/links/psika/?link=עפג 22065/09</vt:lpwstr>
      </vt:variant>
      <vt:variant>
        <vt:lpwstr/>
      </vt:variant>
      <vt:variant>
        <vt:i4>96470426</vt:i4>
      </vt:variant>
      <vt:variant>
        <vt:i4>18</vt:i4>
      </vt:variant>
      <vt:variant>
        <vt:i4>0</vt:i4>
      </vt:variant>
      <vt:variant>
        <vt:i4>5</vt:i4>
      </vt:variant>
      <vt:variant>
        <vt:lpwstr>http://www.nevo.co.il/links/psika/?link=תפ 207/08</vt:lpwstr>
      </vt:variant>
      <vt:variant>
        <vt:lpwstr/>
      </vt:variant>
      <vt:variant>
        <vt:i4>99485105</vt:i4>
      </vt:variant>
      <vt:variant>
        <vt:i4>15</vt:i4>
      </vt:variant>
      <vt:variant>
        <vt:i4>0</vt:i4>
      </vt:variant>
      <vt:variant>
        <vt:i4>5</vt:i4>
      </vt:variant>
      <vt:variant>
        <vt:lpwstr>http://www.nevo.co.il/links/psika/?link=עפ 7955/06</vt:lpwstr>
      </vt:variant>
      <vt:variant>
        <vt:lpwstr/>
      </vt:variant>
      <vt:variant>
        <vt:i4>99287147</vt:i4>
      </vt:variant>
      <vt:variant>
        <vt:i4>12</vt:i4>
      </vt:variant>
      <vt:variant>
        <vt:i4>0</vt:i4>
      </vt:variant>
      <vt:variant>
        <vt:i4>5</vt:i4>
      </vt:variant>
      <vt:variant>
        <vt:lpwstr>http://www.nevo.co.il/links/psika/?link=רעפ 5921/08</vt:lpwstr>
      </vt:variant>
      <vt:variant>
        <vt:lpwstr/>
      </vt:variant>
      <vt:variant>
        <vt:i4>98829759</vt:i4>
      </vt:variant>
      <vt:variant>
        <vt:i4>9</vt:i4>
      </vt:variant>
      <vt:variant>
        <vt:i4>0</vt:i4>
      </vt:variant>
      <vt:variant>
        <vt:i4>5</vt:i4>
      </vt:variant>
      <vt:variant>
        <vt:lpwstr>http://www.nevo.co.il/links/psika/?link=עפ 5220/09</vt:lpwstr>
      </vt:variant>
      <vt:variant>
        <vt:lpwstr/>
      </vt:variant>
      <vt:variant>
        <vt:i4>96667028</vt:i4>
      </vt:variant>
      <vt:variant>
        <vt:i4>6</vt:i4>
      </vt:variant>
      <vt:variant>
        <vt:i4>0</vt:i4>
      </vt:variant>
      <vt:variant>
        <vt:i4>5</vt:i4>
      </vt:variant>
      <vt:variant>
        <vt:lpwstr>http://www.nevo.co.il/links/psika/?link=עפ 761/07</vt:lpwstr>
      </vt:variant>
      <vt:variant>
        <vt:lpwstr/>
      </vt:variant>
      <vt:variant>
        <vt:i4>98567610</vt:i4>
      </vt:variant>
      <vt:variant>
        <vt:i4>3</vt:i4>
      </vt:variant>
      <vt:variant>
        <vt:i4>0</vt:i4>
      </vt:variant>
      <vt:variant>
        <vt:i4>5</vt:i4>
      </vt:variant>
      <vt:variant>
        <vt:lpwstr>http://www.nevo.co.il/links/psika/?link=עפ 8314/03</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14836</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איאד גועבה</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20130218</vt:lpwstr>
  </property>
  <property fmtid="{D5CDD505-2E9C-101B-9397-08002B2CF9AE}" pid="13" name="TYPE_N_DATE">
    <vt:lpwstr>38020130218</vt:lpwstr>
  </property>
  <property fmtid="{D5CDD505-2E9C-101B-9397-08002B2CF9AE}" pid="14" name="WORDNUMPAGES">
    <vt:lpwstr>4</vt:lpwstr>
  </property>
  <property fmtid="{D5CDD505-2E9C-101B-9397-08002B2CF9AE}" pid="15" name="TYPE_ABS_DATE">
    <vt:lpwstr>380020130218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