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9"/>
        <w:gridCol w:w="3672"/>
      </w:tblGrid>
      <w:tr w:rsidR="004B5253" w:rsidRPr="00B53BAB" w14:paraId="167F77C6" w14:textId="77777777">
        <w:trPr>
          <w:trHeight w:hRule="exact" w:val="418"/>
          <w:jc w:val="center"/>
        </w:trPr>
        <w:tc>
          <w:tcPr>
            <w:tcW w:w="8721" w:type="dxa"/>
            <w:gridSpan w:val="2"/>
          </w:tcPr>
          <w:p w14:paraId="6489D363" w14:textId="77777777" w:rsidR="004B5253" w:rsidRPr="00B53BAB" w:rsidRDefault="00B53BAB">
            <w:pPr>
              <w:pStyle w:val="a3"/>
              <w:jc w:val="center"/>
              <w:rPr>
                <w:rFonts w:ascii="Tahoma" w:hAnsi="Tahoma" w:cs="Tahoma"/>
                <w:color w:val="000080"/>
                <w:rtl/>
              </w:rPr>
            </w:pPr>
            <w:bookmarkStart w:id="0" w:name="FirstLawyer"/>
            <w:bookmarkStart w:id="1" w:name="LastJudge"/>
            <w:r w:rsidRPr="00B53BAB">
              <w:rPr>
                <w:rFonts w:ascii="Tahoma" w:hAnsi="Tahoma" w:cs="Tahoma"/>
                <w:b/>
                <w:bCs/>
                <w:color w:val="000080"/>
                <w:rtl/>
              </w:rPr>
              <w:t>בית משפט השלום בכפר סבא</w:t>
            </w:r>
          </w:p>
        </w:tc>
      </w:tr>
      <w:tr w:rsidR="004B5253" w:rsidRPr="000D2AE6" w14:paraId="2F69393D" w14:textId="77777777">
        <w:trPr>
          <w:trHeight w:val="337"/>
          <w:jc w:val="center"/>
        </w:trPr>
        <w:tc>
          <w:tcPr>
            <w:tcW w:w="5049" w:type="dxa"/>
          </w:tcPr>
          <w:p w14:paraId="3322B59B" w14:textId="77777777" w:rsidR="004B5253" w:rsidRPr="000D2AE6" w:rsidRDefault="00B53BAB">
            <w:pPr>
              <w:rPr>
                <w:rFonts w:cs="FrankRuehl"/>
                <w:b/>
                <w:bCs/>
                <w:sz w:val="28"/>
                <w:szCs w:val="28"/>
                <w:rtl/>
              </w:rPr>
            </w:pPr>
            <w:r w:rsidRPr="000D2AE6">
              <w:rPr>
                <w:rFonts w:cs="FrankRuehl"/>
                <w:b/>
                <w:bCs/>
                <w:sz w:val="28"/>
                <w:szCs w:val="28"/>
                <w:rtl/>
              </w:rPr>
              <w:t>ת"פ</w:t>
            </w:r>
            <w:r w:rsidRPr="000D2AE6">
              <w:rPr>
                <w:rFonts w:cs="FrankRuehl" w:hint="cs"/>
                <w:b/>
                <w:bCs/>
                <w:sz w:val="28"/>
                <w:szCs w:val="28"/>
                <w:rtl/>
              </w:rPr>
              <w:t xml:space="preserve"> </w:t>
            </w:r>
            <w:r w:rsidRPr="000D2AE6">
              <w:rPr>
                <w:rFonts w:cs="FrankRuehl"/>
                <w:b/>
                <w:bCs/>
                <w:sz w:val="28"/>
                <w:szCs w:val="28"/>
                <w:rtl/>
              </w:rPr>
              <w:t>535-12</w:t>
            </w:r>
            <w:r w:rsidRPr="000D2AE6">
              <w:rPr>
                <w:rFonts w:cs="FrankRuehl" w:hint="cs"/>
                <w:b/>
                <w:bCs/>
                <w:sz w:val="28"/>
                <w:szCs w:val="28"/>
                <w:rtl/>
              </w:rPr>
              <w:t xml:space="preserve"> </w:t>
            </w:r>
            <w:r w:rsidRPr="000D2AE6">
              <w:rPr>
                <w:rFonts w:cs="FrankRuehl"/>
                <w:b/>
                <w:bCs/>
                <w:sz w:val="28"/>
                <w:szCs w:val="28"/>
                <w:rtl/>
              </w:rPr>
              <w:t>מדינת ישראל נ' נאסר</w:t>
            </w:r>
          </w:p>
          <w:p w14:paraId="559DCA82" w14:textId="77777777" w:rsidR="004B5253" w:rsidRPr="000D2AE6" w:rsidRDefault="004B5253">
            <w:pPr>
              <w:pStyle w:val="a3"/>
              <w:rPr>
                <w:rFonts w:cs="FrankRuehl"/>
                <w:b/>
                <w:bCs/>
                <w:sz w:val="28"/>
                <w:szCs w:val="28"/>
                <w:rtl/>
              </w:rPr>
            </w:pPr>
          </w:p>
        </w:tc>
        <w:tc>
          <w:tcPr>
            <w:tcW w:w="3672" w:type="dxa"/>
          </w:tcPr>
          <w:p w14:paraId="216EB6D8" w14:textId="77777777" w:rsidR="004B5253" w:rsidRPr="000D2AE6" w:rsidRDefault="00B53BAB">
            <w:pPr>
              <w:pStyle w:val="a3"/>
              <w:jc w:val="right"/>
              <w:rPr>
                <w:rFonts w:cs="FrankRuehl"/>
                <w:b/>
                <w:bCs/>
                <w:sz w:val="28"/>
                <w:szCs w:val="28"/>
                <w:rtl/>
              </w:rPr>
            </w:pPr>
            <w:r w:rsidRPr="000D2AE6">
              <w:rPr>
                <w:rFonts w:cs="FrankRuehl"/>
                <w:b/>
                <w:bCs/>
                <w:sz w:val="28"/>
                <w:szCs w:val="28"/>
                <w:rtl/>
              </w:rPr>
              <w:t>15 מרץ 2015</w:t>
            </w:r>
          </w:p>
        </w:tc>
      </w:tr>
    </w:tbl>
    <w:p w14:paraId="72C5988C" w14:textId="77777777" w:rsidR="004B5253" w:rsidRPr="000D2AE6" w:rsidRDefault="00B53BAB" w:rsidP="000D2AE6">
      <w:pPr>
        <w:pStyle w:val="a3"/>
        <w:rPr>
          <w:b/>
          <w:bCs/>
        </w:rPr>
      </w:pPr>
      <w:r w:rsidRPr="000D2AE6">
        <w:rPr>
          <w:rFonts w:hint="cs"/>
          <w:b/>
          <w:bCs/>
          <w:rtl/>
        </w:rPr>
        <w:t xml:space="preserve"> </w:t>
      </w:r>
      <w:r w:rsidRPr="000D2AE6">
        <w:rPr>
          <w:rFonts w:cs="Times New Roman" w:hint="cs"/>
          <w:b/>
          <w:bCs/>
          <w:sz w:val="26"/>
          <w:szCs w:val="28"/>
          <w:rtl/>
        </w:rPr>
        <w:t xml:space="preserve"> </w:t>
      </w:r>
    </w:p>
    <w:p w14:paraId="217A2653" w14:textId="77777777" w:rsidR="004B5253" w:rsidRPr="000D2AE6" w:rsidRDefault="004B5253">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1380"/>
        <w:gridCol w:w="6517"/>
      </w:tblGrid>
      <w:tr w:rsidR="004B5253" w:rsidRPr="000D2AE6" w14:paraId="2620BA3C" w14:textId="77777777">
        <w:trPr>
          <w:trHeight w:val="295"/>
          <w:jc w:val="center"/>
        </w:trPr>
        <w:tc>
          <w:tcPr>
            <w:tcW w:w="923" w:type="dxa"/>
            <w:tcBorders>
              <w:top w:val="nil"/>
              <w:left w:val="nil"/>
              <w:bottom w:val="nil"/>
              <w:right w:val="nil"/>
            </w:tcBorders>
          </w:tcPr>
          <w:p w14:paraId="661D148B" w14:textId="77777777" w:rsidR="004B5253" w:rsidRPr="000D2AE6" w:rsidRDefault="00B53BAB">
            <w:pPr>
              <w:jc w:val="both"/>
              <w:rPr>
                <w:rFonts w:ascii="Arial" w:hAnsi="Arial"/>
                <w:b/>
                <w:bCs/>
                <w:sz w:val="26"/>
                <w:szCs w:val="26"/>
              </w:rPr>
            </w:pPr>
            <w:r w:rsidRPr="000D2AE6">
              <w:rPr>
                <w:rFonts w:ascii="Arial" w:hAnsi="Arial" w:hint="cs"/>
                <w:b/>
                <w:bCs/>
                <w:sz w:val="26"/>
                <w:szCs w:val="26"/>
                <w:rtl/>
              </w:rPr>
              <w:t>ל</w:t>
            </w:r>
            <w:r w:rsidRPr="000D2AE6">
              <w:rPr>
                <w:rFonts w:ascii="Arial" w:hAnsi="Arial"/>
                <w:b/>
                <w:bCs/>
                <w:sz w:val="26"/>
                <w:szCs w:val="26"/>
                <w:rtl/>
              </w:rPr>
              <w:t xml:space="preserve">פני </w:t>
            </w:r>
          </w:p>
        </w:tc>
        <w:tc>
          <w:tcPr>
            <w:tcW w:w="7897" w:type="dxa"/>
            <w:gridSpan w:val="2"/>
            <w:tcBorders>
              <w:top w:val="nil"/>
              <w:left w:val="nil"/>
              <w:bottom w:val="nil"/>
              <w:right w:val="nil"/>
            </w:tcBorders>
          </w:tcPr>
          <w:p w14:paraId="04AA02E6" w14:textId="77777777" w:rsidR="004B5253" w:rsidRPr="000D2AE6" w:rsidRDefault="00B53BAB">
            <w:pPr>
              <w:rPr>
                <w:rFonts w:ascii="Arial" w:hAnsi="Arial"/>
                <w:b/>
                <w:bCs/>
                <w:sz w:val="26"/>
                <w:szCs w:val="26"/>
                <w:rtl/>
              </w:rPr>
            </w:pPr>
            <w:r w:rsidRPr="000D2AE6">
              <w:rPr>
                <w:rFonts w:ascii="Arial" w:hAnsi="Arial" w:hint="cs"/>
                <w:b/>
                <w:bCs/>
                <w:sz w:val="26"/>
                <w:szCs w:val="26"/>
                <w:rtl/>
              </w:rPr>
              <w:t>כב' ה</w:t>
            </w:r>
            <w:r w:rsidRPr="000D2AE6">
              <w:rPr>
                <w:rFonts w:hint="cs"/>
                <w:b/>
                <w:bCs/>
                <w:rtl/>
              </w:rPr>
              <w:t>שופט</w:t>
            </w:r>
            <w:r w:rsidRPr="000D2AE6">
              <w:rPr>
                <w:rFonts w:ascii="Arial" w:hAnsi="Arial" w:hint="cs"/>
                <w:b/>
                <w:bCs/>
                <w:sz w:val="26"/>
                <w:szCs w:val="26"/>
                <w:rtl/>
              </w:rPr>
              <w:t xml:space="preserve">  </w:t>
            </w:r>
            <w:r w:rsidRPr="000D2AE6">
              <w:rPr>
                <w:rFonts w:hint="cs"/>
                <w:b/>
                <w:bCs/>
                <w:rtl/>
              </w:rPr>
              <w:t>מיכאל קרשן</w:t>
            </w:r>
          </w:p>
          <w:p w14:paraId="093DE256" w14:textId="77777777" w:rsidR="004B5253" w:rsidRPr="000D2AE6" w:rsidRDefault="004B5253">
            <w:pPr>
              <w:jc w:val="both"/>
              <w:rPr>
                <w:rFonts w:ascii="Arial" w:hAnsi="Arial"/>
                <w:b/>
                <w:bCs/>
                <w:sz w:val="26"/>
                <w:szCs w:val="26"/>
              </w:rPr>
            </w:pPr>
          </w:p>
        </w:tc>
      </w:tr>
      <w:tr w:rsidR="004B5253" w:rsidRPr="000D2AE6" w14:paraId="4BC3288B" w14:textId="77777777" w:rsidTr="000D2AE6">
        <w:trPr>
          <w:trHeight w:val="355"/>
          <w:jc w:val="center"/>
        </w:trPr>
        <w:tc>
          <w:tcPr>
            <w:tcW w:w="923" w:type="dxa"/>
            <w:tcBorders>
              <w:top w:val="nil"/>
              <w:left w:val="nil"/>
              <w:bottom w:val="nil"/>
              <w:right w:val="nil"/>
            </w:tcBorders>
          </w:tcPr>
          <w:p w14:paraId="50956417" w14:textId="77777777" w:rsidR="004B5253" w:rsidRPr="000D2AE6" w:rsidRDefault="004B5253">
            <w:pPr>
              <w:jc w:val="both"/>
              <w:rPr>
                <w:rFonts w:ascii="Arial" w:hAnsi="Arial"/>
                <w:b/>
                <w:bCs/>
                <w:sz w:val="26"/>
                <w:szCs w:val="26"/>
                <w:rtl/>
              </w:rPr>
            </w:pPr>
            <w:bookmarkStart w:id="2" w:name="FirstAppellant"/>
          </w:p>
          <w:p w14:paraId="0E2DAD76" w14:textId="77777777" w:rsidR="004B5253" w:rsidRPr="000D2AE6" w:rsidRDefault="00B53BAB">
            <w:pPr>
              <w:jc w:val="both"/>
              <w:rPr>
                <w:rFonts w:ascii="Arial" w:hAnsi="Arial"/>
                <w:b/>
                <w:bCs/>
                <w:sz w:val="26"/>
                <w:szCs w:val="26"/>
              </w:rPr>
            </w:pPr>
            <w:r w:rsidRPr="000D2AE6">
              <w:rPr>
                <w:rFonts w:ascii="Arial" w:hAnsi="Arial" w:hint="cs"/>
                <w:b/>
                <w:bCs/>
                <w:sz w:val="26"/>
                <w:szCs w:val="26"/>
                <w:rtl/>
              </w:rPr>
              <w:t>בעניין:</w:t>
            </w:r>
          </w:p>
        </w:tc>
        <w:tc>
          <w:tcPr>
            <w:tcW w:w="1380" w:type="dxa"/>
            <w:tcBorders>
              <w:top w:val="nil"/>
              <w:left w:val="nil"/>
              <w:bottom w:val="nil"/>
              <w:right w:val="nil"/>
            </w:tcBorders>
          </w:tcPr>
          <w:p w14:paraId="096438F3" w14:textId="77777777" w:rsidR="004B5253" w:rsidRPr="000D2AE6" w:rsidRDefault="004B5253">
            <w:pPr>
              <w:jc w:val="both"/>
              <w:rPr>
                <w:rFonts w:ascii="Arial" w:hAnsi="Arial"/>
                <w:b/>
                <w:bCs/>
                <w:sz w:val="26"/>
                <w:szCs w:val="26"/>
                <w:rtl/>
              </w:rPr>
            </w:pPr>
          </w:p>
          <w:p w14:paraId="64E974C7" w14:textId="77777777" w:rsidR="004B5253" w:rsidRPr="000D2AE6" w:rsidRDefault="00B53BAB">
            <w:pPr>
              <w:rPr>
                <w:rFonts w:ascii="Arial" w:hAnsi="Arial"/>
                <w:b/>
                <w:bCs/>
                <w:sz w:val="26"/>
                <w:szCs w:val="26"/>
              </w:rPr>
            </w:pPr>
            <w:r w:rsidRPr="000D2AE6">
              <w:rPr>
                <w:rFonts w:ascii="Arial" w:hAnsi="Arial" w:hint="cs"/>
                <w:b/>
                <w:bCs/>
                <w:sz w:val="26"/>
                <w:szCs w:val="26"/>
                <w:rtl/>
              </w:rPr>
              <w:t>ה</w:t>
            </w:r>
            <w:r w:rsidRPr="000D2AE6">
              <w:rPr>
                <w:rFonts w:hint="cs"/>
                <w:b/>
                <w:bCs/>
                <w:rtl/>
              </w:rPr>
              <w:t>מאשימה</w:t>
            </w:r>
          </w:p>
        </w:tc>
        <w:tc>
          <w:tcPr>
            <w:tcW w:w="6517" w:type="dxa"/>
            <w:tcBorders>
              <w:top w:val="nil"/>
              <w:left w:val="nil"/>
              <w:bottom w:val="nil"/>
              <w:right w:val="nil"/>
            </w:tcBorders>
          </w:tcPr>
          <w:p w14:paraId="6B31E077" w14:textId="77777777" w:rsidR="004B5253" w:rsidRPr="000D2AE6" w:rsidRDefault="004B5253">
            <w:pPr>
              <w:rPr>
                <w:rFonts w:ascii="Arial" w:hAnsi="Arial"/>
                <w:b/>
                <w:bCs/>
                <w:sz w:val="26"/>
                <w:szCs w:val="26"/>
                <w:rtl/>
              </w:rPr>
            </w:pPr>
          </w:p>
          <w:p w14:paraId="737D1DD4" w14:textId="77777777" w:rsidR="004B5253" w:rsidRPr="000D2AE6" w:rsidRDefault="00B53BAB">
            <w:pPr>
              <w:rPr>
                <w:b/>
                <w:bCs/>
                <w:sz w:val="26"/>
                <w:szCs w:val="26"/>
              </w:rPr>
            </w:pPr>
            <w:r w:rsidRPr="000D2AE6">
              <w:rPr>
                <w:rFonts w:hint="cs"/>
                <w:b/>
                <w:bCs/>
                <w:rtl/>
              </w:rPr>
              <w:t>מדינת ישראל</w:t>
            </w:r>
            <w:r w:rsidRPr="000D2AE6">
              <w:rPr>
                <w:rFonts w:hint="cs"/>
                <w:b/>
                <w:bCs/>
                <w:rtl/>
              </w:rPr>
              <w:br/>
            </w:r>
            <w:r w:rsidRPr="000D2AE6">
              <w:rPr>
                <w:rFonts w:hint="cs"/>
                <w:b/>
                <w:bCs/>
                <w:rtl/>
              </w:rPr>
              <w:br/>
              <w:t>ע"י פרקליטות מחוז מרכז</w:t>
            </w:r>
            <w:r w:rsidRPr="000D2AE6">
              <w:rPr>
                <w:rFonts w:hint="cs"/>
                <w:b/>
                <w:bCs/>
                <w:rtl/>
              </w:rPr>
              <w:br/>
              <w:t>עו"ד טלי קרת</w:t>
            </w:r>
          </w:p>
          <w:p w14:paraId="21EE3DBC" w14:textId="77777777" w:rsidR="004B5253" w:rsidRPr="000D2AE6" w:rsidRDefault="004B5253">
            <w:pPr>
              <w:jc w:val="both"/>
              <w:rPr>
                <w:rFonts w:ascii="Arial" w:hAnsi="Arial"/>
                <w:b/>
                <w:bCs/>
                <w:sz w:val="26"/>
                <w:szCs w:val="26"/>
              </w:rPr>
            </w:pPr>
          </w:p>
        </w:tc>
      </w:tr>
      <w:bookmarkEnd w:id="2"/>
      <w:tr w:rsidR="004B5253" w:rsidRPr="000D2AE6" w14:paraId="793AD6CC" w14:textId="77777777" w:rsidTr="000D2AE6">
        <w:trPr>
          <w:trHeight w:val="355"/>
          <w:jc w:val="center"/>
        </w:trPr>
        <w:tc>
          <w:tcPr>
            <w:tcW w:w="923" w:type="dxa"/>
            <w:tcBorders>
              <w:top w:val="nil"/>
              <w:left w:val="nil"/>
              <w:bottom w:val="nil"/>
              <w:right w:val="nil"/>
            </w:tcBorders>
          </w:tcPr>
          <w:p w14:paraId="18F72EC5" w14:textId="77777777" w:rsidR="004B5253" w:rsidRPr="000D2AE6" w:rsidRDefault="004B5253">
            <w:pPr>
              <w:jc w:val="both"/>
              <w:rPr>
                <w:rFonts w:ascii="Arial" w:hAnsi="Arial"/>
                <w:b/>
                <w:bCs/>
                <w:sz w:val="26"/>
                <w:szCs w:val="26"/>
                <w:rtl/>
              </w:rPr>
            </w:pPr>
          </w:p>
        </w:tc>
        <w:tc>
          <w:tcPr>
            <w:tcW w:w="1380" w:type="dxa"/>
            <w:tcBorders>
              <w:top w:val="nil"/>
              <w:left w:val="nil"/>
              <w:bottom w:val="nil"/>
              <w:right w:val="nil"/>
            </w:tcBorders>
          </w:tcPr>
          <w:p w14:paraId="5DC9FFF9" w14:textId="77777777" w:rsidR="004B5253" w:rsidRPr="000D2AE6" w:rsidRDefault="004B5253">
            <w:pPr>
              <w:jc w:val="both"/>
              <w:rPr>
                <w:b/>
                <w:bCs/>
                <w:sz w:val="26"/>
                <w:szCs w:val="26"/>
                <w:rtl/>
              </w:rPr>
            </w:pPr>
          </w:p>
        </w:tc>
        <w:tc>
          <w:tcPr>
            <w:tcW w:w="6517" w:type="dxa"/>
            <w:tcBorders>
              <w:top w:val="nil"/>
              <w:left w:val="nil"/>
              <w:bottom w:val="nil"/>
              <w:right w:val="nil"/>
            </w:tcBorders>
          </w:tcPr>
          <w:p w14:paraId="296DED71" w14:textId="77777777" w:rsidR="004B5253" w:rsidRPr="000D2AE6" w:rsidRDefault="004B5253">
            <w:pPr>
              <w:jc w:val="right"/>
              <w:rPr>
                <w:rFonts w:ascii="Arial" w:hAnsi="Arial"/>
                <w:b/>
                <w:bCs/>
                <w:sz w:val="26"/>
                <w:szCs w:val="26"/>
                <w:rtl/>
              </w:rPr>
            </w:pPr>
          </w:p>
        </w:tc>
      </w:tr>
      <w:tr w:rsidR="004B5253" w:rsidRPr="000D2AE6" w14:paraId="6F347755" w14:textId="77777777">
        <w:trPr>
          <w:trHeight w:val="355"/>
          <w:jc w:val="center"/>
        </w:trPr>
        <w:tc>
          <w:tcPr>
            <w:tcW w:w="923" w:type="dxa"/>
            <w:tcBorders>
              <w:top w:val="nil"/>
              <w:left w:val="nil"/>
              <w:bottom w:val="nil"/>
              <w:right w:val="nil"/>
            </w:tcBorders>
          </w:tcPr>
          <w:p w14:paraId="614F4CA3" w14:textId="77777777" w:rsidR="004B5253" w:rsidRPr="000D2AE6" w:rsidRDefault="004B5253">
            <w:pPr>
              <w:jc w:val="both"/>
              <w:rPr>
                <w:rFonts w:ascii="Arial" w:hAnsi="Arial"/>
                <w:b/>
                <w:bCs/>
                <w:sz w:val="26"/>
                <w:szCs w:val="26"/>
                <w:rtl/>
              </w:rPr>
            </w:pPr>
          </w:p>
        </w:tc>
        <w:tc>
          <w:tcPr>
            <w:tcW w:w="7897" w:type="dxa"/>
            <w:gridSpan w:val="2"/>
            <w:tcBorders>
              <w:top w:val="nil"/>
              <w:left w:val="nil"/>
              <w:bottom w:val="nil"/>
              <w:right w:val="nil"/>
            </w:tcBorders>
          </w:tcPr>
          <w:p w14:paraId="3A3C0539" w14:textId="77777777" w:rsidR="004B5253" w:rsidRPr="000D2AE6" w:rsidRDefault="004B5253">
            <w:pPr>
              <w:jc w:val="center"/>
              <w:rPr>
                <w:rFonts w:ascii="Arial" w:hAnsi="Arial"/>
                <w:b/>
                <w:bCs/>
                <w:sz w:val="26"/>
                <w:szCs w:val="26"/>
                <w:rtl/>
              </w:rPr>
            </w:pPr>
          </w:p>
          <w:p w14:paraId="2BA126C9" w14:textId="77777777" w:rsidR="004B5253" w:rsidRPr="000D2AE6" w:rsidRDefault="00B53BAB">
            <w:pPr>
              <w:jc w:val="center"/>
              <w:rPr>
                <w:rFonts w:ascii="Arial" w:hAnsi="Arial"/>
                <w:b/>
                <w:bCs/>
                <w:sz w:val="26"/>
                <w:szCs w:val="26"/>
                <w:rtl/>
              </w:rPr>
            </w:pPr>
            <w:r w:rsidRPr="000D2AE6">
              <w:rPr>
                <w:rFonts w:ascii="Arial" w:hAnsi="Arial"/>
                <w:b/>
                <w:bCs/>
                <w:sz w:val="26"/>
                <w:szCs w:val="26"/>
                <w:rtl/>
              </w:rPr>
              <w:t>נגד</w:t>
            </w:r>
          </w:p>
          <w:p w14:paraId="6059C702" w14:textId="77777777" w:rsidR="004B5253" w:rsidRPr="000D2AE6" w:rsidRDefault="004B5253">
            <w:pPr>
              <w:jc w:val="both"/>
              <w:rPr>
                <w:rFonts w:ascii="Arial" w:hAnsi="Arial"/>
                <w:b/>
                <w:bCs/>
                <w:sz w:val="26"/>
                <w:szCs w:val="26"/>
              </w:rPr>
            </w:pPr>
          </w:p>
        </w:tc>
      </w:tr>
      <w:tr w:rsidR="004B5253" w:rsidRPr="000D2AE6" w14:paraId="1FEC043E" w14:textId="77777777" w:rsidTr="000D2AE6">
        <w:trPr>
          <w:trHeight w:val="355"/>
          <w:jc w:val="center"/>
        </w:trPr>
        <w:tc>
          <w:tcPr>
            <w:tcW w:w="923" w:type="dxa"/>
            <w:tcBorders>
              <w:top w:val="nil"/>
              <w:left w:val="nil"/>
              <w:bottom w:val="nil"/>
              <w:right w:val="nil"/>
            </w:tcBorders>
          </w:tcPr>
          <w:p w14:paraId="4AD2EF64" w14:textId="77777777" w:rsidR="004B5253" w:rsidRPr="000D2AE6" w:rsidRDefault="004B5253">
            <w:pPr>
              <w:jc w:val="both"/>
              <w:rPr>
                <w:rFonts w:ascii="Arial" w:hAnsi="Arial"/>
                <w:b/>
                <w:bCs/>
                <w:sz w:val="26"/>
                <w:szCs w:val="26"/>
                <w:rtl/>
              </w:rPr>
            </w:pPr>
          </w:p>
        </w:tc>
        <w:tc>
          <w:tcPr>
            <w:tcW w:w="1380" w:type="dxa"/>
            <w:tcBorders>
              <w:top w:val="nil"/>
              <w:left w:val="nil"/>
              <w:bottom w:val="nil"/>
              <w:right w:val="nil"/>
            </w:tcBorders>
          </w:tcPr>
          <w:p w14:paraId="19369E61" w14:textId="77777777" w:rsidR="004B5253" w:rsidRPr="000D2AE6" w:rsidRDefault="00B53BAB">
            <w:pPr>
              <w:jc w:val="both"/>
              <w:rPr>
                <w:b/>
                <w:bCs/>
                <w:sz w:val="26"/>
                <w:szCs w:val="26"/>
                <w:rtl/>
              </w:rPr>
            </w:pPr>
            <w:r w:rsidRPr="000D2AE6">
              <w:rPr>
                <w:rFonts w:ascii="Arial" w:hAnsi="Arial" w:hint="cs"/>
                <w:b/>
                <w:bCs/>
                <w:sz w:val="26"/>
                <w:szCs w:val="26"/>
                <w:rtl/>
              </w:rPr>
              <w:t>ה</w:t>
            </w:r>
            <w:r w:rsidRPr="000D2AE6">
              <w:rPr>
                <w:rFonts w:hint="cs"/>
                <w:b/>
                <w:bCs/>
                <w:rtl/>
              </w:rPr>
              <w:t>נאשם</w:t>
            </w:r>
          </w:p>
        </w:tc>
        <w:tc>
          <w:tcPr>
            <w:tcW w:w="6517" w:type="dxa"/>
            <w:tcBorders>
              <w:top w:val="nil"/>
              <w:left w:val="nil"/>
              <w:bottom w:val="nil"/>
              <w:right w:val="nil"/>
            </w:tcBorders>
          </w:tcPr>
          <w:p w14:paraId="5F66BAEA" w14:textId="77777777" w:rsidR="004B5253" w:rsidRPr="000D2AE6" w:rsidRDefault="00B53BAB">
            <w:pPr>
              <w:rPr>
                <w:b/>
                <w:bCs/>
              </w:rPr>
            </w:pPr>
            <w:r w:rsidRPr="000D2AE6">
              <w:rPr>
                <w:rFonts w:hint="cs"/>
                <w:b/>
                <w:bCs/>
                <w:rtl/>
              </w:rPr>
              <w:t>עבדאלכרים נאסר</w:t>
            </w:r>
            <w:r w:rsidRPr="000D2AE6">
              <w:rPr>
                <w:rFonts w:hint="cs"/>
                <w:b/>
                <w:bCs/>
                <w:rtl/>
              </w:rPr>
              <w:br/>
            </w:r>
            <w:r w:rsidRPr="000D2AE6">
              <w:rPr>
                <w:rFonts w:hint="cs"/>
                <w:b/>
                <w:bCs/>
                <w:rtl/>
              </w:rPr>
              <w:br/>
              <w:t>ע"י ב"כ עו"ד נעמה שגיא</w:t>
            </w:r>
          </w:p>
          <w:p w14:paraId="031D8E62" w14:textId="77777777" w:rsidR="004B5253" w:rsidRPr="000D2AE6" w:rsidRDefault="004B5253">
            <w:pPr>
              <w:jc w:val="right"/>
              <w:rPr>
                <w:rFonts w:ascii="Arial" w:hAnsi="Arial"/>
                <w:b/>
                <w:bCs/>
                <w:sz w:val="26"/>
                <w:szCs w:val="26"/>
              </w:rPr>
            </w:pPr>
          </w:p>
        </w:tc>
      </w:tr>
    </w:tbl>
    <w:p w14:paraId="3C6B92AC" w14:textId="77777777" w:rsidR="004B5253" w:rsidRPr="00B53BAB" w:rsidRDefault="004B5253"/>
    <w:p w14:paraId="05E69A4B" w14:textId="77777777" w:rsidR="004B5253" w:rsidRPr="00B53BAB" w:rsidRDefault="00B53BAB">
      <w:pPr>
        <w:rPr>
          <w:rtl/>
        </w:rPr>
      </w:pPr>
      <w:r w:rsidRPr="00B53BAB">
        <w:rPr>
          <w:rFonts w:hint="cs"/>
          <w:rtl/>
        </w:rPr>
        <w:t>נוכחים:</w:t>
      </w:r>
    </w:p>
    <w:p w14:paraId="7AB9DF7F" w14:textId="77777777" w:rsidR="004B5253" w:rsidRPr="00B53BAB" w:rsidRDefault="00B53BAB">
      <w:pPr>
        <w:rPr>
          <w:rtl/>
        </w:rPr>
      </w:pPr>
      <w:r w:rsidRPr="00B53BAB">
        <w:rPr>
          <w:rFonts w:hint="cs"/>
          <w:rtl/>
        </w:rPr>
        <w:t xml:space="preserve">ב"כ המאשימה עו"ד פאדי אסעד </w:t>
      </w:r>
    </w:p>
    <w:p w14:paraId="47C00A71" w14:textId="77777777" w:rsidR="00E728F9" w:rsidRDefault="00B53BAB">
      <w:pPr>
        <w:rPr>
          <w:rtl/>
        </w:rPr>
      </w:pPr>
      <w:r w:rsidRPr="00B53BAB">
        <w:rPr>
          <w:rFonts w:hint="cs"/>
          <w:rtl/>
        </w:rPr>
        <w:t>הנאשם בעצמו וב"כ עו"ד נעמה שגיא</w:t>
      </w:r>
      <w:bookmarkStart w:id="3" w:name="LawTable"/>
      <w:bookmarkEnd w:id="3"/>
    </w:p>
    <w:p w14:paraId="2D5D5BE8" w14:textId="77777777" w:rsidR="00E728F9" w:rsidRPr="00E728F9" w:rsidRDefault="00E728F9" w:rsidP="00E728F9">
      <w:pPr>
        <w:spacing w:after="120" w:line="240" w:lineRule="exact"/>
        <w:ind w:left="283" w:hanging="283"/>
        <w:jc w:val="both"/>
        <w:rPr>
          <w:rFonts w:ascii="FrankRuehl" w:hAnsi="FrankRuehl" w:cs="FrankRuehl"/>
          <w:rtl/>
        </w:rPr>
      </w:pPr>
    </w:p>
    <w:p w14:paraId="719B985D" w14:textId="77777777" w:rsidR="00E728F9" w:rsidRPr="00E728F9" w:rsidRDefault="00E728F9" w:rsidP="00E728F9">
      <w:pPr>
        <w:spacing w:after="120" w:line="240" w:lineRule="exact"/>
        <w:ind w:left="283" w:hanging="283"/>
        <w:jc w:val="both"/>
        <w:rPr>
          <w:rFonts w:ascii="FrankRuehl" w:hAnsi="FrankRuehl" w:cs="FrankRuehl"/>
          <w:rtl/>
        </w:rPr>
      </w:pPr>
      <w:r w:rsidRPr="00E728F9">
        <w:rPr>
          <w:rFonts w:ascii="FrankRuehl" w:hAnsi="FrankRuehl" w:cs="FrankRuehl"/>
          <w:rtl/>
        </w:rPr>
        <w:t xml:space="preserve">חקיקה שאוזכרה: </w:t>
      </w:r>
    </w:p>
    <w:p w14:paraId="793113C1" w14:textId="77777777" w:rsidR="00E728F9" w:rsidRPr="00E728F9" w:rsidRDefault="00E728F9" w:rsidP="00E728F9">
      <w:pPr>
        <w:spacing w:after="120" w:line="240" w:lineRule="exact"/>
        <w:ind w:left="283" w:hanging="283"/>
        <w:jc w:val="both"/>
        <w:rPr>
          <w:rFonts w:ascii="FrankRuehl" w:hAnsi="FrankRuehl" w:cs="FrankRuehl"/>
          <w:rtl/>
        </w:rPr>
      </w:pPr>
      <w:hyperlink r:id="rId7" w:history="1">
        <w:r w:rsidRPr="00E728F9">
          <w:rPr>
            <w:rFonts w:ascii="FrankRuehl" w:hAnsi="FrankRuehl" w:cs="FrankRuehl"/>
            <w:color w:val="0000FF"/>
            <w:u w:val="single"/>
            <w:rtl/>
          </w:rPr>
          <w:t>חוק העונשין, תשל"ז-1977</w:t>
        </w:r>
      </w:hyperlink>
      <w:r w:rsidRPr="00E728F9">
        <w:rPr>
          <w:rFonts w:ascii="FrankRuehl" w:hAnsi="FrankRuehl" w:cs="FrankRuehl"/>
          <w:rtl/>
        </w:rPr>
        <w:t xml:space="preserve">: סע'  </w:t>
      </w:r>
      <w:hyperlink r:id="rId8" w:history="1">
        <w:r w:rsidRPr="00E728F9">
          <w:rPr>
            <w:rFonts w:ascii="FrankRuehl" w:hAnsi="FrankRuehl" w:cs="FrankRuehl"/>
            <w:color w:val="0000FF"/>
            <w:u w:val="single"/>
            <w:rtl/>
          </w:rPr>
          <w:t>144(א)</w:t>
        </w:r>
      </w:hyperlink>
    </w:p>
    <w:p w14:paraId="6ACFC993" w14:textId="77777777" w:rsidR="00E728F9" w:rsidRDefault="00E728F9" w:rsidP="00E728F9">
      <w:pPr>
        <w:spacing w:after="120" w:line="240" w:lineRule="exact"/>
        <w:ind w:left="283" w:hanging="283"/>
        <w:jc w:val="both"/>
        <w:rPr>
          <w:rFonts w:ascii="FrankRuehl" w:hAnsi="FrankRuehl" w:cs="FrankRuehl" w:hint="cs"/>
          <w:rtl/>
        </w:rPr>
      </w:pPr>
    </w:p>
    <w:p w14:paraId="4074ECFC" w14:textId="77777777" w:rsidR="004E5387" w:rsidRPr="0052714E" w:rsidRDefault="004E5387" w:rsidP="0052714E">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sidRPr="0052714E">
        <w:rPr>
          <w:rFonts w:cs="FrankRuehl" w:hint="cs"/>
          <w:szCs w:val="26"/>
          <w:rtl/>
        </w:rPr>
        <w:t>מיני-רציו:</w:t>
      </w:r>
    </w:p>
    <w:p w14:paraId="60B45EA1" w14:textId="77777777" w:rsidR="004E5387" w:rsidRPr="0052714E" w:rsidRDefault="004E5387" w:rsidP="0052714E">
      <w:pPr>
        <w:pBdr>
          <w:top w:val="single" w:sz="4" w:space="1" w:color="auto"/>
          <w:bottom w:val="single" w:sz="4" w:space="1" w:color="auto"/>
        </w:pBdr>
        <w:spacing w:after="120" w:line="320" w:lineRule="exact"/>
        <w:jc w:val="both"/>
        <w:rPr>
          <w:rFonts w:cs="FrankRuehl"/>
          <w:szCs w:val="26"/>
          <w:rtl/>
        </w:rPr>
      </w:pPr>
      <w:r w:rsidRPr="0052714E">
        <w:rPr>
          <w:rFonts w:cs="FrankRuehl" w:hint="cs"/>
          <w:szCs w:val="26"/>
          <w:rtl/>
        </w:rPr>
        <w:t>* ביהמ"ש גזר את דינו של נאשם שהורשע בעבירה של החזקת נשק, אביזר ותחמושת. הוטלו על הנאשם שישה חודשי מאסר בפועל שירוצו בעבודות שירות, שישה חודשי מאסר על תנאי וקנס בסך 5,000 ₪.</w:t>
      </w:r>
    </w:p>
    <w:p w14:paraId="029F3397" w14:textId="77777777" w:rsidR="004E5387" w:rsidRPr="0052714E" w:rsidRDefault="004E5387" w:rsidP="0052714E">
      <w:pPr>
        <w:pBdr>
          <w:top w:val="single" w:sz="4" w:space="1" w:color="auto"/>
          <w:bottom w:val="single" w:sz="4" w:space="1" w:color="auto"/>
        </w:pBdr>
        <w:spacing w:after="120" w:line="320" w:lineRule="exact"/>
        <w:jc w:val="both"/>
        <w:rPr>
          <w:rFonts w:cs="FrankRuehl" w:hint="cs"/>
          <w:szCs w:val="26"/>
          <w:rtl/>
        </w:rPr>
      </w:pPr>
      <w:r w:rsidRPr="0052714E">
        <w:rPr>
          <w:rFonts w:cs="FrankRuehl" w:hint="cs"/>
          <w:szCs w:val="26"/>
          <w:rtl/>
        </w:rPr>
        <w:t xml:space="preserve">* </w:t>
      </w:r>
      <w:r w:rsidRPr="0052714E">
        <w:rPr>
          <w:rFonts w:cs="FrankRuehl"/>
          <w:szCs w:val="26"/>
          <w:rtl/>
        </w:rPr>
        <w:t>עונשין – ענישה – מדיניות ענישה: עבירות נשק</w:t>
      </w:r>
    </w:p>
    <w:p w14:paraId="308AC6F4" w14:textId="77777777" w:rsidR="004E5387" w:rsidRPr="0052714E" w:rsidRDefault="004E5387" w:rsidP="0052714E">
      <w:pPr>
        <w:pBdr>
          <w:top w:val="single" w:sz="4" w:space="1" w:color="auto"/>
          <w:bottom w:val="single" w:sz="4" w:space="1" w:color="auto"/>
        </w:pBdr>
        <w:spacing w:after="120" w:line="320" w:lineRule="exact"/>
        <w:jc w:val="both"/>
        <w:rPr>
          <w:rFonts w:cs="FrankRuehl" w:hint="cs"/>
          <w:szCs w:val="26"/>
          <w:rtl/>
        </w:rPr>
      </w:pPr>
      <w:r w:rsidRPr="0052714E">
        <w:rPr>
          <w:rFonts w:cs="FrankRuehl" w:hint="cs"/>
          <w:szCs w:val="26"/>
          <w:rtl/>
        </w:rPr>
        <w:t xml:space="preserve">* </w:t>
      </w:r>
      <w:r w:rsidRPr="0052714E">
        <w:rPr>
          <w:rFonts w:cs="FrankRuehl"/>
          <w:szCs w:val="26"/>
          <w:rtl/>
        </w:rPr>
        <w:t>עונשין – ענישה – מדיניות ענישה: שיקום</w:t>
      </w:r>
    </w:p>
    <w:p w14:paraId="56FF40BB" w14:textId="77777777" w:rsidR="004E5387" w:rsidRPr="0052714E" w:rsidRDefault="004E5387" w:rsidP="0052714E">
      <w:pPr>
        <w:pBdr>
          <w:top w:val="single" w:sz="4" w:space="1" w:color="auto"/>
          <w:bottom w:val="single" w:sz="4" w:space="1" w:color="auto"/>
        </w:pBdr>
        <w:spacing w:after="120" w:line="320" w:lineRule="exact"/>
        <w:jc w:val="both"/>
        <w:rPr>
          <w:rFonts w:cs="FrankRuehl" w:hint="cs"/>
          <w:szCs w:val="26"/>
          <w:rtl/>
        </w:rPr>
      </w:pPr>
      <w:r w:rsidRPr="0052714E">
        <w:rPr>
          <w:rFonts w:cs="FrankRuehl" w:hint="cs"/>
          <w:szCs w:val="26"/>
          <w:rtl/>
        </w:rPr>
        <w:t xml:space="preserve">* </w:t>
      </w:r>
      <w:r w:rsidRPr="0052714E">
        <w:rPr>
          <w:rFonts w:cs="FrankRuehl"/>
          <w:szCs w:val="26"/>
          <w:rtl/>
        </w:rPr>
        <w:t>עונשין – ענישה – הימנעות מהרשעה</w:t>
      </w:r>
    </w:p>
    <w:p w14:paraId="1963185B" w14:textId="77777777" w:rsidR="004E5387" w:rsidRPr="0052714E" w:rsidRDefault="0052714E" w:rsidP="0052714E">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9AA2D69" w14:textId="77777777" w:rsidR="004E5387" w:rsidRPr="0052714E" w:rsidRDefault="004E5387" w:rsidP="0052714E">
      <w:pPr>
        <w:pBdr>
          <w:top w:val="single" w:sz="4" w:space="1" w:color="auto"/>
          <w:bottom w:val="single" w:sz="4" w:space="1" w:color="auto"/>
        </w:pBdr>
        <w:spacing w:after="120" w:line="320" w:lineRule="exact"/>
        <w:jc w:val="both"/>
        <w:rPr>
          <w:rFonts w:cs="FrankRuehl"/>
          <w:szCs w:val="26"/>
        </w:rPr>
      </w:pPr>
      <w:r w:rsidRPr="0052714E">
        <w:rPr>
          <w:rFonts w:cs="FrankRuehl" w:hint="cs"/>
          <w:szCs w:val="26"/>
          <w:rtl/>
        </w:rPr>
        <w:t xml:space="preserve">הנאשם הורשע, על יסוד הודאתו בעובדות כתב האישום במסגרת הסדר טיעון, בביצוע עבירה של החזקת נשק, אביזר ותחמושת, לפי </w:t>
      </w:r>
      <w:hyperlink r:id="rId9" w:history="1">
        <w:r w:rsidRPr="0052714E">
          <w:rPr>
            <w:rFonts w:cs="FrankRuehl"/>
            <w:szCs w:val="26"/>
            <w:rtl/>
          </w:rPr>
          <w:t>סעיף 144(א)</w:t>
        </w:r>
      </w:hyperlink>
      <w:r w:rsidRPr="0052714E">
        <w:rPr>
          <w:rFonts w:cs="FrankRuehl" w:hint="cs"/>
          <w:szCs w:val="26"/>
          <w:rtl/>
        </w:rPr>
        <w:t xml:space="preserve"> רישא וסיפא ל</w:t>
      </w:r>
      <w:hyperlink r:id="rId10" w:history="1">
        <w:r w:rsidRPr="0052714E">
          <w:rPr>
            <w:rFonts w:cs="FrankRuehl"/>
            <w:szCs w:val="26"/>
            <w:rtl/>
          </w:rPr>
          <w:t>חוק העונשין</w:t>
        </w:r>
      </w:hyperlink>
      <w:r w:rsidRPr="0052714E">
        <w:rPr>
          <w:rFonts w:cs="FrankRuehl" w:hint="cs"/>
          <w:szCs w:val="26"/>
          <w:rtl/>
        </w:rPr>
        <w:t>.</w:t>
      </w:r>
    </w:p>
    <w:p w14:paraId="609CBA28" w14:textId="77777777" w:rsidR="004E5387" w:rsidRPr="0052714E" w:rsidRDefault="0052714E" w:rsidP="0052714E">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79E8664" w14:textId="77777777" w:rsidR="004E5387" w:rsidRPr="0052714E" w:rsidRDefault="004E5387" w:rsidP="0052714E">
      <w:pPr>
        <w:pBdr>
          <w:top w:val="single" w:sz="4" w:space="1" w:color="auto"/>
          <w:bottom w:val="single" w:sz="4" w:space="1" w:color="auto"/>
        </w:pBdr>
        <w:spacing w:after="120" w:line="320" w:lineRule="exact"/>
        <w:jc w:val="both"/>
        <w:rPr>
          <w:rFonts w:cs="FrankRuehl" w:hint="cs"/>
          <w:szCs w:val="26"/>
          <w:rtl/>
        </w:rPr>
      </w:pPr>
      <w:r w:rsidRPr="0052714E">
        <w:rPr>
          <w:rFonts w:cs="FrankRuehl" w:hint="cs"/>
          <w:szCs w:val="26"/>
          <w:rtl/>
        </w:rPr>
        <w:lastRenderedPageBreak/>
        <w:t>בית המשפט גזר את דינו של הנאשם, בקובעו כדלקמן:</w:t>
      </w:r>
    </w:p>
    <w:p w14:paraId="17969FD2" w14:textId="77777777" w:rsidR="004E5387" w:rsidRPr="0052714E" w:rsidRDefault="004E5387" w:rsidP="0052714E">
      <w:pPr>
        <w:pBdr>
          <w:top w:val="single" w:sz="4" w:space="1" w:color="auto"/>
          <w:bottom w:val="single" w:sz="4" w:space="1" w:color="auto"/>
        </w:pBdr>
        <w:spacing w:after="120" w:line="320" w:lineRule="exact"/>
        <w:jc w:val="both"/>
        <w:rPr>
          <w:rFonts w:cs="FrankRuehl"/>
          <w:szCs w:val="26"/>
          <w:rtl/>
        </w:rPr>
      </w:pPr>
      <w:r w:rsidRPr="0052714E">
        <w:rPr>
          <w:rFonts w:cs="FrankRuehl" w:hint="cs"/>
          <w:szCs w:val="26"/>
          <w:rtl/>
        </w:rPr>
        <w:t xml:space="preserve">עבירה של החזקת נשק בכלל, והחזקה של תת מקלע מאולתר עם מחסנית תואמת וכדור בפרט, היא מסוג העבירות בהן במצב הדברים הרגיל אין מקום לשקול ביטול הרשעה של בגיר. חומרתה המופלגת של העבירה, בנסיבותיה, אינה מאפשרת לבטל את הרשעת הנאשם, מה גם שהנאשם לא השכיל להציג כל פגיעה קונקרטית של ההרשעה הפלילית המתבקשת בו ובעתידו. </w:t>
      </w:r>
    </w:p>
    <w:p w14:paraId="087DE793" w14:textId="77777777" w:rsidR="004E5387" w:rsidRPr="0052714E" w:rsidRDefault="004E5387" w:rsidP="0052714E">
      <w:pPr>
        <w:pBdr>
          <w:top w:val="single" w:sz="4" w:space="1" w:color="auto"/>
          <w:bottom w:val="single" w:sz="4" w:space="1" w:color="auto"/>
        </w:pBdr>
        <w:spacing w:after="120" w:line="320" w:lineRule="exact"/>
        <w:jc w:val="both"/>
        <w:rPr>
          <w:rFonts w:cs="FrankRuehl"/>
          <w:szCs w:val="26"/>
          <w:rtl/>
        </w:rPr>
      </w:pPr>
      <w:r w:rsidRPr="0052714E">
        <w:rPr>
          <w:rFonts w:cs="FrankRuehl" w:hint="cs"/>
          <w:szCs w:val="26"/>
          <w:rtl/>
        </w:rPr>
        <w:t>בהתחשב בנסיבות ביצוע העבירה (הסלקת תת מקלע מאולתר עם מחסנית תואמת וכדור, בשטח פתוח), בעקרון המנחה שלפיו על העונש להתאים למעשה, בענישה הנוהגת בתחום ובגילו הצעיר של הנאשם, יש לקבל את עתירת המאשימה למתחם עונש הולם שנע בין 7 ל-14 חודשי מאסר בפועל, כעונש עיקרי.</w:t>
      </w:r>
    </w:p>
    <w:p w14:paraId="6129B34A" w14:textId="77777777" w:rsidR="004E5387" w:rsidRPr="0052714E" w:rsidRDefault="004E5387" w:rsidP="0052714E">
      <w:pPr>
        <w:pBdr>
          <w:top w:val="single" w:sz="4" w:space="1" w:color="auto"/>
          <w:bottom w:val="single" w:sz="4" w:space="1" w:color="auto"/>
        </w:pBdr>
        <w:spacing w:after="120" w:line="320" w:lineRule="exact"/>
        <w:jc w:val="both"/>
        <w:rPr>
          <w:rFonts w:cs="FrankRuehl"/>
          <w:szCs w:val="26"/>
          <w:rtl/>
        </w:rPr>
      </w:pPr>
      <w:r w:rsidRPr="0052714E">
        <w:rPr>
          <w:rFonts w:cs="FrankRuehl" w:hint="cs"/>
          <w:szCs w:val="26"/>
          <w:rtl/>
        </w:rPr>
        <w:t>בעניינו של הנאשם, יש לסטות ממתחם העונש ההולם לצרכי שיקום. הנאשם הוא אדם צעיר, נטול הרשעות קודמות, העובד לפרנסתו ומכלכל את בני משפחתו. הנאשם נרתם לטיפול ונתרם ממנו. כעולה מהתסקיר הנאשם הוא בר שיקום, וברור כי כליאתו מאחורי סורג ובריח תגרום לו ולחברה נזק בל ישוער ותקטע כמובן את מסלול שיקומו.</w:t>
      </w:r>
    </w:p>
    <w:p w14:paraId="17D00343" w14:textId="77777777" w:rsidR="004E5387" w:rsidRPr="0052714E" w:rsidRDefault="004E5387" w:rsidP="0052714E">
      <w:pPr>
        <w:pBdr>
          <w:top w:val="single" w:sz="4" w:space="1" w:color="auto"/>
          <w:bottom w:val="single" w:sz="4" w:space="1" w:color="auto"/>
        </w:pBdr>
        <w:spacing w:after="120" w:line="320" w:lineRule="exact"/>
        <w:jc w:val="both"/>
        <w:rPr>
          <w:rFonts w:cs="FrankRuehl"/>
          <w:szCs w:val="26"/>
          <w:rtl/>
        </w:rPr>
      </w:pPr>
      <w:r w:rsidRPr="0052714E">
        <w:rPr>
          <w:rFonts w:cs="FrankRuehl" w:hint="cs"/>
          <w:szCs w:val="26"/>
          <w:rtl/>
        </w:rPr>
        <w:t>בסופו של יום, ביהמ"ש גזר על הנאשם שישה חודשי מאסר בפועל שירוצו בעבודות שירות, שישה חודשי מאסר על תנאי וקנס בסך 5,000 ₪.</w:t>
      </w:r>
    </w:p>
    <w:p w14:paraId="2219F1F7" w14:textId="77777777" w:rsidR="004E5387" w:rsidRPr="00E728F9" w:rsidRDefault="004E5387" w:rsidP="00E728F9">
      <w:pPr>
        <w:spacing w:after="120" w:line="240" w:lineRule="exact"/>
        <w:ind w:left="283" w:hanging="283"/>
        <w:jc w:val="both"/>
        <w:rPr>
          <w:rFonts w:ascii="FrankRuehl" w:hAnsi="FrankRuehl" w:cs="FrankRuehl" w:hint="cs"/>
          <w:rtl/>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B5253" w14:paraId="662A8A8E" w14:textId="77777777">
        <w:trPr>
          <w:trHeight w:val="355"/>
          <w:jc w:val="center"/>
        </w:trPr>
        <w:tc>
          <w:tcPr>
            <w:tcW w:w="8820" w:type="dxa"/>
            <w:tcBorders>
              <w:top w:val="nil"/>
              <w:left w:val="nil"/>
              <w:bottom w:val="nil"/>
              <w:right w:val="nil"/>
            </w:tcBorders>
          </w:tcPr>
          <w:p w14:paraId="5864554A" w14:textId="77777777" w:rsidR="00B53BAB" w:rsidRPr="00B53BAB" w:rsidRDefault="00B53BAB" w:rsidP="00B53BAB">
            <w:pPr>
              <w:jc w:val="center"/>
              <w:rPr>
                <w:rFonts w:ascii="Arial" w:hAnsi="Arial"/>
                <w:b/>
                <w:bCs/>
                <w:sz w:val="32"/>
                <w:szCs w:val="32"/>
                <w:u w:val="single"/>
                <w:rtl/>
              </w:rPr>
            </w:pPr>
            <w:bookmarkStart w:id="6" w:name="LawTable_End"/>
            <w:bookmarkStart w:id="7" w:name="PsakDin" w:colFirst="0" w:colLast="0"/>
            <w:bookmarkEnd w:id="0"/>
            <w:bookmarkEnd w:id="1"/>
            <w:bookmarkEnd w:id="6"/>
            <w:r w:rsidRPr="00B53BAB">
              <w:rPr>
                <w:rFonts w:ascii="Arial" w:hAnsi="Arial"/>
                <w:b/>
                <w:bCs/>
                <w:sz w:val="32"/>
                <w:szCs w:val="32"/>
                <w:u w:val="single"/>
                <w:rtl/>
              </w:rPr>
              <w:t>גזר דין</w:t>
            </w:r>
          </w:p>
          <w:p w14:paraId="1C28D971" w14:textId="77777777" w:rsidR="004B5253" w:rsidRPr="00B53BAB" w:rsidRDefault="004B5253" w:rsidP="00B53BAB">
            <w:pPr>
              <w:jc w:val="center"/>
              <w:rPr>
                <w:rFonts w:ascii="Arial" w:hAnsi="Arial"/>
                <w:bCs/>
                <w:sz w:val="32"/>
                <w:szCs w:val="32"/>
                <w:u w:val="single"/>
                <w:rtl/>
              </w:rPr>
            </w:pPr>
          </w:p>
        </w:tc>
      </w:tr>
      <w:bookmarkEnd w:id="7"/>
    </w:tbl>
    <w:p w14:paraId="091266DF" w14:textId="77777777" w:rsidR="004B5253" w:rsidRDefault="004B5253">
      <w:pPr>
        <w:rPr>
          <w:rFonts w:ascii="Arial" w:hAnsi="Arial"/>
          <w:sz w:val="26"/>
          <w:szCs w:val="26"/>
          <w:rtl/>
        </w:rPr>
      </w:pPr>
    </w:p>
    <w:p w14:paraId="2201211A" w14:textId="77777777" w:rsidR="004B5253" w:rsidRDefault="004B5253">
      <w:pPr>
        <w:rPr>
          <w:rFonts w:ascii="Arial" w:hAnsi="Arial"/>
          <w:sz w:val="26"/>
          <w:szCs w:val="26"/>
          <w:rtl/>
        </w:rPr>
      </w:pPr>
    </w:p>
    <w:p w14:paraId="205F9CBE" w14:textId="77777777" w:rsidR="004B5253" w:rsidRDefault="00B53BAB">
      <w:pPr>
        <w:pStyle w:val="ListParagraph"/>
        <w:numPr>
          <w:ilvl w:val="0"/>
          <w:numId w:val="1"/>
        </w:numPr>
        <w:spacing w:line="360" w:lineRule="auto"/>
        <w:ind w:left="0" w:firstLine="0"/>
        <w:jc w:val="both"/>
      </w:pPr>
      <w:r>
        <w:rPr>
          <w:rFonts w:hint="cs"/>
          <w:rtl/>
        </w:rPr>
        <w:t xml:space="preserve">הנאשם, יליד 1991, הורשע, על יסוד הודאתו בעובדות כתב האישום במסגרת הסדר טיעון, בביצוע עבירה של החזקת נשק, אביזר ותחמושת, לפי </w:t>
      </w:r>
      <w:hyperlink r:id="rId11" w:history="1">
        <w:r w:rsidR="00E728F9" w:rsidRPr="00E728F9">
          <w:rPr>
            <w:color w:val="0000FF"/>
            <w:u w:val="single"/>
            <w:rtl/>
          </w:rPr>
          <w:t>סעיף 144(א)</w:t>
        </w:r>
      </w:hyperlink>
      <w:r>
        <w:rPr>
          <w:rFonts w:hint="cs"/>
          <w:rtl/>
        </w:rPr>
        <w:t xml:space="preserve"> רישא וסיפא ל</w:t>
      </w:r>
      <w:hyperlink r:id="rId12" w:history="1">
        <w:r w:rsidRPr="00B53BAB">
          <w:rPr>
            <w:color w:val="0000FF"/>
            <w:u w:val="single"/>
            <w:rtl/>
          </w:rPr>
          <w:t>חוק העונשין</w:t>
        </w:r>
      </w:hyperlink>
      <w:r>
        <w:rPr>
          <w:rFonts w:hint="cs"/>
          <w:rtl/>
        </w:rPr>
        <w:t xml:space="preserve"> (להלן </w:t>
      </w:r>
      <w:r>
        <w:rPr>
          <w:rtl/>
        </w:rPr>
        <w:t>–</w:t>
      </w:r>
      <w:r>
        <w:rPr>
          <w:rFonts w:hint="cs"/>
          <w:rtl/>
        </w:rPr>
        <w:t xml:space="preserve"> "</w:t>
      </w:r>
      <w:r>
        <w:rPr>
          <w:rFonts w:hint="cs"/>
          <w:b/>
          <w:bCs/>
          <w:rtl/>
        </w:rPr>
        <w:t>החוק</w:t>
      </w:r>
      <w:r>
        <w:rPr>
          <w:rFonts w:hint="cs"/>
          <w:rtl/>
        </w:rPr>
        <w:t>").</w:t>
      </w:r>
    </w:p>
    <w:p w14:paraId="0F0CE4A4" w14:textId="77777777" w:rsidR="004B5253" w:rsidRDefault="004B5253">
      <w:pPr>
        <w:pStyle w:val="ListParagraph"/>
        <w:spacing w:line="360" w:lineRule="auto"/>
        <w:ind w:left="0"/>
        <w:jc w:val="both"/>
        <w:rPr>
          <w:rtl/>
        </w:rPr>
      </w:pPr>
    </w:p>
    <w:p w14:paraId="7CAC2338" w14:textId="77777777" w:rsidR="004B5253" w:rsidRDefault="00B53BAB">
      <w:pPr>
        <w:spacing w:line="360" w:lineRule="auto"/>
        <w:ind w:firstLine="720"/>
        <w:jc w:val="both"/>
        <w:rPr>
          <w:rtl/>
        </w:rPr>
      </w:pPr>
      <w:r>
        <w:rPr>
          <w:rFonts w:hint="cs"/>
          <w:rtl/>
        </w:rPr>
        <w:t xml:space="preserve">לפי עובדות כתב האישום, ביום 19.8.2012, בשעה 1:00 או בסמוך, החזיק הנאשם בשקית, בשטח כורכר בסמוך לאזור התעשייה בטירה, נשק מסוג קארל גוסטב מאולתר ללא מספר (להלן </w:t>
      </w:r>
      <w:r>
        <w:rPr>
          <w:rtl/>
        </w:rPr>
        <w:t>–</w:t>
      </w:r>
      <w:r>
        <w:rPr>
          <w:rFonts w:hint="cs"/>
          <w:rtl/>
        </w:rPr>
        <w:t xml:space="preserve"> "</w:t>
      </w:r>
      <w:r>
        <w:rPr>
          <w:rFonts w:hint="cs"/>
          <w:b/>
          <w:bCs/>
          <w:rtl/>
        </w:rPr>
        <w:t>הנשק</w:t>
      </w:r>
      <w:r>
        <w:rPr>
          <w:rFonts w:hint="cs"/>
          <w:rtl/>
        </w:rPr>
        <w:t>") וכן מחסנית וכדור 9 מ"מ.</w:t>
      </w:r>
    </w:p>
    <w:p w14:paraId="72D00BA9" w14:textId="77777777" w:rsidR="004B5253" w:rsidRDefault="004B5253">
      <w:pPr>
        <w:spacing w:line="360" w:lineRule="auto"/>
        <w:ind w:firstLine="720"/>
        <w:jc w:val="both"/>
        <w:rPr>
          <w:rtl/>
        </w:rPr>
      </w:pPr>
    </w:p>
    <w:p w14:paraId="325C3706" w14:textId="77777777" w:rsidR="004B5253" w:rsidRDefault="00B53BAB">
      <w:pPr>
        <w:pStyle w:val="ListParagraph"/>
        <w:numPr>
          <w:ilvl w:val="0"/>
          <w:numId w:val="1"/>
        </w:numPr>
        <w:spacing w:line="360" w:lineRule="auto"/>
        <w:ind w:left="0" w:firstLine="0"/>
        <w:jc w:val="both"/>
      </w:pPr>
      <w:r>
        <w:rPr>
          <w:rFonts w:hint="cs"/>
          <w:rtl/>
        </w:rPr>
        <w:t xml:space="preserve">במסגרת ההסדר נתבקש שירות המבחן לערוך תסקיר אודות הנאשם, המאשימה עתרה למתחם עונש הולם שנע בין 7 ל-14 חודשי מאסר בפועל והודיעה שתעתור לעונש בתחתית המתחם. הובהר כי ההגנה תהיה חופשיה בטיעוניה ותוכל אף לעתור לביטול ההרשעה. </w:t>
      </w:r>
    </w:p>
    <w:p w14:paraId="16B7B8EC" w14:textId="77777777" w:rsidR="004B5253" w:rsidRDefault="004B5253">
      <w:pPr>
        <w:spacing w:line="360" w:lineRule="auto"/>
        <w:ind w:firstLine="720"/>
        <w:jc w:val="both"/>
        <w:rPr>
          <w:rtl/>
        </w:rPr>
      </w:pPr>
    </w:p>
    <w:p w14:paraId="213E041D" w14:textId="77777777" w:rsidR="004B5253" w:rsidRDefault="00B53BAB">
      <w:pPr>
        <w:spacing w:line="360" w:lineRule="auto"/>
        <w:ind w:firstLine="720"/>
        <w:jc w:val="both"/>
        <w:rPr>
          <w:rtl/>
        </w:rPr>
      </w:pPr>
      <w:r>
        <w:rPr>
          <w:rFonts w:hint="cs"/>
          <w:rtl/>
        </w:rPr>
        <w:t>עוד הוסכם על הצדדים כי מדוח הפעולה שרשם שוטר עולה שבמקום היה אדם אחר אשר החזיק באותה שקית בה נמצא הנשק וכי ההגנה תהיה רשאית להגיש מסמכים מתיק החקירה, ובהתאם להעלות בשלב הטיעונים לעונש טענות משפטיות שונות, לרבות הגנה מן הצדק.</w:t>
      </w:r>
    </w:p>
    <w:p w14:paraId="63307FDC" w14:textId="77777777" w:rsidR="004B5253" w:rsidRDefault="004B5253">
      <w:pPr>
        <w:spacing w:line="360" w:lineRule="auto"/>
        <w:ind w:firstLine="720"/>
        <w:jc w:val="both"/>
        <w:rPr>
          <w:rtl/>
        </w:rPr>
      </w:pPr>
    </w:p>
    <w:p w14:paraId="56A60505" w14:textId="77777777" w:rsidR="004B5253" w:rsidRDefault="00B53BAB">
      <w:pPr>
        <w:pStyle w:val="ListParagraph"/>
        <w:numPr>
          <w:ilvl w:val="0"/>
          <w:numId w:val="1"/>
        </w:numPr>
        <w:spacing w:line="360" w:lineRule="auto"/>
        <w:ind w:left="0" w:firstLine="0"/>
        <w:jc w:val="both"/>
      </w:pPr>
      <w:r>
        <w:rPr>
          <w:rFonts w:hint="cs"/>
          <w:rtl/>
        </w:rPr>
        <w:lastRenderedPageBreak/>
        <w:t>אין לחובתו של הנאשם הרשעות קודמות.</w:t>
      </w:r>
    </w:p>
    <w:p w14:paraId="3A1B7273" w14:textId="77777777" w:rsidR="004B5253" w:rsidRDefault="004B5253">
      <w:pPr>
        <w:spacing w:line="360" w:lineRule="auto"/>
        <w:ind w:firstLine="720"/>
        <w:jc w:val="both"/>
      </w:pPr>
    </w:p>
    <w:p w14:paraId="4A027341" w14:textId="77777777" w:rsidR="004B5253" w:rsidRDefault="00B53BAB">
      <w:pPr>
        <w:pStyle w:val="ListParagraph"/>
        <w:numPr>
          <w:ilvl w:val="0"/>
          <w:numId w:val="1"/>
        </w:numPr>
        <w:spacing w:line="360" w:lineRule="auto"/>
        <w:ind w:left="0" w:firstLine="0"/>
        <w:jc w:val="both"/>
        <w:rPr>
          <w:rtl/>
        </w:rPr>
      </w:pPr>
      <w:r>
        <w:rPr>
          <w:rFonts w:hint="cs"/>
          <w:rtl/>
        </w:rPr>
        <w:t xml:space="preserve">התקבל אודות הנאשם תסקיר מבחן. מהתסקיר עולה כי הנאשם עובד מזה ארבע שנים כנהג בחברת הסעות אותה מנהל אביו. מעורבות הנאשם בעבירה מוסברת על רקע התחברותו לגורמים שליליים. במסגרת אבחון בהליך המעצר ההתרשמות הייתה כי הנאשם מבין היום טוב יותר את הסיכון שהיה נתון בו בתקופה בה ביצע את העבירה. במסגרת פיקוח מעצרים שולב הנאשם בטיפול קבוצתי. הנאשם מגיע לטיפול כנדרש ומשתף בתכנים. שירות המבחן סבור כי אין לנאשם דפוסים אלימים והסיכון להישנות התנהגות עבריינית פחת. הומלץ להעדיף בעניינו של הנאשם את אפיק השיקום והגם שלא הוצגה פגיעה קונקרטית </w:t>
      </w:r>
      <w:r>
        <w:rPr>
          <w:rtl/>
        </w:rPr>
        <w:t>–</w:t>
      </w:r>
      <w:r>
        <w:rPr>
          <w:rFonts w:hint="cs"/>
          <w:rtl/>
        </w:rPr>
        <w:t xml:space="preserve"> הוצע לבטל את הרשעתו בדין.</w:t>
      </w:r>
    </w:p>
    <w:p w14:paraId="5B0C5768" w14:textId="77777777" w:rsidR="004B5253" w:rsidRDefault="004B5253">
      <w:pPr>
        <w:spacing w:line="360" w:lineRule="auto"/>
        <w:ind w:firstLine="720"/>
        <w:jc w:val="both"/>
        <w:rPr>
          <w:rtl/>
        </w:rPr>
      </w:pPr>
    </w:p>
    <w:p w14:paraId="038225F9" w14:textId="77777777" w:rsidR="004B5253" w:rsidRDefault="00B53BAB">
      <w:pPr>
        <w:spacing w:line="360" w:lineRule="auto"/>
        <w:jc w:val="both"/>
        <w:rPr>
          <w:u w:val="single"/>
          <w:rtl/>
        </w:rPr>
      </w:pPr>
      <w:r>
        <w:rPr>
          <w:rFonts w:hint="cs"/>
          <w:u w:val="single"/>
          <w:rtl/>
        </w:rPr>
        <w:t>תמצית טענות הצדדים</w:t>
      </w:r>
    </w:p>
    <w:p w14:paraId="32F7783B" w14:textId="77777777" w:rsidR="004B5253" w:rsidRDefault="00B53BAB">
      <w:pPr>
        <w:pStyle w:val="ListParagraph"/>
        <w:numPr>
          <w:ilvl w:val="0"/>
          <w:numId w:val="1"/>
        </w:numPr>
        <w:spacing w:line="360" w:lineRule="auto"/>
        <w:ind w:left="0" w:firstLine="0"/>
        <w:jc w:val="both"/>
        <w:rPr>
          <w:rtl/>
        </w:rPr>
      </w:pPr>
      <w:r>
        <w:rPr>
          <w:rFonts w:hint="cs"/>
          <w:rtl/>
        </w:rPr>
        <w:t xml:space="preserve">הצדדים טענו לעונש בכתב ועל-פה. זה המקום להעיר כי היקף הטיעונים הכתובים של שני הצדדים (אך בעיקר ההגנה) היה רב שלא לצורך ובניגוד להחלטות השיפוטיות שנועדו לצמצמו. </w:t>
      </w:r>
    </w:p>
    <w:p w14:paraId="5ACC40CE" w14:textId="77777777" w:rsidR="004B5253" w:rsidRDefault="004B5253">
      <w:pPr>
        <w:spacing w:line="360" w:lineRule="auto"/>
        <w:ind w:firstLine="720"/>
        <w:jc w:val="both"/>
        <w:rPr>
          <w:rtl/>
        </w:rPr>
      </w:pPr>
    </w:p>
    <w:p w14:paraId="68DF02B7" w14:textId="77777777" w:rsidR="004B5253" w:rsidRDefault="00B53BAB">
      <w:pPr>
        <w:pStyle w:val="ListParagraph"/>
        <w:numPr>
          <w:ilvl w:val="0"/>
          <w:numId w:val="1"/>
        </w:numPr>
        <w:spacing w:line="360" w:lineRule="auto"/>
        <w:ind w:left="0" w:firstLine="0"/>
        <w:jc w:val="both"/>
        <w:rPr>
          <w:rtl/>
        </w:rPr>
      </w:pPr>
      <w:r>
        <w:rPr>
          <w:rFonts w:hint="cs"/>
          <w:rtl/>
        </w:rPr>
        <w:t>המאשימה סבורה כי חומרת העבירה מצדיקה לגזור על הנאשם עונש של מאסר בפועל וברי שאין מקום לשקול את עתירתו לביטול ההרשעה. המאשימה הפנתה בטיעוניה לפסיקה לעונש בעבירה זו, הזכירה כי שירות המבחן הוא גורם ממליץ בלבד, אבחנה את הפסיקה שהגישה ההגנה וטענה כי אין מקום לקבל במקרה זה את הטענה בדבר אכיפה בררנית.</w:t>
      </w:r>
    </w:p>
    <w:p w14:paraId="4E780530" w14:textId="77777777" w:rsidR="004B5253" w:rsidRDefault="004B5253">
      <w:pPr>
        <w:spacing w:line="360" w:lineRule="auto"/>
        <w:ind w:firstLine="720"/>
        <w:jc w:val="both"/>
        <w:rPr>
          <w:rtl/>
        </w:rPr>
      </w:pPr>
    </w:p>
    <w:p w14:paraId="6D6BF30D" w14:textId="77777777" w:rsidR="004B5253" w:rsidRDefault="00B53BAB">
      <w:pPr>
        <w:pStyle w:val="ListParagraph"/>
        <w:numPr>
          <w:ilvl w:val="0"/>
          <w:numId w:val="1"/>
        </w:numPr>
        <w:spacing w:line="360" w:lineRule="auto"/>
        <w:ind w:left="0" w:firstLine="0"/>
        <w:jc w:val="both"/>
        <w:rPr>
          <w:rtl/>
        </w:rPr>
      </w:pPr>
      <w:r>
        <w:rPr>
          <w:rFonts w:hint="cs"/>
          <w:rtl/>
        </w:rPr>
        <w:t>ב"כ הנאשם טענה כי יש מקום לקבל את המלצת שירות המבחן בעניינו של הנאשם. היא הפנתה לגילו הצעיר של הנאשם, להליך השיקומי, ובנוסף טענה באריכות לאכיפה בררנית שיסודה בהחלטת המדינה לא להעמיד לדין שני חשודים אחרים ששמם עלה בחקירת המשטרה.</w:t>
      </w:r>
    </w:p>
    <w:p w14:paraId="61583A26" w14:textId="77777777" w:rsidR="004B5253" w:rsidRDefault="004B5253">
      <w:pPr>
        <w:spacing w:line="360" w:lineRule="auto"/>
        <w:ind w:firstLine="720"/>
        <w:jc w:val="both"/>
        <w:rPr>
          <w:rtl/>
        </w:rPr>
      </w:pPr>
    </w:p>
    <w:p w14:paraId="10BBAA89" w14:textId="77777777" w:rsidR="004B5253" w:rsidRDefault="00B53BAB">
      <w:pPr>
        <w:pStyle w:val="ListParagraph"/>
        <w:numPr>
          <w:ilvl w:val="0"/>
          <w:numId w:val="1"/>
        </w:numPr>
        <w:spacing w:line="360" w:lineRule="auto"/>
        <w:ind w:left="0" w:firstLine="0"/>
        <w:jc w:val="both"/>
        <w:rPr>
          <w:rtl/>
        </w:rPr>
      </w:pPr>
      <w:r>
        <w:rPr>
          <w:rFonts w:hint="cs"/>
          <w:rtl/>
        </w:rPr>
        <w:t xml:space="preserve">הנאשם בדברו האחרון לעונש אמר שהוא מצטער וכועס על כך שהסב צער להוריו. הנאשם הבהיר שמעוניין להמשיך לחיות וללמוד </w:t>
      </w:r>
      <w:r>
        <w:rPr>
          <w:rFonts w:cs="Miriam" w:hint="cs"/>
          <w:rtl/>
        </w:rPr>
        <w:t>"כמו אנשים אחרים"</w:t>
      </w:r>
      <w:r>
        <w:rPr>
          <w:rFonts w:hint="cs"/>
          <w:rtl/>
        </w:rPr>
        <w:t>.</w:t>
      </w:r>
    </w:p>
    <w:p w14:paraId="0A89FE5F" w14:textId="77777777" w:rsidR="004B5253" w:rsidRDefault="004B5253">
      <w:pPr>
        <w:bidi w:val="0"/>
      </w:pPr>
    </w:p>
    <w:p w14:paraId="6AF0499E" w14:textId="77777777" w:rsidR="004B5253" w:rsidRDefault="00B53BAB">
      <w:pPr>
        <w:spacing w:line="360" w:lineRule="auto"/>
        <w:jc w:val="both"/>
        <w:rPr>
          <w:b/>
          <w:bCs/>
          <w:u w:val="single"/>
          <w:rtl/>
        </w:rPr>
      </w:pPr>
      <w:bookmarkStart w:id="8" w:name="_GoBack"/>
      <w:bookmarkEnd w:id="8"/>
      <w:r>
        <w:rPr>
          <w:rFonts w:hint="cs"/>
          <w:b/>
          <w:bCs/>
          <w:u w:val="single"/>
          <w:rtl/>
        </w:rPr>
        <w:t>דיון והכרעה</w:t>
      </w:r>
    </w:p>
    <w:p w14:paraId="1F451AB3" w14:textId="77777777" w:rsidR="004B5253" w:rsidRDefault="00B53BAB">
      <w:pPr>
        <w:pStyle w:val="ListParagraph"/>
        <w:numPr>
          <w:ilvl w:val="0"/>
          <w:numId w:val="1"/>
        </w:numPr>
        <w:spacing w:line="360" w:lineRule="auto"/>
        <w:ind w:left="0" w:firstLine="0"/>
        <w:jc w:val="both"/>
      </w:pPr>
      <w:r>
        <w:rPr>
          <w:rFonts w:hint="cs"/>
          <w:rtl/>
        </w:rPr>
        <w:t xml:space="preserve">בישיבה שהתקיימה ביום 17.12.2014 החלטתי לא לבטל את הרשעת הנאשם, והודעתי כי נימוקים יינתנו במסגרת גזר הדין. </w:t>
      </w:r>
    </w:p>
    <w:p w14:paraId="391E18DF" w14:textId="77777777" w:rsidR="004B5253" w:rsidRDefault="004B5253">
      <w:pPr>
        <w:spacing w:line="360" w:lineRule="auto"/>
        <w:ind w:firstLine="720"/>
        <w:jc w:val="both"/>
        <w:rPr>
          <w:rtl/>
        </w:rPr>
      </w:pPr>
    </w:p>
    <w:p w14:paraId="52AD06AA" w14:textId="77777777" w:rsidR="004B5253" w:rsidRDefault="00B53BAB">
      <w:pPr>
        <w:spacing w:line="360" w:lineRule="auto"/>
        <w:ind w:firstLine="720"/>
        <w:jc w:val="both"/>
        <w:rPr>
          <w:rtl/>
        </w:rPr>
      </w:pPr>
      <w:r>
        <w:rPr>
          <w:rFonts w:hint="cs"/>
          <w:rtl/>
        </w:rPr>
        <w:t>במקביל ביקשתי את הממונה על עבודות השירות לערוך חוות דעת אודות הנאשם. הממונה על עבודות השירות מצא את הנאשם מתאים לביצוע עבודת שירות וקבע את תנאיה.</w:t>
      </w:r>
    </w:p>
    <w:p w14:paraId="52E597ED" w14:textId="77777777" w:rsidR="004B5253" w:rsidRDefault="004B5253">
      <w:pPr>
        <w:spacing w:line="360" w:lineRule="auto"/>
        <w:ind w:firstLine="720"/>
        <w:jc w:val="both"/>
        <w:rPr>
          <w:rtl/>
        </w:rPr>
      </w:pPr>
    </w:p>
    <w:p w14:paraId="4D0235B7" w14:textId="77777777" w:rsidR="004B5253" w:rsidRDefault="00B53BAB">
      <w:pPr>
        <w:pStyle w:val="ListParagraph"/>
        <w:numPr>
          <w:ilvl w:val="0"/>
          <w:numId w:val="1"/>
        </w:numPr>
        <w:spacing w:line="360" w:lineRule="auto"/>
        <w:ind w:left="0" w:firstLine="0"/>
        <w:jc w:val="both"/>
        <w:rPr>
          <w:rtl/>
        </w:rPr>
      </w:pPr>
      <w:r>
        <w:rPr>
          <w:rFonts w:hint="cs"/>
          <w:rtl/>
        </w:rPr>
        <w:t>העבירה אותה ביצע הנאשם היא אכן עבירה חמורה. עבירות הנשק הפכו למכת מדינה, ובאזורנו אף למכת אזור. פגיעתן של העבירות קשה. נשק לא מורשה שמוחזק על ידי פלוני, מחר ייעשה בו שימוש לרעה על ידי פלוני עצמו או על ידי אחרים. כפי שציין בית המשפט העליון ב</w:t>
      </w:r>
      <w:hyperlink r:id="rId13" w:history="1">
        <w:r w:rsidRPr="00B53BAB">
          <w:rPr>
            <w:color w:val="0000FF"/>
            <w:u w:val="single"/>
            <w:rtl/>
          </w:rPr>
          <w:t>ע"פ 3288/14</w:t>
        </w:r>
      </w:hyperlink>
      <w:r>
        <w:rPr>
          <w:rFonts w:hint="cs"/>
          <w:rtl/>
        </w:rPr>
        <w:t xml:space="preserve"> </w:t>
      </w:r>
      <w:r>
        <w:rPr>
          <w:rFonts w:hint="cs"/>
          <w:b/>
          <w:bCs/>
          <w:rtl/>
        </w:rPr>
        <w:t>מדינת ישראל נ' קריספיל</w:t>
      </w:r>
      <w:r>
        <w:rPr>
          <w:rFonts w:hint="cs"/>
          <w:rtl/>
        </w:rPr>
        <w:t xml:space="preserve"> </w:t>
      </w:r>
      <w:r w:rsidR="0052714E" w:rsidRPr="0052714E">
        <w:rPr>
          <w:sz w:val="22"/>
          <w:rtl/>
        </w:rPr>
        <w:t xml:space="preserve">[פורסם בנבו] </w:t>
      </w:r>
      <w:r>
        <w:rPr>
          <w:rFonts w:hint="cs"/>
          <w:rtl/>
        </w:rPr>
        <w:t xml:space="preserve">(24.8.2014), </w:t>
      </w:r>
      <w:r>
        <w:rPr>
          <w:rFonts w:cs="Miriam" w:hint="cs"/>
          <w:rtl/>
        </w:rPr>
        <w:t>"...בשל פוטנציאל ההרס הטמון בכלי נשק, הכולל גם אפשרות לפגיעה עיוורת באנשים מן היישוב, מתפקידו של בית המשפט להרתיע אף מפני עבירת החזקת הנשק שלא כדין"</w:t>
      </w:r>
      <w:r>
        <w:rPr>
          <w:rFonts w:hint="cs"/>
          <w:rtl/>
        </w:rPr>
        <w:t xml:space="preserve">. </w:t>
      </w:r>
    </w:p>
    <w:p w14:paraId="68D3866B" w14:textId="77777777" w:rsidR="004B5253" w:rsidRDefault="004B5253">
      <w:pPr>
        <w:spacing w:line="360" w:lineRule="auto"/>
        <w:ind w:firstLine="720"/>
        <w:jc w:val="both"/>
        <w:rPr>
          <w:rtl/>
        </w:rPr>
      </w:pPr>
    </w:p>
    <w:p w14:paraId="15D8A804" w14:textId="77777777" w:rsidR="004B5253" w:rsidRDefault="00B53BAB">
      <w:pPr>
        <w:pStyle w:val="ListParagraph"/>
        <w:numPr>
          <w:ilvl w:val="0"/>
          <w:numId w:val="1"/>
        </w:numPr>
        <w:spacing w:line="360" w:lineRule="auto"/>
        <w:ind w:left="0" w:firstLine="0"/>
        <w:jc w:val="both"/>
        <w:rPr>
          <w:rtl/>
        </w:rPr>
      </w:pPr>
      <w:r>
        <w:rPr>
          <w:rFonts w:hint="cs"/>
          <w:rtl/>
        </w:rPr>
        <w:t xml:space="preserve">לטעמי, עבירה של החזקת נשק בכלל, והחזקה של תת מקלע מאולתר עם מחסנית תואמת וכדור בפרט, היא מסוג העבירות בהן במצב הדברים הרגיל אין מקום לשקול ביטול הרשעה של בגיר. חומרתה המופלגת של העבירה, בנסיבותיה, אינה מאפשרת לדידי לבטל את הרשעת הנאשם, וראו בעניין זה </w:t>
      </w:r>
      <w:r>
        <w:rPr>
          <w:rFonts w:ascii="Arial" w:hAnsi="Arial" w:hint="cs"/>
          <w:rtl/>
        </w:rPr>
        <w:t>האמור ב</w:t>
      </w:r>
      <w:hyperlink r:id="rId14" w:history="1">
        <w:r w:rsidRPr="00B53BAB">
          <w:rPr>
            <w:rFonts w:ascii="Arial" w:hAnsi="Arial"/>
            <w:color w:val="0000FF"/>
            <w:u w:val="single"/>
            <w:rtl/>
          </w:rPr>
          <w:t>ע"פ 2083/96 כתב נ' מדינת ישראל, פ"ד נב</w:t>
        </w:r>
      </w:hyperlink>
      <w:r>
        <w:rPr>
          <w:rFonts w:ascii="Arial" w:hAnsi="Arial" w:hint="cs"/>
          <w:rtl/>
        </w:rPr>
        <w:t xml:space="preserve">(3) 337, 341 (1997), מה גם שהנאשם לא השכיל להציג כל פגיעה קונקרטית של ההרשעה הפלילית המתבקשת בו ובעתידו. </w:t>
      </w:r>
    </w:p>
    <w:p w14:paraId="33B25F92" w14:textId="77777777" w:rsidR="004B5253" w:rsidRDefault="004B5253">
      <w:pPr>
        <w:spacing w:line="360" w:lineRule="auto"/>
        <w:ind w:firstLine="720"/>
        <w:jc w:val="both"/>
        <w:rPr>
          <w:rtl/>
        </w:rPr>
      </w:pPr>
    </w:p>
    <w:p w14:paraId="5D092DC4" w14:textId="77777777" w:rsidR="004B5253" w:rsidRDefault="00B53BAB">
      <w:pPr>
        <w:spacing w:line="360" w:lineRule="auto"/>
        <w:ind w:firstLine="720"/>
        <w:jc w:val="both"/>
        <w:rPr>
          <w:rtl/>
        </w:rPr>
      </w:pPr>
      <w:r>
        <w:rPr>
          <w:rFonts w:hint="cs"/>
          <w:rtl/>
        </w:rPr>
        <w:t>ההגנה טענה כי, בנסיבות העניין, עומדת לנאשם טענה של אכיפה בררנית בכל הקשור להעמדתו לדין. טענה זו יש לדחות. עיון בחומר הראיות שצרפו הצדדים לטיעוניהם לעונש מעלה כי הנאשם אכן נתפס בזירה בה נמצא הנשק יחד עם שניים אחרים, שבשלב ראשוני נקשרו לעבירה בדרכים השונות המפורטות בטיעוני ההגנה. אולם, בהמשך החקירה נמצאה טביעת אצבעו של הנאשם על שמורת ההדק של הנשק ומכאן ההחלטה להעמידו לדין בביצוע העבירה. בצדק טענה המאשימה גם כי הנאשם מילא פיו מים בכל הקשור לשותפיו לדבר עבירה (ככל שהיו כאלה), ובכך יצר במו ידיו קושי נוסף בתשתית הראיות נגד האחרים. אשר על כן, דין הטענה בדבר אכיפה בררנית להידחות, וכך אני עושה.</w:t>
      </w:r>
    </w:p>
    <w:p w14:paraId="442DAE37" w14:textId="77777777" w:rsidR="004B5253" w:rsidRDefault="004B5253">
      <w:pPr>
        <w:spacing w:line="360" w:lineRule="auto"/>
        <w:ind w:firstLine="720"/>
        <w:jc w:val="both"/>
        <w:rPr>
          <w:rtl/>
        </w:rPr>
      </w:pPr>
    </w:p>
    <w:p w14:paraId="2781510B" w14:textId="77777777" w:rsidR="004B5253" w:rsidRDefault="00B53BAB">
      <w:pPr>
        <w:spacing w:line="360" w:lineRule="auto"/>
        <w:ind w:firstLine="720"/>
        <w:jc w:val="both"/>
        <w:rPr>
          <w:rtl/>
        </w:rPr>
      </w:pPr>
      <w:r>
        <w:rPr>
          <w:rFonts w:hint="cs"/>
          <w:rtl/>
        </w:rPr>
        <w:t>מכאן החלטתי לא להיעתר לבקשת ההגנה בכל הקשור להרשעת הנאשם.</w:t>
      </w:r>
    </w:p>
    <w:p w14:paraId="270EDD67" w14:textId="77777777" w:rsidR="004B5253" w:rsidRDefault="004B5253">
      <w:pPr>
        <w:spacing w:line="360" w:lineRule="auto"/>
        <w:ind w:firstLine="720"/>
        <w:jc w:val="both"/>
        <w:rPr>
          <w:rtl/>
        </w:rPr>
      </w:pPr>
    </w:p>
    <w:p w14:paraId="00507A0F" w14:textId="77777777" w:rsidR="004B5253" w:rsidRDefault="00B53BAB">
      <w:pPr>
        <w:pStyle w:val="ListParagraph"/>
        <w:numPr>
          <w:ilvl w:val="0"/>
          <w:numId w:val="1"/>
        </w:numPr>
        <w:spacing w:line="360" w:lineRule="auto"/>
        <w:ind w:left="0" w:firstLine="0"/>
        <w:jc w:val="both"/>
        <w:rPr>
          <w:rtl/>
        </w:rPr>
      </w:pPr>
      <w:r>
        <w:rPr>
          <w:rFonts w:hint="cs"/>
          <w:rtl/>
        </w:rPr>
        <w:t>בהתחשב בנסיבות ביצוע העבירה (הסלקת תת מקלע מאולתר עם מחסנית תואמת וכדור, בשטח פתוח), בעקרון המנחה שלפיו על העונש להתאים למעשה, בענישה הנוהגת בתחום ובגילו הצעיר של הנאשם (אשר כעולה מן התסקיר השפיע גם על ביצוע העבירה), אני מקבל את עתירת המאשימה למתחם עונש הולם שנע בין 7 ל-14 חודשי מאסר בפועל, כעונש עיקרי.</w:t>
      </w:r>
    </w:p>
    <w:p w14:paraId="2A67496C" w14:textId="77777777" w:rsidR="004B5253" w:rsidRDefault="004B5253">
      <w:pPr>
        <w:spacing w:line="360" w:lineRule="auto"/>
        <w:ind w:firstLine="720"/>
        <w:jc w:val="both"/>
        <w:rPr>
          <w:rtl/>
        </w:rPr>
      </w:pPr>
    </w:p>
    <w:p w14:paraId="57788203" w14:textId="77777777" w:rsidR="004B5253" w:rsidRDefault="00B53BAB">
      <w:pPr>
        <w:pStyle w:val="ListParagraph"/>
        <w:numPr>
          <w:ilvl w:val="0"/>
          <w:numId w:val="1"/>
        </w:numPr>
        <w:spacing w:line="360" w:lineRule="auto"/>
        <w:ind w:left="0" w:firstLine="0"/>
        <w:jc w:val="both"/>
        <w:rPr>
          <w:rtl/>
        </w:rPr>
      </w:pPr>
      <w:r>
        <w:rPr>
          <w:rFonts w:hint="cs"/>
          <w:rtl/>
        </w:rPr>
        <w:t>בעניינו של הנאשם החלטתי לסטות ממתחם העונש ההולם לצרכי שיקום. הנאשם הוא אדם צעיר, נטול הרשעות קודמות, העובד לפרנסתו ומכלכל את בני משפחתו. הנאשם נרתם לטיפול ונתרם ממנו. כעולה מהתסקיר הנאשם הוא בר שיקום, וברור כי כליאתו מאחורי סורג ובריח תגרום לו ולחברה נזק בל ישוער ותקטע כמובן את מסלול שיקומו.</w:t>
      </w:r>
    </w:p>
    <w:p w14:paraId="452083C8" w14:textId="77777777" w:rsidR="004B5253" w:rsidRDefault="004B5253">
      <w:pPr>
        <w:spacing w:line="360" w:lineRule="auto"/>
        <w:ind w:firstLine="720"/>
        <w:jc w:val="both"/>
        <w:rPr>
          <w:rtl/>
        </w:rPr>
      </w:pPr>
    </w:p>
    <w:p w14:paraId="0B6C6F91" w14:textId="77777777" w:rsidR="004B5253" w:rsidRDefault="00B53BAB">
      <w:pPr>
        <w:pStyle w:val="ListParagraph"/>
        <w:numPr>
          <w:ilvl w:val="0"/>
          <w:numId w:val="1"/>
        </w:numPr>
        <w:spacing w:line="360" w:lineRule="auto"/>
        <w:ind w:left="0" w:firstLine="0"/>
        <w:jc w:val="both"/>
        <w:rPr>
          <w:rtl/>
        </w:rPr>
      </w:pPr>
      <w:r>
        <w:rPr>
          <w:rFonts w:hint="cs"/>
          <w:rtl/>
        </w:rPr>
        <w:t>שקלתי את כלל השיקולים לקולה ולחומרה והחלטתי לגזור על הנאשם את העונשים הבאים:</w:t>
      </w:r>
    </w:p>
    <w:p w14:paraId="5A00D455" w14:textId="77777777" w:rsidR="004B5253" w:rsidRDefault="004B5253">
      <w:pPr>
        <w:spacing w:line="360" w:lineRule="auto"/>
        <w:ind w:firstLine="720"/>
        <w:jc w:val="both"/>
        <w:rPr>
          <w:rtl/>
        </w:rPr>
      </w:pPr>
    </w:p>
    <w:p w14:paraId="6CDEA5BB" w14:textId="77777777" w:rsidR="004B5253" w:rsidRDefault="00B53BAB">
      <w:pPr>
        <w:spacing w:line="360" w:lineRule="auto"/>
        <w:ind w:left="720"/>
        <w:jc w:val="both"/>
        <w:rPr>
          <w:rtl/>
        </w:rPr>
      </w:pPr>
      <w:r>
        <w:rPr>
          <w:rFonts w:hint="cs"/>
          <w:rtl/>
        </w:rPr>
        <w:t>א. מאסר בפועל בן ששה (6) חודשים, שירוצה בעבודות שירות בחברה קדישא כפר סבא, החל ביום 23.4.2015. על הנאשם להתייצב לריצוי עונשו באותו מועד בשעה 8:00 במשרדי הממונה על עבודות השירות מחוז מרכז ברמלה.</w:t>
      </w:r>
    </w:p>
    <w:p w14:paraId="3488E381" w14:textId="77777777" w:rsidR="004B5253" w:rsidRDefault="004B5253">
      <w:pPr>
        <w:spacing w:line="360" w:lineRule="auto"/>
        <w:ind w:left="720"/>
        <w:jc w:val="both"/>
        <w:rPr>
          <w:rtl/>
        </w:rPr>
      </w:pPr>
    </w:p>
    <w:p w14:paraId="028CAD59" w14:textId="77777777" w:rsidR="004B5253" w:rsidRDefault="00B53BAB">
      <w:pPr>
        <w:spacing w:line="360" w:lineRule="auto"/>
        <w:ind w:left="720"/>
        <w:jc w:val="both"/>
        <w:rPr>
          <w:rtl/>
        </w:rPr>
      </w:pPr>
      <w:r>
        <w:rPr>
          <w:rFonts w:hint="cs"/>
          <w:rtl/>
        </w:rPr>
        <w:t>ב. מאסר על-תנאי בן ששה (6) חודשים, והתנאי הוא כי בתקופה בת שלוש שנים מהיום לא יעבור עבירה בה הורשע.</w:t>
      </w:r>
    </w:p>
    <w:p w14:paraId="69E2EEDE" w14:textId="77777777" w:rsidR="004B5253" w:rsidRDefault="004B5253">
      <w:pPr>
        <w:spacing w:line="360" w:lineRule="auto"/>
        <w:ind w:left="720"/>
        <w:jc w:val="both"/>
        <w:rPr>
          <w:rtl/>
        </w:rPr>
      </w:pPr>
    </w:p>
    <w:p w14:paraId="41F2BC0D" w14:textId="77777777" w:rsidR="004B5253" w:rsidRDefault="00B53BAB">
      <w:pPr>
        <w:spacing w:line="360" w:lineRule="auto"/>
        <w:ind w:left="720"/>
        <w:jc w:val="both"/>
        <w:rPr>
          <w:rtl/>
        </w:rPr>
      </w:pPr>
      <w:r>
        <w:rPr>
          <w:rFonts w:hint="cs"/>
          <w:rtl/>
        </w:rPr>
        <w:t>ג. קנס בסך 5,000 ₪ או 50 ימי מאסר תמורתו. הקנס ישתלם בעשרה תשלומים חודשיים שווים ורצופים, החל ביום 1.5.2015.</w:t>
      </w:r>
    </w:p>
    <w:p w14:paraId="182523CE" w14:textId="77777777" w:rsidR="004B5253" w:rsidRDefault="004B5253">
      <w:pPr>
        <w:spacing w:line="360" w:lineRule="auto"/>
        <w:ind w:firstLine="720"/>
        <w:jc w:val="both"/>
        <w:rPr>
          <w:rtl/>
        </w:rPr>
      </w:pPr>
    </w:p>
    <w:p w14:paraId="63DB4A95" w14:textId="77777777" w:rsidR="004B5253" w:rsidRDefault="004B5253">
      <w:pPr>
        <w:spacing w:line="360" w:lineRule="auto"/>
        <w:jc w:val="both"/>
        <w:rPr>
          <w:rtl/>
        </w:rPr>
      </w:pPr>
    </w:p>
    <w:p w14:paraId="6EC93189" w14:textId="77777777" w:rsidR="004B5253" w:rsidRDefault="00B53BAB">
      <w:pPr>
        <w:spacing w:line="360" w:lineRule="auto"/>
        <w:jc w:val="both"/>
        <w:rPr>
          <w:rtl/>
        </w:rPr>
      </w:pPr>
      <w:r>
        <w:rPr>
          <w:rFonts w:hint="cs"/>
          <w:rtl/>
        </w:rPr>
        <w:t>זכות ערעור לבית המשפט המחוזי תוך 45 יום.</w:t>
      </w:r>
    </w:p>
    <w:p w14:paraId="377E34D4" w14:textId="77777777" w:rsidR="004B5253" w:rsidRDefault="004B5253">
      <w:pPr>
        <w:rPr>
          <w:sz w:val="26"/>
          <w:szCs w:val="26"/>
          <w:rtl/>
        </w:rPr>
      </w:pPr>
    </w:p>
    <w:p w14:paraId="7FBD7DC2" w14:textId="77777777" w:rsidR="004B5253" w:rsidRPr="0052714E" w:rsidRDefault="00B53BAB">
      <w:pPr>
        <w:rPr>
          <w:b/>
          <w:bCs/>
          <w:sz w:val="28"/>
          <w:szCs w:val="28"/>
          <w:rtl/>
        </w:rPr>
      </w:pPr>
      <w:r w:rsidRPr="0052714E">
        <w:rPr>
          <w:rFonts w:ascii="Arial" w:hAnsi="Arial"/>
          <w:b/>
          <w:bCs/>
          <w:color w:val="FFFFFF"/>
          <w:sz w:val="2"/>
          <w:szCs w:val="2"/>
          <w:rtl/>
        </w:rPr>
        <w:t>5129371</w:t>
      </w:r>
      <w:r w:rsidRPr="0052714E">
        <w:rPr>
          <w:rFonts w:ascii="Arial" w:hAnsi="Arial"/>
          <w:b/>
          <w:bCs/>
          <w:sz w:val="26"/>
          <w:szCs w:val="26"/>
          <w:rtl/>
        </w:rPr>
        <w:t xml:space="preserve">ניתן היום,  כ"ד אדר תשע"ה, 15 מרץ 2015, במעמד הנוכחים.  </w:t>
      </w:r>
    </w:p>
    <w:p w14:paraId="238E6607" w14:textId="77777777" w:rsidR="004B5253" w:rsidRPr="00B53BAB" w:rsidRDefault="00B53BAB">
      <w:pPr>
        <w:jc w:val="center"/>
        <w:rPr>
          <w:color w:val="FFFFFF"/>
          <w:sz w:val="2"/>
          <w:szCs w:val="2"/>
        </w:rPr>
      </w:pPr>
      <w:r w:rsidRPr="00B53BAB">
        <w:rPr>
          <w:rFonts w:ascii="Arial" w:hAnsi="Arial"/>
          <w:color w:val="FFFFFF"/>
          <w:sz w:val="2"/>
          <w:szCs w:val="2"/>
          <w:rtl/>
        </w:rPr>
        <w:t>54678313</w:t>
      </w:r>
      <w:r w:rsidRPr="00B53BAB">
        <w:rPr>
          <w:rFonts w:ascii="Arial" w:hAnsi="Arial" w:hint="cs"/>
          <w:color w:val="FFFFFF"/>
          <w:sz w:val="2"/>
          <w:szCs w:val="2"/>
          <w:rtl/>
        </w:rPr>
        <w:t xml:space="preserve">                                                                         </w:t>
      </w:r>
    </w:p>
    <w:p w14:paraId="28ECD969" w14:textId="77777777" w:rsidR="004B5253" w:rsidRDefault="004B5253">
      <w:pPr>
        <w:jc w:val="center"/>
        <w:rPr>
          <w:rFonts w:ascii="Arial" w:hAnsi="Arial"/>
          <w:sz w:val="28"/>
          <w:szCs w:val="28"/>
          <w:rtl/>
        </w:rPr>
      </w:pPr>
    </w:p>
    <w:p w14:paraId="215D53D5" w14:textId="77777777" w:rsidR="004B5253" w:rsidRDefault="004B5253">
      <w:pPr>
        <w:rPr>
          <w:sz w:val="28"/>
          <w:szCs w:val="28"/>
          <w:rtl/>
        </w:rPr>
      </w:pPr>
    </w:p>
    <w:p w14:paraId="1465DF2F" w14:textId="77777777" w:rsidR="004B5253" w:rsidRDefault="004B5253">
      <w:pPr>
        <w:pStyle w:val="a3"/>
        <w:jc w:val="center"/>
        <w:rPr>
          <w:rtl/>
        </w:rPr>
      </w:pPr>
    </w:p>
    <w:p w14:paraId="232FC885" w14:textId="77777777" w:rsidR="004B5253" w:rsidRDefault="004B5253">
      <w:pPr>
        <w:rPr>
          <w:rFonts w:ascii="Arial" w:hAnsi="Arial" w:cs="FrankRuehl"/>
          <w:sz w:val="28"/>
          <w:szCs w:val="28"/>
        </w:rPr>
      </w:pPr>
    </w:p>
    <w:p w14:paraId="7B2C63DD" w14:textId="77777777" w:rsidR="00B53BAB" w:rsidRPr="00B53BAB" w:rsidRDefault="00B53BAB" w:rsidP="00B53BAB">
      <w:pPr>
        <w:keepNext/>
        <w:rPr>
          <w:rFonts w:ascii="David" w:hAnsi="David"/>
          <w:color w:val="000000"/>
          <w:sz w:val="22"/>
          <w:szCs w:val="22"/>
          <w:rtl/>
        </w:rPr>
      </w:pPr>
    </w:p>
    <w:p w14:paraId="71001569" w14:textId="77777777" w:rsidR="00B53BAB" w:rsidRPr="00B53BAB" w:rsidRDefault="00B53BAB" w:rsidP="00B53BAB">
      <w:pPr>
        <w:keepNext/>
        <w:rPr>
          <w:rFonts w:ascii="David" w:hAnsi="David"/>
          <w:color w:val="000000"/>
          <w:sz w:val="22"/>
          <w:szCs w:val="22"/>
          <w:rtl/>
        </w:rPr>
      </w:pPr>
      <w:r w:rsidRPr="00B53BAB">
        <w:rPr>
          <w:rFonts w:ascii="David" w:hAnsi="David"/>
          <w:color w:val="000000"/>
          <w:sz w:val="22"/>
          <w:szCs w:val="22"/>
          <w:rtl/>
        </w:rPr>
        <w:t>מיכאל קרשן 54678313</w:t>
      </w:r>
    </w:p>
    <w:p w14:paraId="2B424E5D" w14:textId="77777777" w:rsidR="00B53BAB" w:rsidRDefault="00B53BAB" w:rsidP="00B53BAB">
      <w:r w:rsidRPr="00B53BAB">
        <w:rPr>
          <w:color w:val="000000"/>
          <w:rtl/>
        </w:rPr>
        <w:t>נוסח מסמך זה כפוף לשינויי ניסוח ועריכה</w:t>
      </w:r>
    </w:p>
    <w:p w14:paraId="29C50AF2" w14:textId="77777777" w:rsidR="00B53BAB" w:rsidRDefault="00B53BAB" w:rsidP="00B53BAB">
      <w:pPr>
        <w:rPr>
          <w:rtl/>
        </w:rPr>
      </w:pPr>
    </w:p>
    <w:p w14:paraId="0741B27F" w14:textId="77777777" w:rsidR="00B53BAB" w:rsidRDefault="00B53BAB" w:rsidP="00B53BAB">
      <w:pPr>
        <w:jc w:val="center"/>
        <w:rPr>
          <w:color w:val="0000FF"/>
          <w:u w:val="single"/>
        </w:rPr>
      </w:pPr>
      <w:hyperlink r:id="rId15" w:history="1">
        <w:r>
          <w:rPr>
            <w:color w:val="0000FF"/>
            <w:u w:val="single"/>
            <w:rtl/>
          </w:rPr>
          <w:t>בעניין עריכה ושינויים במסמכי פסיקה, חקיקה ועוד באתר נבו – הקש כאן</w:t>
        </w:r>
      </w:hyperlink>
    </w:p>
    <w:p w14:paraId="7E6957AC" w14:textId="77777777" w:rsidR="004B5253" w:rsidRPr="00B53BAB" w:rsidRDefault="004B5253" w:rsidP="00B53BAB">
      <w:pPr>
        <w:jc w:val="center"/>
        <w:rPr>
          <w:color w:val="0000FF"/>
          <w:u w:val="single"/>
        </w:rPr>
      </w:pPr>
    </w:p>
    <w:sectPr w:rsidR="004B5253" w:rsidRPr="00B53BAB" w:rsidSect="00B53BAB">
      <w:headerReference w:type="even" r:id="rId16"/>
      <w:headerReference w:type="default" r:id="rId17"/>
      <w:footerReference w:type="even" r:id="rId18"/>
      <w:footerReference w:type="default" r:id="rId1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2AE7DA" w14:textId="77777777" w:rsidR="00627EC1" w:rsidRPr="000427FF" w:rsidRDefault="00627EC1">
      <w:pPr>
        <w:rPr>
          <w:rFonts w:cs="Arial"/>
          <w:szCs w:val="20"/>
        </w:rPr>
      </w:pPr>
      <w:r>
        <w:separator/>
      </w:r>
    </w:p>
  </w:endnote>
  <w:endnote w:type="continuationSeparator" w:id="0">
    <w:p w14:paraId="7F262DC3" w14:textId="77777777" w:rsidR="00627EC1" w:rsidRPr="000427FF" w:rsidRDefault="00627EC1">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58FE92" w14:textId="77777777" w:rsidR="00444D6C" w:rsidRDefault="00444D6C" w:rsidP="00B53BA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02AE2E8" w14:textId="77777777" w:rsidR="00444D6C" w:rsidRPr="00B53BAB" w:rsidRDefault="00444D6C" w:rsidP="00B53BAB">
    <w:pPr>
      <w:pStyle w:val="a4"/>
      <w:pBdr>
        <w:top w:val="single" w:sz="4" w:space="1" w:color="auto"/>
        <w:between w:val="single" w:sz="4" w:space="0" w:color="auto"/>
      </w:pBdr>
      <w:spacing w:after="60"/>
      <w:jc w:val="center"/>
      <w:rPr>
        <w:rFonts w:ascii="FrankRuehl" w:hAnsi="FrankRuehl" w:cs="FrankRuehl"/>
        <w:color w:val="000000"/>
      </w:rPr>
    </w:pPr>
    <w:r w:rsidRPr="00B53BA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7E645" w14:textId="77777777" w:rsidR="00444D6C" w:rsidRDefault="00444D6C" w:rsidP="00B53BA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C0F3A">
      <w:rPr>
        <w:rFonts w:ascii="FrankRuehl" w:hAnsi="FrankRuehl" w:cs="FrankRuehl"/>
        <w:noProof/>
        <w:rtl/>
      </w:rPr>
      <w:t>1</w:t>
    </w:r>
    <w:r>
      <w:rPr>
        <w:rFonts w:ascii="FrankRuehl" w:hAnsi="FrankRuehl" w:cs="FrankRuehl"/>
        <w:rtl/>
      </w:rPr>
      <w:fldChar w:fldCharType="end"/>
    </w:r>
  </w:p>
  <w:p w14:paraId="4DE9B6E3" w14:textId="77777777" w:rsidR="00444D6C" w:rsidRPr="00B53BAB" w:rsidRDefault="00444D6C" w:rsidP="00B53BAB">
    <w:pPr>
      <w:pStyle w:val="a4"/>
      <w:pBdr>
        <w:top w:val="single" w:sz="4" w:space="1" w:color="auto"/>
        <w:between w:val="single" w:sz="4" w:space="0" w:color="auto"/>
      </w:pBdr>
      <w:spacing w:after="60"/>
      <w:jc w:val="center"/>
      <w:rPr>
        <w:rFonts w:ascii="FrankRuehl" w:hAnsi="FrankRuehl" w:cs="FrankRuehl"/>
        <w:color w:val="000000"/>
      </w:rPr>
    </w:pPr>
    <w:r w:rsidRPr="00B53BAB">
      <w:rPr>
        <w:rFonts w:ascii="FrankRuehl" w:hAnsi="FrankRuehl" w:cs="FrankRuehl"/>
        <w:color w:val="000000"/>
      </w:rPr>
      <w:pict w14:anchorId="5135B0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944E7B" w14:textId="77777777" w:rsidR="00627EC1" w:rsidRPr="000427FF" w:rsidRDefault="00627EC1">
      <w:pPr>
        <w:rPr>
          <w:rFonts w:cs="Arial"/>
          <w:szCs w:val="20"/>
        </w:rPr>
      </w:pPr>
      <w:r>
        <w:separator/>
      </w:r>
    </w:p>
  </w:footnote>
  <w:footnote w:type="continuationSeparator" w:id="0">
    <w:p w14:paraId="2585F43E" w14:textId="77777777" w:rsidR="00627EC1" w:rsidRPr="000427FF" w:rsidRDefault="00627EC1">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B5416" w14:textId="77777777" w:rsidR="00444D6C" w:rsidRPr="00B53BAB" w:rsidRDefault="00444D6C" w:rsidP="00B53BA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 (כ"ס) 535/12 תפ (כ"ס) 535-12</w:t>
    </w:r>
    <w:r>
      <w:rPr>
        <w:rFonts w:ascii="David" w:hAnsi="David"/>
        <w:color w:val="000000"/>
        <w:sz w:val="22"/>
        <w:szCs w:val="22"/>
        <w:rtl/>
      </w:rPr>
      <w:tab/>
      <w:t xml:space="preserve"> מדינת ישראל נ' עבדאלכרים נאסר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772FB" w14:textId="77777777" w:rsidR="00444D6C" w:rsidRPr="00B53BAB" w:rsidRDefault="00444D6C" w:rsidP="00B53BA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 (כ"ס) 535/12 תפ (כ"ס) 535-12</w:t>
    </w:r>
    <w:r>
      <w:rPr>
        <w:rFonts w:ascii="David" w:hAnsi="David"/>
        <w:color w:val="000000"/>
        <w:sz w:val="22"/>
        <w:szCs w:val="22"/>
        <w:rtl/>
      </w:rPr>
      <w:tab/>
      <w:t xml:space="preserve"> מדינת ישראל נ' עבדאלכרים נאסר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C85618"/>
    <w:multiLevelType w:val="hybridMultilevel"/>
    <w:tmpl w:val="4210D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2235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B5253"/>
    <w:rsid w:val="00094909"/>
    <w:rsid w:val="000D2AE6"/>
    <w:rsid w:val="003C0F3A"/>
    <w:rsid w:val="00444D6C"/>
    <w:rsid w:val="0045072D"/>
    <w:rsid w:val="004B5253"/>
    <w:rsid w:val="004E5387"/>
    <w:rsid w:val="0052714E"/>
    <w:rsid w:val="00623E5E"/>
    <w:rsid w:val="00627EC1"/>
    <w:rsid w:val="008F5110"/>
    <w:rsid w:val="009578D6"/>
    <w:rsid w:val="00B53BAB"/>
    <w:rsid w:val="00E728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DE8FAAC"/>
  <w15:chartTrackingRefBased/>
  <w15:docId w15:val="{C431F6AD-BF27-4746-968D-593EA6C97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5253"/>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B5253"/>
    <w:pPr>
      <w:tabs>
        <w:tab w:val="center" w:pos="4153"/>
        <w:tab w:val="right" w:pos="8306"/>
      </w:tabs>
    </w:pPr>
  </w:style>
  <w:style w:type="paragraph" w:styleId="a4">
    <w:name w:val="footer"/>
    <w:basedOn w:val="a"/>
    <w:rsid w:val="004B5253"/>
    <w:pPr>
      <w:tabs>
        <w:tab w:val="center" w:pos="4153"/>
        <w:tab w:val="right" w:pos="8306"/>
      </w:tabs>
    </w:pPr>
  </w:style>
  <w:style w:type="character" w:styleId="a5">
    <w:name w:val="page number"/>
    <w:basedOn w:val="a0"/>
    <w:rsid w:val="004B5253"/>
  </w:style>
  <w:style w:type="paragraph" w:customStyle="1" w:styleId="ListParagraph">
    <w:name w:val="List Paragraph"/>
    <w:basedOn w:val="a"/>
    <w:rsid w:val="004B5253"/>
    <w:pPr>
      <w:ind w:left="720"/>
      <w:contextualSpacing/>
    </w:pPr>
  </w:style>
  <w:style w:type="character" w:styleId="Hyperlink">
    <w:name w:val="Hyperlink"/>
    <w:basedOn w:val="a0"/>
    <w:rsid w:val="004B52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case/16913730"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5" Type="http://schemas.openxmlformats.org/officeDocument/2006/relationships/footnotes" Target="foot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70301"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581078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1292</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7741</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3276916</vt:i4>
      </vt:variant>
      <vt:variant>
        <vt:i4>21</vt:i4>
      </vt:variant>
      <vt:variant>
        <vt:i4>0</vt:i4>
      </vt:variant>
      <vt:variant>
        <vt:i4>5</vt:i4>
      </vt:variant>
      <vt:variant>
        <vt:lpwstr>http://www.nevo.co.il/case/5810781</vt:lpwstr>
      </vt:variant>
      <vt:variant>
        <vt:lpwstr/>
      </vt:variant>
      <vt:variant>
        <vt:i4>3670132</vt:i4>
      </vt:variant>
      <vt:variant>
        <vt:i4>18</vt:i4>
      </vt:variant>
      <vt:variant>
        <vt:i4>0</vt:i4>
      </vt:variant>
      <vt:variant>
        <vt:i4>5</vt:i4>
      </vt:variant>
      <vt:variant>
        <vt:lpwstr>http://www.nevo.co.il/case/16913730</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2025-04-25T11:05:00Z</dcterms:created>
  <dcterms:modified xsi:type="dcterms:W3CDTF">2025-04-25T11:05:00Z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535</vt:lpwstr>
  </property>
  <property fmtid="{D5CDD505-2E9C-101B-9397-08002B2CF9AE}" pid="6" name="NEWPARTB">
    <vt:lpwstr/>
  </property>
  <property fmtid="{D5CDD505-2E9C-101B-9397-08002B2CF9AE}" pid="7" name="NEWPARTC">
    <vt:lpwstr>12</vt:lpwstr>
  </property>
  <property fmtid="{D5CDD505-2E9C-101B-9397-08002B2CF9AE}" pid="8" name="PROCNUM">
    <vt:lpwstr>535</vt:lpwstr>
  </property>
  <property fmtid="{D5CDD505-2E9C-101B-9397-08002B2CF9AE}" pid="9" name="PROCYEAR">
    <vt:lpwstr>12</vt:lpwstr>
  </property>
  <property fmtid="{D5CDD505-2E9C-101B-9397-08002B2CF9AE}" pid="10" name="APPELLANT">
    <vt:lpwstr>מדינת ישראל</vt:lpwstr>
  </property>
  <property fmtid="{D5CDD505-2E9C-101B-9397-08002B2CF9AE}" pid="11" name="APPELLEE">
    <vt:lpwstr>עבדאלכרים נאסר</vt:lpwstr>
  </property>
  <property fmtid="{D5CDD505-2E9C-101B-9397-08002B2CF9AE}" pid="12" name="LAWYER">
    <vt:lpwstr>נעמה שגיא;פאדי אסעד</vt:lpwstr>
  </property>
  <property fmtid="{D5CDD505-2E9C-101B-9397-08002B2CF9AE}" pid="13" name="JUDGE">
    <vt:lpwstr>מיכאל קרשן</vt:lpwstr>
  </property>
  <property fmtid="{D5CDD505-2E9C-101B-9397-08002B2CF9AE}" pid="14" name="CITY">
    <vt:lpwstr>כ"ס</vt:lpwstr>
  </property>
  <property fmtid="{D5CDD505-2E9C-101B-9397-08002B2CF9AE}" pid="15" name="DATE">
    <vt:lpwstr>20150315</vt:lpwstr>
  </property>
  <property fmtid="{D5CDD505-2E9C-101B-9397-08002B2CF9AE}" pid="16" name="TYPE_N_DATE">
    <vt:lpwstr>38020150315</vt:lpwstr>
  </property>
  <property fmtid="{D5CDD505-2E9C-101B-9397-08002B2CF9AE}" pid="17" name="CASESLISTTMP1">
    <vt:lpwstr>16913730;5810781</vt:lpwstr>
  </property>
  <property fmtid="{D5CDD505-2E9C-101B-9397-08002B2CF9AE}" pid="18" name="WORDNUMPAGES">
    <vt:lpwstr>5</vt:lpwstr>
  </property>
  <property fmtid="{D5CDD505-2E9C-101B-9397-08002B2CF9AE}" pid="19" name="TYPE_ABS_DATE">
    <vt:lpwstr>380120150315</vt:lpwstr>
  </property>
  <property fmtid="{D5CDD505-2E9C-101B-9397-08002B2CF9AE}" pid="20" name="ISABSTRACT">
    <vt:lpwstr>Y</vt:lpwstr>
  </property>
  <property fmtid="{D5CDD505-2E9C-101B-9397-08002B2CF9AE}" pid="21" name="LAWLISTTMP1">
    <vt:lpwstr>70301/144.a</vt:lpwstr>
  </property>
  <property fmtid="{D5CDD505-2E9C-101B-9397-08002B2CF9AE}" pid="22" name="METAKZER">
    <vt:lpwstr>שירי</vt:lpwstr>
  </property>
  <property fmtid="{D5CDD505-2E9C-101B-9397-08002B2CF9AE}" pid="23" name="NOSE1ID">
    <vt:lpwstr>77;77;77</vt:lpwstr>
  </property>
  <property fmtid="{D5CDD505-2E9C-101B-9397-08002B2CF9AE}" pid="24" name="NOSE2ID">
    <vt:lpwstr>1446;1446;1446</vt:lpwstr>
  </property>
  <property fmtid="{D5CDD505-2E9C-101B-9397-08002B2CF9AE}" pid="25" name="NOSE3ID">
    <vt:lpwstr>13800;14346;11695</vt:lpwstr>
  </property>
  <property fmtid="{D5CDD505-2E9C-101B-9397-08002B2CF9AE}" pid="26" name="NOSE11">
    <vt:lpwstr>עונשין</vt:lpwstr>
  </property>
  <property fmtid="{D5CDD505-2E9C-101B-9397-08002B2CF9AE}" pid="27" name="NOSE21">
    <vt:lpwstr>ענישה</vt:lpwstr>
  </property>
  <property fmtid="{D5CDD505-2E9C-101B-9397-08002B2CF9AE}" pid="28" name="NOSE31">
    <vt:lpwstr>מדיניות ענישה: עבירות נשק</vt:lpwstr>
  </property>
  <property fmtid="{D5CDD505-2E9C-101B-9397-08002B2CF9AE}" pid="29" name="NOSE12">
    <vt:lpwstr>עונשין</vt:lpwstr>
  </property>
  <property fmtid="{D5CDD505-2E9C-101B-9397-08002B2CF9AE}" pid="30" name="NOSE22">
    <vt:lpwstr>ענישה</vt:lpwstr>
  </property>
  <property fmtid="{D5CDD505-2E9C-101B-9397-08002B2CF9AE}" pid="31" name="NOSE32">
    <vt:lpwstr>מדיניות ענישה: שיקום</vt:lpwstr>
  </property>
  <property fmtid="{D5CDD505-2E9C-101B-9397-08002B2CF9AE}" pid="32" name="NOSE13">
    <vt:lpwstr>עונשין</vt:lpwstr>
  </property>
  <property fmtid="{D5CDD505-2E9C-101B-9397-08002B2CF9AE}" pid="33" name="NOSE23">
    <vt:lpwstr>ענישה</vt:lpwstr>
  </property>
  <property fmtid="{D5CDD505-2E9C-101B-9397-08002B2CF9AE}" pid="34" name="NOSE33">
    <vt:lpwstr>הימנעות מהרשעה</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17">
    <vt:lpwstr/>
  </property>
  <property fmtid="{D5CDD505-2E9C-101B-9397-08002B2CF9AE}" pid="45" name="NOSE27">
    <vt:lpwstr/>
  </property>
  <property fmtid="{D5CDD505-2E9C-101B-9397-08002B2CF9AE}" pid="46" name="NOSE3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19">
    <vt:lpwstr/>
  </property>
  <property fmtid="{D5CDD505-2E9C-101B-9397-08002B2CF9AE}" pid="51" name="NOSE29">
    <vt:lpwstr/>
  </property>
  <property fmtid="{D5CDD505-2E9C-101B-9397-08002B2CF9AE}" pid="52" name="NOSE3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PADIMAIL">
    <vt:lpwstr>YES</vt:lpwstr>
  </property>
  <property fmtid="{D5CDD505-2E9C-101B-9397-08002B2CF9AE}" pid="57" name="PADIDATE">
    <vt:lpwstr>20150504</vt:lpwstr>
  </property>
  <property fmtid="{D5CDD505-2E9C-101B-9397-08002B2CF9AE}" pid="58" name="APPELLANT1">
    <vt:lpwstr/>
  </property>
  <property fmtid="{D5CDD505-2E9C-101B-9397-08002B2CF9AE}" pid="59" name="APPELLANT2">
    <vt:lpwstr/>
  </property>
  <property fmtid="{D5CDD505-2E9C-101B-9397-08002B2CF9AE}" pid="60" name="APPELLEE1">
    <vt:lpwstr/>
  </property>
  <property fmtid="{D5CDD505-2E9C-101B-9397-08002B2CF9AE}" pid="61" name="APPELLEE2">
    <vt:lpwstr/>
  </property>
  <property fmtid="{D5CDD505-2E9C-101B-9397-08002B2CF9AE}" pid="62" name="PROCESS">
    <vt:lpwstr/>
  </property>
  <property fmtid="{D5CDD505-2E9C-101B-9397-08002B2CF9AE}" pid="63" name="VOLUME">
    <vt:lpwstr/>
  </property>
  <property fmtid="{D5CDD505-2E9C-101B-9397-08002B2CF9AE}" pid="64" name="PART">
    <vt:lpwstr/>
  </property>
  <property fmtid="{D5CDD505-2E9C-101B-9397-08002B2CF9AE}" pid="65" name="PAGE">
    <vt:lpwstr/>
  </property>
  <property fmtid="{D5CDD505-2E9C-101B-9397-08002B2CF9AE}" pid="66" name="DELEMATA">
    <vt:lpwstr/>
  </property>
  <property fmtid="{D5CDD505-2E9C-101B-9397-08002B2CF9AE}" pid="67" name="LINKK1">
    <vt:lpwstr/>
  </property>
  <property fmtid="{D5CDD505-2E9C-101B-9397-08002B2CF9AE}" pid="68" name="LINKK2">
    <vt:lpwstr/>
  </property>
  <property fmtid="{D5CDD505-2E9C-101B-9397-08002B2CF9AE}" pid="69" name="LINKK3">
    <vt:lpwstr/>
  </property>
  <property fmtid="{D5CDD505-2E9C-101B-9397-08002B2CF9AE}" pid="70" name="LINKK4">
    <vt:lpwstr/>
  </property>
  <property fmtid="{D5CDD505-2E9C-101B-9397-08002B2CF9AE}" pid="71" name="LINKK5">
    <vt:lpwstr/>
  </property>
</Properties>
</file>