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753"/>
        <w:gridCol w:w="1298"/>
        <w:gridCol w:w="3670"/>
      </w:tblGrid>
      <w:tr w:rsidR="00EB626B" w:rsidRPr="00A951F0" w14:paraId="349EB36E" w14:textId="77777777">
        <w:trPr>
          <w:trHeight w:hRule="exact" w:val="339"/>
          <w:jc w:val="center"/>
        </w:trPr>
        <w:tc>
          <w:tcPr>
            <w:tcW w:w="8721" w:type="dxa"/>
            <w:gridSpan w:val="3"/>
          </w:tcPr>
          <w:p w14:paraId="3FB59840" w14:textId="77777777" w:rsidR="00EB626B" w:rsidRPr="00A951F0" w:rsidRDefault="00A951F0">
            <w:pPr>
              <w:pStyle w:val="a3"/>
              <w:jc w:val="center"/>
              <w:rPr>
                <w:rFonts w:ascii="Tahoma" w:hAnsi="Tahoma"/>
                <w:rtl/>
              </w:rPr>
            </w:pPr>
            <w:bookmarkStart w:id="0" w:name="LastJudge"/>
            <w:r w:rsidRPr="00A951F0">
              <w:rPr>
                <w:rFonts w:ascii="Tahoma" w:hAnsi="Tahoma" w:hint="cs"/>
                <w:b/>
                <w:bCs/>
                <w:rtl/>
              </w:rPr>
              <w:t>בתי המשפט</w:t>
            </w:r>
          </w:p>
        </w:tc>
      </w:tr>
      <w:tr w:rsidR="00EB626B" w:rsidRPr="00A951F0" w14:paraId="642D7462" w14:textId="77777777">
        <w:trPr>
          <w:trHeight w:val="337"/>
          <w:jc w:val="center"/>
        </w:trPr>
        <w:tc>
          <w:tcPr>
            <w:tcW w:w="5051" w:type="dxa"/>
            <w:gridSpan w:val="2"/>
          </w:tcPr>
          <w:p w14:paraId="4756572E" w14:textId="77777777" w:rsidR="00EB626B" w:rsidRPr="00A951F0" w:rsidRDefault="00A951F0">
            <w:pPr>
              <w:pStyle w:val="a3"/>
              <w:rPr>
                <w:b/>
                <w:bCs/>
                <w:sz w:val="32"/>
                <w:szCs w:val="32"/>
                <w:rtl/>
              </w:rPr>
            </w:pPr>
            <w:r w:rsidRPr="00A951F0">
              <w:rPr>
                <w:rFonts w:hint="cs"/>
                <w:b/>
                <w:bCs/>
                <w:sz w:val="32"/>
                <w:szCs w:val="32"/>
                <w:rtl/>
              </w:rPr>
              <w:t>בית משפט השלום</w:t>
            </w:r>
          </w:p>
          <w:p w14:paraId="565B5FD8" w14:textId="77777777" w:rsidR="00EB626B" w:rsidRPr="00A951F0" w:rsidRDefault="00A951F0">
            <w:pPr>
              <w:pStyle w:val="a3"/>
              <w:rPr>
                <w:sz w:val="28"/>
                <w:szCs w:val="28"/>
                <w:rtl/>
              </w:rPr>
            </w:pPr>
            <w:r w:rsidRPr="00A951F0">
              <w:rPr>
                <w:rFonts w:hint="cs"/>
                <w:b/>
                <w:bCs/>
                <w:sz w:val="32"/>
                <w:szCs w:val="32"/>
                <w:rtl/>
              </w:rPr>
              <w:t>בירושלים</w:t>
            </w:r>
          </w:p>
        </w:tc>
        <w:tc>
          <w:tcPr>
            <w:tcW w:w="3670" w:type="dxa"/>
          </w:tcPr>
          <w:p w14:paraId="0A78BD09" w14:textId="77777777" w:rsidR="00EB626B" w:rsidRPr="00A951F0" w:rsidRDefault="00A951F0">
            <w:pPr>
              <w:jc w:val="right"/>
              <w:rPr>
                <w:b/>
                <w:bCs/>
                <w:sz w:val="32"/>
                <w:szCs w:val="32"/>
                <w:rtl/>
              </w:rPr>
            </w:pPr>
            <w:r w:rsidRPr="00A951F0">
              <w:rPr>
                <w:b/>
                <w:bCs/>
                <w:sz w:val="32"/>
                <w:szCs w:val="32"/>
                <w:rtl/>
              </w:rPr>
              <w:t>ת"פ</w:t>
            </w:r>
            <w:r w:rsidRPr="00A951F0">
              <w:rPr>
                <w:rFonts w:hint="cs"/>
                <w:b/>
                <w:bCs/>
                <w:sz w:val="32"/>
                <w:szCs w:val="32"/>
                <w:rtl/>
              </w:rPr>
              <w:t xml:space="preserve"> </w:t>
            </w:r>
            <w:r w:rsidRPr="00A951F0">
              <w:rPr>
                <w:b/>
                <w:bCs/>
                <w:sz w:val="32"/>
                <w:szCs w:val="32"/>
                <w:rtl/>
              </w:rPr>
              <w:t>40469-02-13</w:t>
            </w:r>
            <w:r w:rsidRPr="00A951F0">
              <w:rPr>
                <w:rFonts w:hint="cs"/>
                <w:b/>
                <w:bCs/>
                <w:sz w:val="32"/>
                <w:szCs w:val="32"/>
                <w:rtl/>
              </w:rPr>
              <w:t xml:space="preserve"> </w:t>
            </w:r>
          </w:p>
          <w:p w14:paraId="54F8B465" w14:textId="77777777" w:rsidR="00EB626B" w:rsidRPr="00A951F0" w:rsidRDefault="00EB626B">
            <w:pPr>
              <w:pStyle w:val="a3"/>
              <w:jc w:val="right"/>
              <w:rPr>
                <w:b/>
                <w:bCs/>
                <w:sz w:val="32"/>
                <w:szCs w:val="32"/>
                <w:rtl/>
              </w:rPr>
            </w:pPr>
          </w:p>
        </w:tc>
      </w:tr>
      <w:tr w:rsidR="00EB626B" w:rsidRPr="00A951F0" w14:paraId="41D2DE75" w14:textId="77777777">
        <w:trPr>
          <w:trHeight w:val="337"/>
          <w:jc w:val="center"/>
        </w:trPr>
        <w:tc>
          <w:tcPr>
            <w:tcW w:w="3753" w:type="dxa"/>
          </w:tcPr>
          <w:p w14:paraId="3ED6D0CF" w14:textId="77777777" w:rsidR="00EB626B" w:rsidRPr="00A951F0" w:rsidRDefault="00EB626B">
            <w:pPr>
              <w:rPr>
                <w:rFonts w:ascii="Arial" w:hAnsi="Arial"/>
                <w:b/>
                <w:bCs/>
                <w:sz w:val="28"/>
                <w:szCs w:val="28"/>
                <w:rtl/>
              </w:rPr>
            </w:pPr>
          </w:p>
          <w:p w14:paraId="52155CAE" w14:textId="77777777" w:rsidR="00EB626B" w:rsidRPr="00A951F0" w:rsidRDefault="00A951F0">
            <w:r w:rsidRPr="00A951F0">
              <w:rPr>
                <w:rFonts w:ascii="Arial" w:hAnsi="Arial" w:hint="cs"/>
                <w:b/>
                <w:bCs/>
                <w:sz w:val="28"/>
                <w:szCs w:val="28"/>
                <w:rtl/>
              </w:rPr>
              <w:t>ב</w:t>
            </w:r>
            <w:r w:rsidRPr="00A951F0">
              <w:rPr>
                <w:rFonts w:ascii="Arial" w:hAnsi="Arial"/>
                <w:b/>
                <w:bCs/>
                <w:sz w:val="28"/>
                <w:szCs w:val="28"/>
                <w:rtl/>
              </w:rPr>
              <w:t>פני</w:t>
            </w:r>
            <w:r w:rsidRPr="00A951F0">
              <w:rPr>
                <w:rFonts w:ascii="Arial" w:hAnsi="Arial" w:hint="cs"/>
                <w:b/>
                <w:bCs/>
                <w:sz w:val="28"/>
                <w:szCs w:val="28"/>
                <w:rtl/>
              </w:rPr>
              <w:t>: כב' ה</w:t>
            </w:r>
            <w:r w:rsidRPr="00A951F0">
              <w:rPr>
                <w:rFonts w:ascii="Arial" w:hAnsi="Arial"/>
                <w:b/>
                <w:bCs/>
                <w:sz w:val="28"/>
                <w:szCs w:val="28"/>
                <w:rtl/>
              </w:rPr>
              <w:t>שופט</w:t>
            </w:r>
            <w:r w:rsidRPr="00A951F0">
              <w:rPr>
                <w:rFonts w:ascii="Arial" w:hAnsi="Arial" w:hint="cs"/>
                <w:b/>
                <w:bCs/>
                <w:sz w:val="28"/>
                <w:szCs w:val="28"/>
                <w:rtl/>
              </w:rPr>
              <w:t xml:space="preserve"> </w:t>
            </w:r>
            <w:r w:rsidRPr="00A951F0">
              <w:rPr>
                <w:rFonts w:ascii="Arial" w:hAnsi="Arial"/>
                <w:b/>
                <w:bCs/>
                <w:sz w:val="28"/>
                <w:szCs w:val="28"/>
                <w:rtl/>
              </w:rPr>
              <w:t>אלכסנדר רון</w:t>
            </w:r>
          </w:p>
          <w:p w14:paraId="189163FE" w14:textId="77777777" w:rsidR="00EB626B" w:rsidRPr="00A951F0" w:rsidRDefault="00EB626B">
            <w:pPr>
              <w:jc w:val="right"/>
              <w:rPr>
                <w:b/>
                <w:bCs/>
                <w:sz w:val="32"/>
                <w:szCs w:val="32"/>
              </w:rPr>
            </w:pPr>
          </w:p>
        </w:tc>
        <w:tc>
          <w:tcPr>
            <w:tcW w:w="4968" w:type="dxa"/>
            <w:gridSpan w:val="2"/>
          </w:tcPr>
          <w:p w14:paraId="1CB5C684" w14:textId="77777777" w:rsidR="00EB626B" w:rsidRPr="00A951F0" w:rsidRDefault="00EB626B">
            <w:pPr>
              <w:jc w:val="right"/>
              <w:rPr>
                <w:b/>
                <w:bCs/>
                <w:sz w:val="28"/>
                <w:szCs w:val="28"/>
                <w:rtl/>
              </w:rPr>
            </w:pPr>
          </w:p>
          <w:p w14:paraId="048D751F" w14:textId="77777777" w:rsidR="00EB626B" w:rsidRPr="00A951F0" w:rsidRDefault="00A951F0">
            <w:pPr>
              <w:jc w:val="right"/>
              <w:rPr>
                <w:b/>
                <w:bCs/>
                <w:sz w:val="32"/>
                <w:szCs w:val="32"/>
                <w:rtl/>
              </w:rPr>
            </w:pPr>
            <w:r w:rsidRPr="00A951F0">
              <w:rPr>
                <w:rFonts w:hint="cs"/>
                <w:b/>
                <w:bCs/>
                <w:sz w:val="28"/>
                <w:szCs w:val="28"/>
                <w:rtl/>
              </w:rPr>
              <w:t>תאריך:  22</w:t>
            </w:r>
            <w:r w:rsidRPr="00A951F0">
              <w:rPr>
                <w:b/>
                <w:bCs/>
                <w:sz w:val="28"/>
                <w:szCs w:val="28"/>
                <w:rtl/>
              </w:rPr>
              <w:t xml:space="preserve"> דצמבר 2013</w:t>
            </w:r>
          </w:p>
        </w:tc>
      </w:tr>
    </w:tbl>
    <w:p w14:paraId="51AD112F" w14:textId="77777777" w:rsidR="00EB626B" w:rsidRPr="00A951F0" w:rsidRDefault="00A951F0">
      <w:pPr>
        <w:pStyle w:val="a3"/>
        <w:rPr>
          <w:rtl/>
        </w:rPr>
      </w:pPr>
      <w:r w:rsidRPr="00A951F0">
        <w:rPr>
          <w:rFonts w:hint="cs"/>
          <w:rtl/>
        </w:rPr>
        <w:t xml:space="preserve"> </w:t>
      </w:r>
    </w:p>
    <w:tbl>
      <w:tblPr>
        <w:bidiVisual/>
        <w:tblW w:w="9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
        <w:gridCol w:w="841"/>
        <w:gridCol w:w="3705"/>
        <w:gridCol w:w="4321"/>
      </w:tblGrid>
      <w:tr w:rsidR="00EB626B" w:rsidRPr="00A951F0" w14:paraId="7219AC07" w14:textId="77777777">
        <w:trPr>
          <w:gridBefore w:val="1"/>
          <w:wBefore w:w="333" w:type="dxa"/>
          <w:trHeight w:val="355"/>
          <w:jc w:val="center"/>
        </w:trPr>
        <w:tc>
          <w:tcPr>
            <w:tcW w:w="841" w:type="dxa"/>
            <w:tcBorders>
              <w:top w:val="nil"/>
              <w:left w:val="nil"/>
              <w:bottom w:val="nil"/>
              <w:right w:val="nil"/>
            </w:tcBorders>
          </w:tcPr>
          <w:p w14:paraId="77791A61" w14:textId="77777777" w:rsidR="00EB626B" w:rsidRPr="00A951F0" w:rsidRDefault="00A951F0">
            <w:pPr>
              <w:jc w:val="both"/>
              <w:rPr>
                <w:rFonts w:ascii="Arial" w:hAnsi="Arial"/>
                <w:b/>
                <w:bCs/>
              </w:rPr>
            </w:pPr>
            <w:bookmarkStart w:id="1" w:name="FirstAppellant"/>
            <w:r w:rsidRPr="00A951F0">
              <w:rPr>
                <w:rFonts w:ascii="Arial" w:hAnsi="Arial" w:hint="cs"/>
                <w:b/>
                <w:bCs/>
                <w:rtl/>
              </w:rPr>
              <w:t>בעניין:</w:t>
            </w:r>
          </w:p>
        </w:tc>
        <w:tc>
          <w:tcPr>
            <w:tcW w:w="3705" w:type="dxa"/>
            <w:tcBorders>
              <w:top w:val="nil"/>
              <w:left w:val="nil"/>
              <w:bottom w:val="nil"/>
              <w:right w:val="nil"/>
            </w:tcBorders>
          </w:tcPr>
          <w:p w14:paraId="7BF5E110" w14:textId="77777777" w:rsidR="00EB626B" w:rsidRPr="00A951F0" w:rsidRDefault="00A951F0">
            <w:pPr>
              <w:spacing w:line="360" w:lineRule="auto"/>
              <w:rPr>
                <w:b/>
                <w:bCs/>
              </w:rPr>
            </w:pPr>
            <w:r w:rsidRPr="00A951F0">
              <w:rPr>
                <w:rFonts w:hint="cs"/>
                <w:rtl/>
              </w:rPr>
              <w:t>מדינת ישראל</w:t>
            </w:r>
          </w:p>
        </w:tc>
        <w:tc>
          <w:tcPr>
            <w:tcW w:w="4321" w:type="dxa"/>
            <w:tcBorders>
              <w:top w:val="nil"/>
              <w:left w:val="nil"/>
              <w:bottom w:val="nil"/>
              <w:right w:val="nil"/>
            </w:tcBorders>
            <w:vAlign w:val="bottom"/>
          </w:tcPr>
          <w:p w14:paraId="22C81D53" w14:textId="77777777" w:rsidR="00EB626B" w:rsidRPr="00A951F0" w:rsidRDefault="00A951F0">
            <w:pPr>
              <w:rPr>
                <w:rFonts w:ascii="Arial" w:hAnsi="Arial"/>
              </w:rPr>
            </w:pPr>
            <w:r w:rsidRPr="00A951F0">
              <w:rPr>
                <w:rFonts w:ascii="Arial" w:hAnsi="Arial" w:hint="cs"/>
                <w:b/>
                <w:bCs/>
                <w:rtl/>
              </w:rPr>
              <w:t>ה</w:t>
            </w:r>
            <w:r w:rsidRPr="00A951F0">
              <w:rPr>
                <w:rFonts w:hint="cs"/>
                <w:rtl/>
              </w:rPr>
              <w:t>מאשימה</w:t>
            </w:r>
          </w:p>
        </w:tc>
      </w:tr>
      <w:bookmarkEnd w:id="1"/>
      <w:tr w:rsidR="00EB626B" w:rsidRPr="00A951F0" w14:paraId="53BB8B35" w14:textId="77777777">
        <w:trPr>
          <w:gridBefore w:val="1"/>
          <w:wBefore w:w="333" w:type="dxa"/>
          <w:trHeight w:val="355"/>
          <w:jc w:val="center"/>
        </w:trPr>
        <w:tc>
          <w:tcPr>
            <w:tcW w:w="841" w:type="dxa"/>
            <w:tcBorders>
              <w:top w:val="nil"/>
              <w:left w:val="nil"/>
              <w:bottom w:val="nil"/>
              <w:right w:val="nil"/>
            </w:tcBorders>
          </w:tcPr>
          <w:p w14:paraId="5DE96F31" w14:textId="77777777" w:rsidR="00EB626B" w:rsidRPr="00A951F0" w:rsidRDefault="00EB626B">
            <w:pPr>
              <w:jc w:val="both"/>
              <w:rPr>
                <w:rFonts w:ascii="Arial" w:hAnsi="Arial" w:cs="FrankRuehl"/>
                <w:sz w:val="28"/>
                <w:szCs w:val="28"/>
                <w:rtl/>
              </w:rPr>
            </w:pPr>
          </w:p>
        </w:tc>
        <w:tc>
          <w:tcPr>
            <w:tcW w:w="8026" w:type="dxa"/>
            <w:gridSpan w:val="2"/>
            <w:tcBorders>
              <w:top w:val="nil"/>
              <w:left w:val="nil"/>
              <w:bottom w:val="nil"/>
              <w:right w:val="nil"/>
            </w:tcBorders>
          </w:tcPr>
          <w:p w14:paraId="5F5BA54F" w14:textId="77777777" w:rsidR="00EB626B" w:rsidRPr="00A951F0" w:rsidRDefault="00EB626B">
            <w:pPr>
              <w:jc w:val="center"/>
              <w:rPr>
                <w:rFonts w:ascii="Arial" w:hAnsi="Arial"/>
                <w:b/>
                <w:bCs/>
                <w:rtl/>
              </w:rPr>
            </w:pPr>
          </w:p>
          <w:p w14:paraId="59E1A0DD" w14:textId="77777777" w:rsidR="00EB626B" w:rsidRPr="00A951F0" w:rsidRDefault="00A951F0">
            <w:pPr>
              <w:jc w:val="center"/>
              <w:rPr>
                <w:rFonts w:ascii="Arial" w:hAnsi="Arial"/>
                <w:b/>
                <w:bCs/>
                <w:rtl/>
              </w:rPr>
            </w:pPr>
            <w:r w:rsidRPr="00A951F0">
              <w:rPr>
                <w:rFonts w:ascii="Arial" w:hAnsi="Arial"/>
                <w:b/>
                <w:bCs/>
                <w:rtl/>
              </w:rPr>
              <w:t>נ</w:t>
            </w:r>
            <w:r w:rsidRPr="00A951F0">
              <w:rPr>
                <w:rFonts w:ascii="Arial" w:hAnsi="Arial" w:hint="cs"/>
                <w:b/>
                <w:bCs/>
                <w:rtl/>
              </w:rPr>
              <w:t xml:space="preserve"> </w:t>
            </w:r>
            <w:r w:rsidRPr="00A951F0">
              <w:rPr>
                <w:rFonts w:ascii="Arial" w:hAnsi="Arial"/>
                <w:b/>
                <w:bCs/>
                <w:rtl/>
              </w:rPr>
              <w:t>ג</w:t>
            </w:r>
            <w:r w:rsidRPr="00A951F0">
              <w:rPr>
                <w:rFonts w:ascii="Arial" w:hAnsi="Arial" w:hint="cs"/>
                <w:b/>
                <w:bCs/>
                <w:rtl/>
              </w:rPr>
              <w:t xml:space="preserve"> </w:t>
            </w:r>
            <w:r w:rsidRPr="00A951F0">
              <w:rPr>
                <w:rFonts w:ascii="Arial" w:hAnsi="Arial"/>
                <w:b/>
                <w:bCs/>
                <w:rtl/>
              </w:rPr>
              <w:t>ד</w:t>
            </w:r>
          </w:p>
          <w:p w14:paraId="3FE51DF8" w14:textId="77777777" w:rsidR="00EB626B" w:rsidRPr="00A951F0" w:rsidRDefault="00EB626B">
            <w:pPr>
              <w:jc w:val="both"/>
              <w:rPr>
                <w:rFonts w:ascii="Arial" w:hAnsi="Arial"/>
              </w:rPr>
            </w:pPr>
          </w:p>
        </w:tc>
      </w:tr>
      <w:tr w:rsidR="00EB626B" w:rsidRPr="00A951F0" w14:paraId="15C1CF4B" w14:textId="77777777">
        <w:trPr>
          <w:gridBefore w:val="1"/>
          <w:wBefore w:w="333" w:type="dxa"/>
          <w:trHeight w:val="355"/>
          <w:jc w:val="center"/>
        </w:trPr>
        <w:tc>
          <w:tcPr>
            <w:tcW w:w="841" w:type="dxa"/>
            <w:tcBorders>
              <w:top w:val="nil"/>
              <w:left w:val="nil"/>
              <w:bottom w:val="nil"/>
              <w:right w:val="nil"/>
            </w:tcBorders>
          </w:tcPr>
          <w:p w14:paraId="5CD86178" w14:textId="77777777" w:rsidR="00EB626B" w:rsidRPr="00A951F0" w:rsidRDefault="00EB626B">
            <w:pPr>
              <w:jc w:val="both"/>
              <w:rPr>
                <w:rFonts w:ascii="Arial" w:hAnsi="Arial" w:cs="FrankRuehl"/>
                <w:sz w:val="28"/>
                <w:szCs w:val="28"/>
                <w:rtl/>
              </w:rPr>
            </w:pPr>
          </w:p>
        </w:tc>
        <w:tc>
          <w:tcPr>
            <w:tcW w:w="3705" w:type="dxa"/>
            <w:tcBorders>
              <w:top w:val="nil"/>
              <w:left w:val="nil"/>
              <w:bottom w:val="nil"/>
              <w:right w:val="nil"/>
            </w:tcBorders>
          </w:tcPr>
          <w:p w14:paraId="7420240A" w14:textId="77777777" w:rsidR="00EB626B" w:rsidRPr="00A951F0" w:rsidRDefault="00A951F0">
            <w:pPr>
              <w:spacing w:line="360" w:lineRule="auto"/>
              <w:rPr>
                <w:b/>
                <w:bCs/>
                <w:rtl/>
              </w:rPr>
            </w:pPr>
            <w:r w:rsidRPr="00A951F0">
              <w:rPr>
                <w:rFonts w:hint="cs"/>
                <w:rtl/>
              </w:rPr>
              <w:t>1</w:t>
            </w:r>
            <w:r w:rsidRPr="00A951F0">
              <w:rPr>
                <w:rFonts w:ascii="Arial" w:hAnsi="Arial" w:hint="cs"/>
                <w:b/>
                <w:bCs/>
                <w:rtl/>
              </w:rPr>
              <w:t>.</w:t>
            </w:r>
            <w:r w:rsidRPr="00A951F0">
              <w:rPr>
                <w:rFonts w:hint="cs"/>
                <w:rtl/>
              </w:rPr>
              <w:t xml:space="preserve">מחמד סעיד כאלוחי </w:t>
            </w:r>
          </w:p>
          <w:p w14:paraId="10137F9C" w14:textId="77777777" w:rsidR="00EB626B" w:rsidRPr="00A951F0" w:rsidRDefault="00A951F0">
            <w:pPr>
              <w:spacing w:line="360" w:lineRule="auto"/>
              <w:rPr>
                <w:b/>
                <w:bCs/>
                <w:rtl/>
              </w:rPr>
            </w:pPr>
            <w:r w:rsidRPr="00A951F0">
              <w:rPr>
                <w:rFonts w:hint="cs"/>
                <w:rtl/>
              </w:rPr>
              <w:t>2</w:t>
            </w:r>
            <w:r w:rsidRPr="00A951F0">
              <w:rPr>
                <w:rFonts w:ascii="Arial" w:hAnsi="Arial" w:hint="cs"/>
                <w:b/>
                <w:bCs/>
                <w:rtl/>
              </w:rPr>
              <w:t>.</w:t>
            </w:r>
            <w:r w:rsidRPr="00A951F0">
              <w:rPr>
                <w:rFonts w:hint="cs"/>
                <w:rtl/>
              </w:rPr>
              <w:t xml:space="preserve">אימן פקיה </w:t>
            </w:r>
          </w:p>
        </w:tc>
        <w:tc>
          <w:tcPr>
            <w:tcW w:w="4321" w:type="dxa"/>
            <w:tcBorders>
              <w:top w:val="nil"/>
              <w:left w:val="nil"/>
              <w:bottom w:val="nil"/>
              <w:right w:val="nil"/>
            </w:tcBorders>
            <w:vAlign w:val="bottom"/>
          </w:tcPr>
          <w:p w14:paraId="57132D68" w14:textId="77777777" w:rsidR="00EB626B" w:rsidRPr="00A951F0" w:rsidRDefault="00A951F0">
            <w:pPr>
              <w:rPr>
                <w:rFonts w:ascii="Arial" w:hAnsi="Arial"/>
              </w:rPr>
            </w:pPr>
            <w:r w:rsidRPr="00A951F0">
              <w:rPr>
                <w:rFonts w:ascii="Arial" w:hAnsi="Arial" w:hint="cs"/>
                <w:b/>
                <w:bCs/>
                <w:rtl/>
              </w:rPr>
              <w:t>הנאשמים</w:t>
            </w:r>
          </w:p>
        </w:tc>
      </w:tr>
      <w:tr w:rsidR="00EB626B" w:rsidRPr="00A951F0" w14:paraId="4EB4B17A" w14:textId="77777777">
        <w:trPr>
          <w:trHeight w:val="355"/>
          <w:jc w:val="center"/>
        </w:trPr>
        <w:tc>
          <w:tcPr>
            <w:tcW w:w="9200" w:type="dxa"/>
            <w:gridSpan w:val="4"/>
            <w:tcBorders>
              <w:top w:val="nil"/>
              <w:left w:val="nil"/>
              <w:bottom w:val="nil"/>
              <w:right w:val="nil"/>
            </w:tcBorders>
          </w:tcPr>
          <w:p w14:paraId="473A21EC" w14:textId="77777777" w:rsidR="00EB626B" w:rsidRPr="00A951F0" w:rsidRDefault="00EB626B">
            <w:pPr>
              <w:rPr>
                <w:rFonts w:ascii="Arial" w:hAnsi="Arial"/>
                <w:rtl/>
              </w:rPr>
            </w:pPr>
            <w:bookmarkStart w:id="2" w:name="FirstLawyer"/>
          </w:p>
          <w:p w14:paraId="1C3444FC" w14:textId="77777777" w:rsidR="00EB626B" w:rsidRPr="00A951F0" w:rsidRDefault="00A951F0">
            <w:pPr>
              <w:rPr>
                <w:rFonts w:ascii="Arial" w:hAnsi="Arial"/>
                <w:rtl/>
              </w:rPr>
            </w:pPr>
            <w:r w:rsidRPr="00A951F0">
              <w:rPr>
                <w:rFonts w:ascii="Arial" w:hAnsi="Arial" w:hint="cs"/>
                <w:rtl/>
              </w:rPr>
              <w:t xml:space="preserve">נוכחים: </w:t>
            </w:r>
          </w:p>
          <w:p w14:paraId="1C4740C1" w14:textId="77777777" w:rsidR="00EB626B" w:rsidRPr="00A951F0" w:rsidRDefault="00A951F0">
            <w:pPr>
              <w:rPr>
                <w:rFonts w:ascii="Arial" w:hAnsi="Arial"/>
                <w:rtl/>
              </w:rPr>
            </w:pPr>
            <w:r w:rsidRPr="00A951F0">
              <w:rPr>
                <w:rFonts w:ascii="Arial" w:hAnsi="Arial" w:hint="cs"/>
                <w:rtl/>
              </w:rPr>
              <w:t>ב"כ המאשימה – עו"ד בניטה</w:t>
            </w:r>
          </w:p>
          <w:p w14:paraId="748BF158" w14:textId="77777777" w:rsidR="00EB626B" w:rsidRPr="00A951F0" w:rsidRDefault="00A951F0">
            <w:pPr>
              <w:rPr>
                <w:rFonts w:ascii="Arial" w:hAnsi="Arial"/>
                <w:rtl/>
              </w:rPr>
            </w:pPr>
            <w:r w:rsidRPr="00A951F0">
              <w:rPr>
                <w:rFonts w:ascii="Arial" w:hAnsi="Arial" w:hint="cs"/>
                <w:rtl/>
              </w:rPr>
              <w:t xml:space="preserve">הנאשם 1 ובא כוחו עו"ד פראג' </w:t>
            </w:r>
          </w:p>
          <w:p w14:paraId="37B6B6E1" w14:textId="77777777" w:rsidR="00EB626B" w:rsidRPr="00A951F0" w:rsidRDefault="00A951F0">
            <w:pPr>
              <w:rPr>
                <w:rFonts w:ascii="Arial" w:hAnsi="Arial"/>
                <w:rtl/>
              </w:rPr>
            </w:pPr>
            <w:r w:rsidRPr="00A951F0">
              <w:rPr>
                <w:rFonts w:ascii="Arial" w:hAnsi="Arial" w:hint="cs"/>
                <w:rtl/>
              </w:rPr>
              <w:t xml:space="preserve">הנאשם 2 ובא כוחו עו"ד בלום </w:t>
            </w:r>
          </w:p>
          <w:p w14:paraId="77929D97" w14:textId="77777777" w:rsidR="00EB626B" w:rsidRPr="00A951F0" w:rsidRDefault="00A951F0" w:rsidP="00E9414E">
            <w:pPr>
              <w:rPr>
                <w:rFonts w:ascii="Arial" w:hAnsi="Arial"/>
                <w:sz w:val="36"/>
                <w:szCs w:val="36"/>
              </w:rPr>
            </w:pPr>
            <w:r w:rsidRPr="00A951F0">
              <w:rPr>
                <w:rFonts w:ascii="Arial" w:hAnsi="Arial" w:hint="cs"/>
                <w:rtl/>
              </w:rPr>
              <w:t xml:space="preserve">מתורגמנית בית המשפט </w:t>
            </w:r>
          </w:p>
        </w:tc>
      </w:tr>
    </w:tbl>
    <w:p w14:paraId="05096679" w14:textId="77777777" w:rsidR="00891370" w:rsidRDefault="00891370" w:rsidP="00A951F0">
      <w:pPr>
        <w:spacing w:line="480" w:lineRule="auto"/>
        <w:ind w:left="510" w:hanging="510"/>
        <w:jc w:val="center"/>
        <w:rPr>
          <w:rFonts w:ascii="Arial" w:hAnsi="Arial"/>
          <w:sz w:val="36"/>
          <w:szCs w:val="36"/>
          <w:rtl/>
        </w:rPr>
      </w:pPr>
      <w:bookmarkStart w:id="3" w:name="PsakDin"/>
      <w:bookmarkStart w:id="4" w:name="LawTable"/>
      <w:bookmarkEnd w:id="0"/>
      <w:bookmarkEnd w:id="2"/>
      <w:bookmarkEnd w:id="4"/>
    </w:p>
    <w:p w14:paraId="54ACD891" w14:textId="77777777" w:rsidR="00891370" w:rsidRPr="00891370" w:rsidRDefault="00891370" w:rsidP="00891370">
      <w:pPr>
        <w:spacing w:after="120" w:line="240" w:lineRule="exact"/>
        <w:ind w:left="283" w:hanging="283"/>
        <w:jc w:val="both"/>
        <w:rPr>
          <w:rFonts w:ascii="FrankRuehl" w:hAnsi="FrankRuehl" w:cs="FrankRuehl"/>
          <w:rtl/>
        </w:rPr>
      </w:pPr>
    </w:p>
    <w:p w14:paraId="05FD1DC1" w14:textId="77777777" w:rsidR="00891370" w:rsidRPr="00891370" w:rsidRDefault="00891370" w:rsidP="00891370">
      <w:pPr>
        <w:spacing w:after="120" w:line="240" w:lineRule="exact"/>
        <w:ind w:left="283" w:hanging="283"/>
        <w:jc w:val="both"/>
        <w:rPr>
          <w:rFonts w:ascii="FrankRuehl" w:hAnsi="FrankRuehl" w:cs="FrankRuehl"/>
          <w:rtl/>
        </w:rPr>
      </w:pPr>
      <w:r w:rsidRPr="00891370">
        <w:rPr>
          <w:rFonts w:ascii="FrankRuehl" w:hAnsi="FrankRuehl" w:cs="FrankRuehl"/>
          <w:rtl/>
        </w:rPr>
        <w:t xml:space="preserve">חקיקה שאוזכרה: </w:t>
      </w:r>
    </w:p>
    <w:p w14:paraId="5A6B17E1" w14:textId="77777777" w:rsidR="00891370" w:rsidRPr="00891370" w:rsidRDefault="00891370" w:rsidP="00891370">
      <w:pPr>
        <w:spacing w:after="120" w:line="240" w:lineRule="exact"/>
        <w:ind w:left="283" w:hanging="283"/>
        <w:jc w:val="both"/>
        <w:rPr>
          <w:rFonts w:ascii="FrankRuehl" w:hAnsi="FrankRuehl" w:cs="FrankRuehl"/>
          <w:rtl/>
        </w:rPr>
      </w:pPr>
      <w:hyperlink r:id="rId6" w:history="1">
        <w:r w:rsidRPr="00891370">
          <w:rPr>
            <w:rFonts w:ascii="FrankRuehl" w:hAnsi="FrankRuehl" w:cs="FrankRuehl"/>
            <w:color w:val="0000FF"/>
            <w:u w:val="single"/>
            <w:rtl/>
          </w:rPr>
          <w:t>חוק העונשין, תשל"ז-1977</w:t>
        </w:r>
      </w:hyperlink>
      <w:r w:rsidRPr="00891370">
        <w:rPr>
          <w:rFonts w:ascii="FrankRuehl" w:hAnsi="FrankRuehl" w:cs="FrankRuehl"/>
          <w:rtl/>
        </w:rPr>
        <w:t xml:space="preserve">: סע'  </w:t>
      </w:r>
      <w:hyperlink r:id="rId7" w:history="1">
        <w:r w:rsidRPr="00891370">
          <w:rPr>
            <w:rFonts w:ascii="FrankRuehl" w:hAnsi="FrankRuehl" w:cs="FrankRuehl"/>
            <w:color w:val="0000FF"/>
            <w:u w:val="single"/>
            <w:rtl/>
          </w:rPr>
          <w:t>25</w:t>
        </w:r>
      </w:hyperlink>
      <w:r w:rsidRPr="00891370">
        <w:rPr>
          <w:rFonts w:ascii="FrankRuehl" w:hAnsi="FrankRuehl" w:cs="FrankRuehl"/>
          <w:rtl/>
        </w:rPr>
        <w:t xml:space="preserve">, </w:t>
      </w:r>
      <w:hyperlink r:id="rId8" w:history="1">
        <w:r w:rsidRPr="00891370">
          <w:rPr>
            <w:rFonts w:ascii="FrankRuehl" w:hAnsi="FrankRuehl" w:cs="FrankRuehl"/>
            <w:color w:val="0000FF"/>
            <w:u w:val="single"/>
            <w:rtl/>
          </w:rPr>
          <w:t>29(א)</w:t>
        </w:r>
      </w:hyperlink>
      <w:r w:rsidRPr="00891370">
        <w:rPr>
          <w:rFonts w:ascii="FrankRuehl" w:hAnsi="FrankRuehl" w:cs="FrankRuehl"/>
          <w:rtl/>
        </w:rPr>
        <w:t xml:space="preserve">, </w:t>
      </w:r>
      <w:hyperlink r:id="rId9" w:history="1">
        <w:r w:rsidRPr="00891370">
          <w:rPr>
            <w:rFonts w:ascii="FrankRuehl" w:hAnsi="FrankRuehl" w:cs="FrankRuehl"/>
            <w:color w:val="0000FF"/>
            <w:u w:val="single"/>
            <w:rtl/>
          </w:rPr>
          <w:t>144(א)</w:t>
        </w:r>
      </w:hyperlink>
      <w:r w:rsidRPr="00891370">
        <w:rPr>
          <w:rFonts w:ascii="FrankRuehl" w:hAnsi="FrankRuehl" w:cs="FrankRuehl"/>
          <w:rtl/>
        </w:rPr>
        <w:t xml:space="preserve">, </w:t>
      </w:r>
      <w:hyperlink r:id="rId10" w:history="1">
        <w:r w:rsidRPr="00891370">
          <w:rPr>
            <w:rFonts w:ascii="FrankRuehl" w:hAnsi="FrankRuehl" w:cs="FrankRuehl"/>
            <w:color w:val="0000FF"/>
            <w:u w:val="single"/>
            <w:rtl/>
          </w:rPr>
          <w:t>275</w:t>
        </w:r>
      </w:hyperlink>
      <w:r w:rsidRPr="00891370">
        <w:rPr>
          <w:rFonts w:ascii="FrankRuehl" w:hAnsi="FrankRuehl" w:cs="FrankRuehl"/>
          <w:rtl/>
        </w:rPr>
        <w:t xml:space="preserve">, </w:t>
      </w:r>
      <w:hyperlink r:id="rId11" w:history="1">
        <w:r w:rsidRPr="00891370">
          <w:rPr>
            <w:rFonts w:ascii="FrankRuehl" w:hAnsi="FrankRuehl" w:cs="FrankRuehl"/>
            <w:color w:val="0000FF"/>
            <w:u w:val="single"/>
            <w:rtl/>
          </w:rPr>
          <w:t>287(א)</w:t>
        </w:r>
      </w:hyperlink>
      <w:r w:rsidRPr="00891370">
        <w:rPr>
          <w:rFonts w:ascii="FrankRuehl" w:hAnsi="FrankRuehl" w:cs="FrankRuehl"/>
          <w:rtl/>
        </w:rPr>
        <w:t xml:space="preserve">, </w:t>
      </w:r>
      <w:hyperlink r:id="rId12" w:history="1">
        <w:r w:rsidRPr="00891370">
          <w:rPr>
            <w:rFonts w:ascii="FrankRuehl" w:hAnsi="FrankRuehl" w:cs="FrankRuehl"/>
            <w:color w:val="0000FF"/>
            <w:u w:val="single"/>
            <w:rtl/>
          </w:rPr>
          <w:t>338(א)(1)</w:t>
        </w:r>
      </w:hyperlink>
      <w:r w:rsidRPr="00891370">
        <w:rPr>
          <w:rFonts w:ascii="FrankRuehl" w:hAnsi="FrankRuehl" w:cs="FrankRuehl"/>
          <w:rtl/>
        </w:rPr>
        <w:t xml:space="preserve">, </w:t>
      </w:r>
      <w:hyperlink r:id="rId13" w:history="1">
        <w:r w:rsidRPr="00891370">
          <w:rPr>
            <w:rFonts w:ascii="FrankRuehl" w:hAnsi="FrankRuehl" w:cs="FrankRuehl"/>
            <w:color w:val="0000FF"/>
            <w:u w:val="single"/>
            <w:rtl/>
          </w:rPr>
          <w:t>379</w:t>
        </w:r>
      </w:hyperlink>
      <w:r w:rsidRPr="00891370">
        <w:rPr>
          <w:rFonts w:ascii="FrankRuehl" w:hAnsi="FrankRuehl" w:cs="FrankRuehl"/>
          <w:rtl/>
        </w:rPr>
        <w:t xml:space="preserve">, </w:t>
      </w:r>
      <w:hyperlink r:id="rId14" w:history="1">
        <w:r w:rsidRPr="00891370">
          <w:rPr>
            <w:rFonts w:ascii="FrankRuehl" w:hAnsi="FrankRuehl" w:cs="FrankRuehl"/>
            <w:color w:val="0000FF"/>
            <w:u w:val="single"/>
            <w:rtl/>
          </w:rPr>
          <w:t>384</w:t>
        </w:r>
      </w:hyperlink>
      <w:r w:rsidRPr="00891370">
        <w:rPr>
          <w:rFonts w:ascii="FrankRuehl" w:hAnsi="FrankRuehl" w:cs="FrankRuehl"/>
          <w:rtl/>
        </w:rPr>
        <w:t xml:space="preserve">, </w:t>
      </w:r>
      <w:hyperlink r:id="rId15" w:history="1">
        <w:r w:rsidRPr="00891370">
          <w:rPr>
            <w:rFonts w:ascii="FrankRuehl" w:hAnsi="FrankRuehl" w:cs="FrankRuehl"/>
            <w:color w:val="0000FF"/>
            <w:u w:val="single"/>
            <w:rtl/>
          </w:rPr>
          <w:t>406(ב)</w:t>
        </w:r>
      </w:hyperlink>
      <w:r w:rsidRPr="00891370">
        <w:rPr>
          <w:rFonts w:ascii="FrankRuehl" w:hAnsi="FrankRuehl" w:cs="FrankRuehl"/>
          <w:rtl/>
        </w:rPr>
        <w:t xml:space="preserve">, </w:t>
      </w:r>
      <w:hyperlink r:id="rId16" w:history="1">
        <w:r w:rsidRPr="00891370">
          <w:rPr>
            <w:rFonts w:ascii="FrankRuehl" w:hAnsi="FrankRuehl" w:cs="FrankRuehl"/>
            <w:color w:val="0000FF"/>
            <w:u w:val="single"/>
            <w:rtl/>
          </w:rPr>
          <w:t>40יג(ב)</w:t>
        </w:r>
      </w:hyperlink>
      <w:r w:rsidRPr="00891370">
        <w:rPr>
          <w:rFonts w:ascii="FrankRuehl" w:hAnsi="FrankRuehl" w:cs="FrankRuehl"/>
          <w:rtl/>
        </w:rPr>
        <w:t xml:space="preserve">, </w:t>
      </w:r>
      <w:hyperlink r:id="rId17" w:history="1">
        <w:r w:rsidRPr="00891370">
          <w:rPr>
            <w:rFonts w:ascii="FrankRuehl" w:hAnsi="FrankRuehl" w:cs="FrankRuehl"/>
            <w:color w:val="0000FF"/>
            <w:u w:val="single"/>
            <w:rtl/>
          </w:rPr>
          <w:t>413</w:t>
        </w:r>
      </w:hyperlink>
      <w:r w:rsidRPr="00891370">
        <w:rPr>
          <w:rFonts w:ascii="FrankRuehl" w:hAnsi="FrankRuehl" w:cs="FrankRuehl"/>
          <w:rtl/>
        </w:rPr>
        <w:t xml:space="preserve">, </w:t>
      </w:r>
      <w:hyperlink r:id="rId18" w:history="1">
        <w:r w:rsidRPr="00891370">
          <w:rPr>
            <w:rFonts w:ascii="FrankRuehl" w:hAnsi="FrankRuehl" w:cs="FrankRuehl"/>
            <w:color w:val="0000FF"/>
            <w:u w:val="single"/>
            <w:rtl/>
          </w:rPr>
          <w:t>413ט</w:t>
        </w:r>
      </w:hyperlink>
      <w:r w:rsidRPr="00891370">
        <w:rPr>
          <w:rFonts w:ascii="FrankRuehl" w:hAnsi="FrankRuehl" w:cs="FrankRuehl"/>
          <w:rtl/>
        </w:rPr>
        <w:t xml:space="preserve">, </w:t>
      </w:r>
      <w:hyperlink r:id="rId19" w:history="1">
        <w:r w:rsidRPr="00891370">
          <w:rPr>
            <w:rFonts w:ascii="FrankRuehl" w:hAnsi="FrankRuehl" w:cs="FrankRuehl"/>
            <w:color w:val="0000FF"/>
            <w:u w:val="single"/>
            <w:rtl/>
          </w:rPr>
          <w:t>413י</w:t>
        </w:r>
      </w:hyperlink>
      <w:r w:rsidRPr="00891370">
        <w:rPr>
          <w:rFonts w:ascii="FrankRuehl" w:hAnsi="FrankRuehl" w:cs="FrankRuehl"/>
          <w:rtl/>
        </w:rPr>
        <w:t xml:space="preserve">, </w:t>
      </w:r>
      <w:hyperlink r:id="rId20" w:history="1">
        <w:r w:rsidRPr="00891370">
          <w:rPr>
            <w:rFonts w:ascii="FrankRuehl" w:hAnsi="FrankRuehl" w:cs="FrankRuehl"/>
            <w:color w:val="0000FF"/>
            <w:u w:val="single"/>
            <w:rtl/>
          </w:rPr>
          <w:t>452</w:t>
        </w:r>
      </w:hyperlink>
      <w:r w:rsidRPr="00891370">
        <w:rPr>
          <w:rFonts w:ascii="FrankRuehl" w:hAnsi="FrankRuehl" w:cs="FrankRuehl"/>
          <w:rtl/>
        </w:rPr>
        <w:t xml:space="preserve">, </w:t>
      </w:r>
      <w:hyperlink r:id="rId21" w:history="1">
        <w:r w:rsidRPr="00891370">
          <w:rPr>
            <w:rFonts w:ascii="FrankRuehl" w:hAnsi="FrankRuehl" w:cs="FrankRuehl"/>
            <w:color w:val="0000FF"/>
            <w:u w:val="single"/>
            <w:rtl/>
          </w:rPr>
          <w:t>א' לפרק ח'</w:t>
        </w:r>
      </w:hyperlink>
      <w:r w:rsidRPr="00891370">
        <w:rPr>
          <w:rFonts w:ascii="FrankRuehl" w:hAnsi="FrankRuehl" w:cs="FrankRuehl"/>
          <w:rtl/>
        </w:rPr>
        <w:t xml:space="preserve">, </w:t>
      </w:r>
      <w:hyperlink r:id="rId22" w:history="1">
        <w:r w:rsidRPr="00891370">
          <w:rPr>
            <w:rFonts w:ascii="FrankRuehl" w:hAnsi="FrankRuehl" w:cs="FrankRuehl"/>
            <w:color w:val="0000FF"/>
            <w:u w:val="single"/>
            <w:rtl/>
          </w:rPr>
          <w:t>ו ד' לפרק ט'</w:t>
        </w:r>
      </w:hyperlink>
      <w:r w:rsidRPr="00891370">
        <w:rPr>
          <w:rFonts w:ascii="FrankRuehl" w:hAnsi="FrankRuehl" w:cs="FrankRuehl"/>
          <w:rtl/>
        </w:rPr>
        <w:t xml:space="preserve">, </w:t>
      </w:r>
      <w:hyperlink r:id="rId23" w:history="1">
        <w:r w:rsidRPr="00891370">
          <w:rPr>
            <w:rFonts w:ascii="FrankRuehl" w:hAnsi="FrankRuehl" w:cs="FrankRuehl"/>
            <w:color w:val="0000FF"/>
            <w:u w:val="single"/>
            <w:rtl/>
          </w:rPr>
          <w:t>ח' לפרק י'</w:t>
        </w:r>
      </w:hyperlink>
      <w:r w:rsidRPr="00891370">
        <w:rPr>
          <w:rFonts w:ascii="FrankRuehl" w:hAnsi="FrankRuehl" w:cs="FrankRuehl"/>
          <w:rtl/>
        </w:rPr>
        <w:t xml:space="preserve">, </w:t>
      </w:r>
      <w:hyperlink r:id="rId24" w:history="1">
        <w:r w:rsidRPr="00891370">
          <w:rPr>
            <w:rFonts w:ascii="FrankRuehl" w:hAnsi="FrankRuehl" w:cs="FrankRuehl"/>
            <w:color w:val="0000FF"/>
            <w:u w:val="single"/>
            <w:rtl/>
          </w:rPr>
          <w:t>ו ט' לפרק יא</w:t>
        </w:r>
      </w:hyperlink>
    </w:p>
    <w:p w14:paraId="597FF75E" w14:textId="77777777" w:rsidR="00891370" w:rsidRPr="00891370" w:rsidRDefault="00891370" w:rsidP="00891370">
      <w:pPr>
        <w:spacing w:after="120" w:line="240" w:lineRule="exact"/>
        <w:ind w:left="283" w:hanging="283"/>
        <w:jc w:val="both"/>
        <w:rPr>
          <w:rFonts w:ascii="FrankRuehl" w:hAnsi="FrankRuehl" w:cs="FrankRuehl"/>
          <w:rtl/>
        </w:rPr>
      </w:pPr>
    </w:p>
    <w:p w14:paraId="1D41A8D1" w14:textId="77777777" w:rsidR="00891370" w:rsidRPr="00891370" w:rsidRDefault="00891370" w:rsidP="00A951F0">
      <w:pPr>
        <w:spacing w:line="480" w:lineRule="auto"/>
        <w:ind w:left="510" w:hanging="510"/>
        <w:jc w:val="center"/>
        <w:rPr>
          <w:rFonts w:ascii="Arial" w:hAnsi="Arial"/>
          <w:sz w:val="36"/>
          <w:szCs w:val="36"/>
          <w:rtl/>
        </w:rPr>
      </w:pPr>
      <w:bookmarkStart w:id="5" w:name="LawTable_End"/>
      <w:bookmarkEnd w:id="5"/>
    </w:p>
    <w:p w14:paraId="7AF62154" w14:textId="77777777" w:rsidR="00A948FA" w:rsidRPr="00A948FA" w:rsidRDefault="00A948FA" w:rsidP="00A951F0">
      <w:pPr>
        <w:spacing w:line="480" w:lineRule="auto"/>
        <w:ind w:left="510" w:hanging="510"/>
        <w:jc w:val="center"/>
        <w:rPr>
          <w:rFonts w:ascii="Arial" w:hAnsi="Arial"/>
          <w:sz w:val="36"/>
          <w:szCs w:val="36"/>
          <w:rtl/>
        </w:rPr>
      </w:pPr>
    </w:p>
    <w:p w14:paraId="4F6997B0" w14:textId="77777777" w:rsidR="00A951F0" w:rsidRPr="00A951F0" w:rsidRDefault="00A951F0" w:rsidP="00A951F0">
      <w:pPr>
        <w:spacing w:line="480" w:lineRule="auto"/>
        <w:ind w:left="510" w:hanging="510"/>
        <w:jc w:val="center"/>
        <w:rPr>
          <w:rFonts w:ascii="Arial" w:hAnsi="Arial"/>
          <w:b/>
          <w:bCs/>
          <w:sz w:val="36"/>
          <w:szCs w:val="36"/>
          <w:u w:val="single"/>
          <w:rtl/>
        </w:rPr>
      </w:pPr>
      <w:r w:rsidRPr="00A951F0">
        <w:rPr>
          <w:rFonts w:ascii="Arial" w:hAnsi="Arial"/>
          <w:b/>
          <w:bCs/>
          <w:sz w:val="36"/>
          <w:szCs w:val="36"/>
          <w:u w:val="single"/>
          <w:rtl/>
        </w:rPr>
        <w:t>גזר דין</w:t>
      </w:r>
    </w:p>
    <w:bookmarkEnd w:id="3"/>
    <w:p w14:paraId="20ED24AA" w14:textId="77777777" w:rsidR="00EB626B" w:rsidRDefault="00A951F0">
      <w:pPr>
        <w:spacing w:line="480" w:lineRule="auto"/>
        <w:ind w:left="510" w:hanging="510"/>
        <w:jc w:val="both"/>
        <w:rPr>
          <w:b/>
          <w:bCs/>
          <w:u w:val="single"/>
          <w:rtl/>
        </w:rPr>
      </w:pPr>
      <w:r>
        <w:rPr>
          <w:rFonts w:hint="cs"/>
          <w:rtl/>
        </w:rPr>
        <w:t>1.</w:t>
      </w:r>
      <w:r>
        <w:rPr>
          <w:rFonts w:hint="cs"/>
          <w:rtl/>
        </w:rPr>
        <w:tab/>
      </w:r>
      <w:r>
        <w:rPr>
          <w:rFonts w:hint="cs"/>
          <w:b/>
          <w:bCs/>
          <w:u w:val="single"/>
          <w:rtl/>
        </w:rPr>
        <w:t>כללי</w:t>
      </w:r>
    </w:p>
    <w:p w14:paraId="44A44C8C" w14:textId="77777777" w:rsidR="00EB626B" w:rsidRDefault="00EB626B">
      <w:pPr>
        <w:spacing w:line="480" w:lineRule="auto"/>
        <w:ind w:left="510" w:hanging="510"/>
        <w:jc w:val="both"/>
        <w:rPr>
          <w:rtl/>
        </w:rPr>
      </w:pPr>
    </w:p>
    <w:p w14:paraId="6E1978F0" w14:textId="77777777" w:rsidR="00EB626B" w:rsidRDefault="00A951F0">
      <w:pPr>
        <w:spacing w:line="480" w:lineRule="auto"/>
        <w:ind w:left="510"/>
        <w:jc w:val="both"/>
        <w:rPr>
          <w:rtl/>
        </w:rPr>
      </w:pPr>
      <w:r>
        <w:rPr>
          <w:rFonts w:hint="cs"/>
          <w:rtl/>
        </w:rPr>
        <w:t xml:space="preserve">הנאשמים הורשעו על פי הודאתם בכתבי אישום המייחסים להם (לאחר תיקונם; בנפרד ביחס לכל אחד מהנאשמים), מקבץ נרחב של עבירות. המתכונת בה תפורטנה העבירות בהן הורשע כל אחד מהנאשמים תהא כדלקמן. ביחס לכל אישום יפורטו סעיפי העבירות בהן הורשע הנאשם הנדון, לצד העבירה – מתחם הענישה הרלוונטי בגינה, ולאחר זאת, תמצית האירוע. </w:t>
      </w:r>
    </w:p>
    <w:p w14:paraId="62418679" w14:textId="77777777" w:rsidR="00EB626B" w:rsidRDefault="00EB626B">
      <w:pPr>
        <w:spacing w:line="480" w:lineRule="auto"/>
        <w:jc w:val="both"/>
        <w:rPr>
          <w:rtl/>
        </w:rPr>
      </w:pPr>
    </w:p>
    <w:p w14:paraId="06D0B065" w14:textId="77777777" w:rsidR="00EB626B" w:rsidRDefault="00A951F0">
      <w:pPr>
        <w:spacing w:line="480" w:lineRule="auto"/>
        <w:ind w:left="510" w:hanging="510"/>
        <w:jc w:val="both"/>
        <w:rPr>
          <w:b/>
          <w:bCs/>
          <w:u w:val="single"/>
          <w:rtl/>
        </w:rPr>
      </w:pPr>
      <w:r>
        <w:rPr>
          <w:rFonts w:hint="cs"/>
          <w:rtl/>
        </w:rPr>
        <w:t>2.</w:t>
      </w:r>
      <w:r>
        <w:rPr>
          <w:rFonts w:hint="cs"/>
          <w:rtl/>
        </w:rPr>
        <w:tab/>
      </w:r>
      <w:r>
        <w:rPr>
          <w:rFonts w:hint="cs"/>
          <w:b/>
          <w:bCs/>
          <w:u w:val="single"/>
          <w:rtl/>
        </w:rPr>
        <w:t>הנאשם 1</w:t>
      </w:r>
    </w:p>
    <w:p w14:paraId="0F0BBD67" w14:textId="77777777" w:rsidR="00EB626B" w:rsidRDefault="00EB626B">
      <w:pPr>
        <w:spacing w:line="480" w:lineRule="auto"/>
        <w:ind w:left="510" w:hanging="510"/>
        <w:jc w:val="both"/>
        <w:rPr>
          <w:rtl/>
        </w:rPr>
      </w:pPr>
    </w:p>
    <w:p w14:paraId="506DE06C" w14:textId="77777777" w:rsidR="00EB626B" w:rsidRDefault="00A951F0">
      <w:pPr>
        <w:spacing w:line="480" w:lineRule="auto"/>
        <w:ind w:left="510" w:hanging="510"/>
        <w:jc w:val="both"/>
        <w:rPr>
          <w:b/>
          <w:bCs/>
          <w:rtl/>
        </w:rPr>
      </w:pPr>
      <w:r>
        <w:rPr>
          <w:rFonts w:hint="cs"/>
          <w:rtl/>
        </w:rPr>
        <w:tab/>
        <w:t xml:space="preserve">א. </w:t>
      </w:r>
      <w:r>
        <w:rPr>
          <w:rFonts w:hint="cs"/>
          <w:rtl/>
        </w:rPr>
        <w:tab/>
      </w:r>
      <w:bookmarkStart w:id="6" w:name="ABSTRACT_START"/>
      <w:bookmarkEnd w:id="6"/>
      <w:r>
        <w:rPr>
          <w:rFonts w:hint="cs"/>
          <w:u w:val="single"/>
          <w:rtl/>
        </w:rPr>
        <w:t>אישום מספר 1</w:t>
      </w:r>
    </w:p>
    <w:p w14:paraId="22477E6E" w14:textId="77777777" w:rsidR="00EB626B" w:rsidRDefault="00A951F0">
      <w:pPr>
        <w:spacing w:line="480" w:lineRule="auto"/>
        <w:ind w:left="1440"/>
        <w:jc w:val="both"/>
        <w:rPr>
          <w:rtl/>
        </w:rPr>
      </w:pPr>
      <w:r>
        <w:rPr>
          <w:rFonts w:hint="cs"/>
          <w:b/>
          <w:bCs/>
          <w:rtl/>
        </w:rPr>
        <w:t>קבלת רכב או חלקי רכב גנובים</w:t>
      </w:r>
      <w:r>
        <w:rPr>
          <w:rFonts w:hint="cs"/>
          <w:rtl/>
        </w:rPr>
        <w:t xml:space="preserve">, עבירה לפי </w:t>
      </w:r>
      <w:hyperlink r:id="rId25" w:history="1">
        <w:r w:rsidR="00891370" w:rsidRPr="00891370">
          <w:rPr>
            <w:color w:val="0000FF"/>
            <w:u w:val="single"/>
            <w:rtl/>
          </w:rPr>
          <w:t>סעיף 413י</w:t>
        </w:r>
      </w:hyperlink>
      <w:r>
        <w:rPr>
          <w:rFonts w:hint="cs"/>
          <w:rtl/>
        </w:rPr>
        <w:t xml:space="preserve"> ל</w:t>
      </w:r>
      <w:hyperlink r:id="rId26" w:history="1">
        <w:r w:rsidR="00A948FA" w:rsidRPr="00A948FA">
          <w:rPr>
            <w:rStyle w:val="Hyperlink"/>
            <w:rtl/>
          </w:rPr>
          <w:t>חוק העונשין</w:t>
        </w:r>
      </w:hyperlink>
      <w:r>
        <w:rPr>
          <w:rFonts w:hint="cs"/>
          <w:rtl/>
        </w:rPr>
        <w:t>, תשל"ז – 1977 (להלן - "</w:t>
      </w:r>
      <w:r>
        <w:rPr>
          <w:rFonts w:hint="cs"/>
          <w:b/>
          <w:bCs/>
          <w:rtl/>
        </w:rPr>
        <w:t>החוק</w:t>
      </w:r>
      <w:r>
        <w:rPr>
          <w:rFonts w:hint="cs"/>
          <w:rtl/>
        </w:rPr>
        <w:t xml:space="preserve">") + </w:t>
      </w:r>
      <w:hyperlink r:id="rId27" w:history="1">
        <w:r w:rsidR="00891370" w:rsidRPr="00891370">
          <w:rPr>
            <w:color w:val="0000FF"/>
            <w:u w:val="single"/>
            <w:rtl/>
          </w:rPr>
          <w:t>סעיף 29(א)</w:t>
        </w:r>
      </w:hyperlink>
      <w:r>
        <w:rPr>
          <w:rFonts w:hint="cs"/>
          <w:rtl/>
        </w:rPr>
        <w:t xml:space="preserve"> לחוק; מתחם הענישה -  5 - 10 חודשי מאסר. </w:t>
      </w:r>
    </w:p>
    <w:p w14:paraId="2BCA0AB8" w14:textId="77777777" w:rsidR="00EB626B" w:rsidRDefault="00EB626B">
      <w:pPr>
        <w:spacing w:line="480" w:lineRule="auto"/>
        <w:ind w:left="1440"/>
        <w:jc w:val="both"/>
        <w:rPr>
          <w:rtl/>
        </w:rPr>
      </w:pPr>
      <w:bookmarkStart w:id="7" w:name="ABSTRACT_END"/>
      <w:bookmarkEnd w:id="7"/>
    </w:p>
    <w:p w14:paraId="0109F6A3" w14:textId="77777777" w:rsidR="00EB626B" w:rsidRDefault="00A951F0">
      <w:pPr>
        <w:spacing w:line="480" w:lineRule="auto"/>
        <w:ind w:left="1440"/>
        <w:jc w:val="both"/>
        <w:rPr>
          <w:rtl/>
        </w:rPr>
      </w:pPr>
      <w:r>
        <w:rPr>
          <w:rFonts w:hint="cs"/>
          <w:b/>
          <w:bCs/>
          <w:rtl/>
        </w:rPr>
        <w:t>תמצית העבירה</w:t>
      </w:r>
      <w:r>
        <w:rPr>
          <w:rFonts w:hint="cs"/>
          <w:rtl/>
        </w:rPr>
        <w:t xml:space="preserve"> – בתקופה שבין 6.11.2012 עד 28.1.2013, יחד עם הנאשם 2 החזיק הנאשם רכב גנוב הנושא לוחית זהות מזויפת (מסעיף 2 לפרק העובדות עוד משתמע שבאמצעות מכונית זאת בוצעו עבירות רכוש רבות, ואולם, כאמור, מצטמצם אישום זה לכך שהנאשם קיבל/החזיק רכב גנוב כאמור לעיל). </w:t>
      </w:r>
    </w:p>
    <w:p w14:paraId="76476AC2" w14:textId="77777777" w:rsidR="00EB626B" w:rsidRDefault="00EB626B">
      <w:pPr>
        <w:spacing w:line="480" w:lineRule="auto"/>
        <w:ind w:left="1440"/>
        <w:jc w:val="both"/>
        <w:rPr>
          <w:rtl/>
        </w:rPr>
      </w:pPr>
    </w:p>
    <w:p w14:paraId="2CD78060" w14:textId="77777777" w:rsidR="00EB626B" w:rsidRDefault="00A951F0">
      <w:pPr>
        <w:spacing w:line="480" w:lineRule="auto"/>
        <w:ind w:left="720"/>
        <w:jc w:val="both"/>
        <w:rPr>
          <w:rtl/>
        </w:rPr>
      </w:pPr>
      <w:r>
        <w:rPr>
          <w:rFonts w:hint="cs"/>
          <w:rtl/>
        </w:rPr>
        <w:t>ב.</w:t>
      </w:r>
      <w:r>
        <w:rPr>
          <w:rFonts w:hint="cs"/>
          <w:rtl/>
        </w:rPr>
        <w:tab/>
      </w:r>
      <w:r>
        <w:rPr>
          <w:rFonts w:hint="cs"/>
          <w:u w:val="single"/>
          <w:rtl/>
        </w:rPr>
        <w:t>אישום מספר 2</w:t>
      </w:r>
    </w:p>
    <w:p w14:paraId="6264B778" w14:textId="77777777" w:rsidR="00EB626B" w:rsidRDefault="00A951F0">
      <w:pPr>
        <w:spacing w:line="480" w:lineRule="auto"/>
        <w:ind w:left="1440"/>
        <w:jc w:val="both"/>
        <w:rPr>
          <w:rtl/>
        </w:rPr>
      </w:pPr>
      <w:r>
        <w:rPr>
          <w:rFonts w:hint="cs"/>
          <w:b/>
          <w:bCs/>
          <w:rtl/>
        </w:rPr>
        <w:t>התפרצות למגורים לבצע עבירה</w:t>
      </w:r>
      <w:r>
        <w:rPr>
          <w:rFonts w:hint="cs"/>
          <w:rtl/>
        </w:rPr>
        <w:t xml:space="preserve">, עבירה לפי </w:t>
      </w:r>
      <w:hyperlink r:id="rId28" w:history="1">
        <w:r w:rsidR="00891370" w:rsidRPr="00891370">
          <w:rPr>
            <w:color w:val="0000FF"/>
            <w:u w:val="single"/>
            <w:rtl/>
          </w:rPr>
          <w:t>סעיף 406(ב)</w:t>
        </w:r>
      </w:hyperlink>
      <w:r>
        <w:rPr>
          <w:rFonts w:hint="cs"/>
          <w:rtl/>
        </w:rPr>
        <w:t xml:space="preserve"> לחוק + </w:t>
      </w:r>
      <w:hyperlink r:id="rId29" w:history="1">
        <w:r w:rsidR="00891370" w:rsidRPr="00891370">
          <w:rPr>
            <w:color w:val="0000FF"/>
            <w:u w:val="single"/>
            <w:rtl/>
          </w:rPr>
          <w:t>סעיף 29(א)</w:t>
        </w:r>
      </w:hyperlink>
      <w:r>
        <w:rPr>
          <w:rFonts w:hint="cs"/>
          <w:rtl/>
        </w:rPr>
        <w:t xml:space="preserve"> לחוק; </w:t>
      </w:r>
      <w:r>
        <w:rPr>
          <w:rFonts w:hint="cs"/>
          <w:b/>
          <w:bCs/>
          <w:rtl/>
        </w:rPr>
        <w:t>גניבה</w:t>
      </w:r>
      <w:r>
        <w:rPr>
          <w:rFonts w:hint="cs"/>
          <w:rtl/>
        </w:rPr>
        <w:t xml:space="preserve">, עבירה לפי </w:t>
      </w:r>
      <w:hyperlink r:id="rId30" w:history="1">
        <w:r w:rsidR="00891370" w:rsidRPr="00891370">
          <w:rPr>
            <w:color w:val="0000FF"/>
            <w:u w:val="single"/>
            <w:rtl/>
          </w:rPr>
          <w:t>סעיף 384</w:t>
        </w:r>
      </w:hyperlink>
      <w:r>
        <w:rPr>
          <w:rFonts w:hint="cs"/>
          <w:rtl/>
        </w:rPr>
        <w:t xml:space="preserve"> לחוק + </w:t>
      </w:r>
      <w:hyperlink r:id="rId31" w:history="1">
        <w:r w:rsidR="00891370" w:rsidRPr="00891370">
          <w:rPr>
            <w:color w:val="0000FF"/>
            <w:u w:val="single"/>
            <w:rtl/>
          </w:rPr>
          <w:t>סעיף 29(א)</w:t>
        </w:r>
      </w:hyperlink>
      <w:r>
        <w:rPr>
          <w:rFonts w:hint="cs"/>
          <w:rtl/>
        </w:rPr>
        <w:t xml:space="preserve"> לחוק; </w:t>
      </w:r>
      <w:r>
        <w:rPr>
          <w:rFonts w:hint="cs"/>
          <w:b/>
          <w:bCs/>
          <w:rtl/>
        </w:rPr>
        <w:t>זיוף סימני זיהוי של רכב</w:t>
      </w:r>
      <w:r>
        <w:rPr>
          <w:rFonts w:hint="cs"/>
          <w:rtl/>
        </w:rPr>
        <w:t xml:space="preserve">, עבירה לפי </w:t>
      </w:r>
      <w:hyperlink r:id="rId32" w:history="1">
        <w:r w:rsidR="00891370" w:rsidRPr="00891370">
          <w:rPr>
            <w:color w:val="0000FF"/>
            <w:u w:val="single"/>
            <w:rtl/>
          </w:rPr>
          <w:t>סעיף 413ט</w:t>
        </w:r>
      </w:hyperlink>
      <w:r>
        <w:rPr>
          <w:rFonts w:hint="cs"/>
          <w:rtl/>
        </w:rPr>
        <w:t xml:space="preserve"> לחוק + </w:t>
      </w:r>
      <w:hyperlink r:id="rId33" w:history="1">
        <w:r w:rsidR="00891370" w:rsidRPr="00891370">
          <w:rPr>
            <w:color w:val="0000FF"/>
            <w:u w:val="single"/>
            <w:rtl/>
          </w:rPr>
          <w:t>סעיף 29(א)</w:t>
        </w:r>
      </w:hyperlink>
      <w:r>
        <w:rPr>
          <w:rFonts w:hint="cs"/>
          <w:rtl/>
        </w:rPr>
        <w:t xml:space="preserve"> לחוק. מתחם הענישה – 12 - 18 חודשי מאסר. </w:t>
      </w:r>
    </w:p>
    <w:p w14:paraId="4CDF5334" w14:textId="77777777" w:rsidR="00EB626B" w:rsidRDefault="00EB626B">
      <w:pPr>
        <w:spacing w:line="480" w:lineRule="auto"/>
        <w:ind w:left="720"/>
        <w:jc w:val="both"/>
        <w:rPr>
          <w:rtl/>
        </w:rPr>
      </w:pPr>
    </w:p>
    <w:p w14:paraId="2E87DF36" w14:textId="77777777" w:rsidR="00EB626B" w:rsidRDefault="00A951F0">
      <w:pPr>
        <w:spacing w:line="480" w:lineRule="auto"/>
        <w:ind w:left="1440"/>
        <w:jc w:val="both"/>
        <w:rPr>
          <w:rtl/>
        </w:rPr>
      </w:pPr>
      <w:r>
        <w:rPr>
          <w:rFonts w:hint="cs"/>
          <w:b/>
          <w:bCs/>
          <w:rtl/>
        </w:rPr>
        <w:t>תמצית העבירה</w:t>
      </w:r>
      <w:r>
        <w:rPr>
          <w:rFonts w:hint="cs"/>
          <w:rtl/>
        </w:rPr>
        <w:t xml:space="preserve"> – ביום 6.2.2013, בשעות הבוקר, הגיע נאשם זה יחד עם אחרים באמצעות הרכב הגנוב נשוא אישום מספר 1 לבית בישוב קידר, הרימו בכח את דלת התריס של מרפסת הבית אשר היתה נעולה, נכנסו לבית וגנבו מתוכו, ממקומות שונים, רכוש רב שכלל בין היתר תכשיטים, בגדים, שני מחשבים ניידים, כספת שנעקרה מקיר הבית ואשר הכילה בתוכה דרכונים של בני המשפחה, אישורי ויזה לארצות הברית וכסף מזומן. </w:t>
      </w:r>
    </w:p>
    <w:p w14:paraId="2D8AF4FB" w14:textId="77777777" w:rsidR="00EB626B" w:rsidRDefault="00EB626B">
      <w:pPr>
        <w:spacing w:line="480" w:lineRule="auto"/>
        <w:ind w:left="720"/>
        <w:jc w:val="both"/>
        <w:rPr>
          <w:rtl/>
        </w:rPr>
      </w:pPr>
    </w:p>
    <w:p w14:paraId="46E51D45" w14:textId="77777777" w:rsidR="00EB626B" w:rsidRDefault="00A951F0">
      <w:pPr>
        <w:spacing w:line="480" w:lineRule="auto"/>
        <w:ind w:left="720"/>
        <w:jc w:val="both"/>
        <w:rPr>
          <w:u w:val="single"/>
          <w:rtl/>
        </w:rPr>
      </w:pPr>
      <w:r>
        <w:rPr>
          <w:rFonts w:hint="cs"/>
          <w:rtl/>
        </w:rPr>
        <w:tab/>
      </w:r>
      <w:r>
        <w:rPr>
          <w:rFonts w:hint="cs"/>
          <w:u w:val="single"/>
          <w:rtl/>
        </w:rPr>
        <w:t>אישום מספר 3</w:t>
      </w:r>
    </w:p>
    <w:p w14:paraId="5EA0C2F8" w14:textId="77777777" w:rsidR="00EB626B" w:rsidRDefault="00A951F0">
      <w:pPr>
        <w:spacing w:line="480" w:lineRule="auto"/>
        <w:ind w:left="1440"/>
        <w:jc w:val="both"/>
        <w:rPr>
          <w:rtl/>
        </w:rPr>
      </w:pPr>
      <w:r>
        <w:rPr>
          <w:rFonts w:hint="cs"/>
          <w:b/>
          <w:bCs/>
          <w:rtl/>
        </w:rPr>
        <w:lastRenderedPageBreak/>
        <w:t>התפרצות למגורים לבצע עבירה</w:t>
      </w:r>
      <w:r>
        <w:rPr>
          <w:rFonts w:hint="cs"/>
          <w:rtl/>
        </w:rPr>
        <w:t xml:space="preserve">, עבירה לפי </w:t>
      </w:r>
      <w:hyperlink r:id="rId34" w:history="1">
        <w:r w:rsidR="00891370" w:rsidRPr="00891370">
          <w:rPr>
            <w:color w:val="0000FF"/>
            <w:u w:val="single"/>
            <w:rtl/>
          </w:rPr>
          <w:t>סעיף 406(ב)</w:t>
        </w:r>
      </w:hyperlink>
      <w:r>
        <w:rPr>
          <w:rFonts w:hint="cs"/>
          <w:rtl/>
        </w:rPr>
        <w:t xml:space="preserve"> לחוק + </w:t>
      </w:r>
      <w:hyperlink r:id="rId35" w:history="1">
        <w:r w:rsidR="00891370" w:rsidRPr="00891370">
          <w:rPr>
            <w:color w:val="0000FF"/>
            <w:u w:val="single"/>
            <w:rtl/>
          </w:rPr>
          <w:t>סעיף 29(א)</w:t>
        </w:r>
      </w:hyperlink>
      <w:r>
        <w:rPr>
          <w:rFonts w:hint="cs"/>
          <w:rtl/>
        </w:rPr>
        <w:t xml:space="preserve"> לחוק; </w:t>
      </w:r>
      <w:r>
        <w:rPr>
          <w:rFonts w:hint="cs"/>
          <w:b/>
          <w:bCs/>
          <w:rtl/>
        </w:rPr>
        <w:t>גניבה</w:t>
      </w:r>
      <w:r>
        <w:rPr>
          <w:rFonts w:hint="cs"/>
          <w:rtl/>
        </w:rPr>
        <w:t xml:space="preserve">, עבירה לפי </w:t>
      </w:r>
      <w:hyperlink r:id="rId36" w:history="1">
        <w:r w:rsidR="00891370" w:rsidRPr="00891370">
          <w:rPr>
            <w:color w:val="0000FF"/>
            <w:u w:val="single"/>
            <w:rtl/>
          </w:rPr>
          <w:t>סעיף 384</w:t>
        </w:r>
      </w:hyperlink>
      <w:r>
        <w:rPr>
          <w:rFonts w:hint="cs"/>
          <w:rtl/>
        </w:rPr>
        <w:t xml:space="preserve"> לחוק + </w:t>
      </w:r>
      <w:hyperlink r:id="rId37" w:history="1">
        <w:r w:rsidR="00891370" w:rsidRPr="00891370">
          <w:rPr>
            <w:color w:val="0000FF"/>
            <w:u w:val="single"/>
            <w:rtl/>
          </w:rPr>
          <w:t>סעיף 29(א)</w:t>
        </w:r>
      </w:hyperlink>
      <w:r>
        <w:rPr>
          <w:rFonts w:hint="cs"/>
          <w:rtl/>
        </w:rPr>
        <w:t xml:space="preserve"> לחוק; </w:t>
      </w:r>
      <w:r>
        <w:rPr>
          <w:rFonts w:hint="cs"/>
          <w:b/>
          <w:bCs/>
          <w:rtl/>
        </w:rPr>
        <w:t>זיוף סימני זיהוי של רכב</w:t>
      </w:r>
      <w:r>
        <w:rPr>
          <w:rFonts w:hint="cs"/>
          <w:rtl/>
        </w:rPr>
        <w:t xml:space="preserve">, עבירה לפי </w:t>
      </w:r>
      <w:hyperlink r:id="rId38" w:history="1">
        <w:r w:rsidR="00891370" w:rsidRPr="00891370">
          <w:rPr>
            <w:color w:val="0000FF"/>
            <w:u w:val="single"/>
            <w:rtl/>
          </w:rPr>
          <w:t>סעיף 413ט</w:t>
        </w:r>
      </w:hyperlink>
      <w:r>
        <w:rPr>
          <w:rFonts w:hint="cs"/>
          <w:rtl/>
        </w:rPr>
        <w:t xml:space="preserve"> לחוק + </w:t>
      </w:r>
      <w:hyperlink r:id="rId39" w:history="1">
        <w:r w:rsidR="00891370" w:rsidRPr="00891370">
          <w:rPr>
            <w:color w:val="0000FF"/>
            <w:u w:val="single"/>
            <w:rtl/>
          </w:rPr>
          <w:t>סעיף 29(א)</w:t>
        </w:r>
      </w:hyperlink>
      <w:r>
        <w:rPr>
          <w:rFonts w:hint="cs"/>
          <w:rtl/>
        </w:rPr>
        <w:t xml:space="preserve"> לחוק; </w:t>
      </w:r>
      <w:r>
        <w:rPr>
          <w:rFonts w:hint="cs"/>
          <w:b/>
          <w:bCs/>
          <w:rtl/>
        </w:rPr>
        <w:t>רכישת/החזקת נשק שלא כדין</w:t>
      </w:r>
      <w:r>
        <w:rPr>
          <w:rFonts w:hint="cs"/>
          <w:rtl/>
        </w:rPr>
        <w:t xml:space="preserve"> – עבירה לפי </w:t>
      </w:r>
      <w:hyperlink r:id="rId40" w:history="1">
        <w:r w:rsidR="00891370" w:rsidRPr="00891370">
          <w:rPr>
            <w:color w:val="0000FF"/>
            <w:u w:val="single"/>
            <w:rtl/>
          </w:rPr>
          <w:t>סעיף 144(א)</w:t>
        </w:r>
      </w:hyperlink>
      <w:r>
        <w:rPr>
          <w:rFonts w:hint="cs"/>
          <w:rtl/>
        </w:rPr>
        <w:t xml:space="preserve"> לחוק + </w:t>
      </w:r>
      <w:hyperlink r:id="rId41" w:history="1">
        <w:r w:rsidR="00891370" w:rsidRPr="00891370">
          <w:rPr>
            <w:color w:val="0000FF"/>
            <w:u w:val="single"/>
            <w:rtl/>
          </w:rPr>
          <w:t>סעיף 29(א)</w:t>
        </w:r>
      </w:hyperlink>
      <w:r>
        <w:rPr>
          <w:rFonts w:hint="cs"/>
          <w:rtl/>
        </w:rPr>
        <w:t xml:space="preserve"> לחוק. מתחם הענישה – 18 - 24 חודשי מאסר. </w:t>
      </w:r>
      <w:r>
        <w:rPr>
          <w:rFonts w:hint="cs"/>
        </w:rPr>
        <w:t xml:space="preserve"> </w:t>
      </w:r>
    </w:p>
    <w:p w14:paraId="58649B4E" w14:textId="77777777" w:rsidR="00EB626B" w:rsidRDefault="00EB626B">
      <w:pPr>
        <w:spacing w:line="480" w:lineRule="auto"/>
        <w:ind w:left="1440"/>
        <w:jc w:val="both"/>
        <w:rPr>
          <w:rtl/>
        </w:rPr>
      </w:pPr>
    </w:p>
    <w:p w14:paraId="26A6D8CD" w14:textId="77777777" w:rsidR="00EB626B" w:rsidRDefault="00A951F0">
      <w:pPr>
        <w:spacing w:line="480" w:lineRule="auto"/>
        <w:ind w:left="1440"/>
        <w:jc w:val="both"/>
        <w:rPr>
          <w:rtl/>
        </w:rPr>
      </w:pPr>
      <w:r>
        <w:rPr>
          <w:rFonts w:hint="cs"/>
          <w:b/>
          <w:bCs/>
          <w:rtl/>
        </w:rPr>
        <w:t>תמצית העבירה</w:t>
      </w:r>
      <w:r>
        <w:rPr>
          <w:rFonts w:hint="cs"/>
          <w:rtl/>
        </w:rPr>
        <w:t xml:space="preserve"> – ביום 6.2.2013, בשעות הבוקר, הגיע נאשם זה יחד עם אחרים באמצעות הרכב הגנוב נשוא אישום מספר 1 לבית בישוב קידר, הרימו בכח את דלת התריס של מרפסת הבית אשר היתה נעולה, נכנסו לבית וגנבו מתוכו ממקומות שונים, רכוש רב שכלל בין היתר אקדח מסוג יריחו, שלוש מחסניות ונרתיק לאקדח, לפטופ, שני טאבלטים, אייפד, אייפון, מצלמת סטילס, תכשיטים מזהב ויהלומים וכסף מזומן. </w:t>
      </w:r>
    </w:p>
    <w:p w14:paraId="69D805AA" w14:textId="77777777" w:rsidR="00EB626B" w:rsidRDefault="00EB626B">
      <w:pPr>
        <w:spacing w:line="480" w:lineRule="auto"/>
        <w:ind w:left="1440"/>
        <w:jc w:val="both"/>
        <w:rPr>
          <w:rtl/>
        </w:rPr>
      </w:pPr>
    </w:p>
    <w:p w14:paraId="1F5E38C1" w14:textId="77777777" w:rsidR="00EB626B" w:rsidRDefault="00A951F0">
      <w:pPr>
        <w:spacing w:line="480" w:lineRule="auto"/>
        <w:ind w:left="1440"/>
        <w:jc w:val="both"/>
        <w:rPr>
          <w:u w:val="single"/>
          <w:rtl/>
        </w:rPr>
      </w:pPr>
      <w:r>
        <w:rPr>
          <w:rFonts w:hint="cs"/>
          <w:u w:val="single"/>
          <w:rtl/>
        </w:rPr>
        <w:t>אישום מספר 4</w:t>
      </w:r>
    </w:p>
    <w:p w14:paraId="7CB41076" w14:textId="77777777" w:rsidR="00EB626B" w:rsidRDefault="00A951F0">
      <w:pPr>
        <w:spacing w:line="480" w:lineRule="auto"/>
        <w:ind w:left="1440"/>
        <w:jc w:val="both"/>
        <w:rPr>
          <w:rtl/>
        </w:rPr>
      </w:pPr>
      <w:r>
        <w:rPr>
          <w:rFonts w:hint="cs"/>
          <w:b/>
          <w:bCs/>
          <w:rtl/>
        </w:rPr>
        <w:t xml:space="preserve">נהיגה פוחזת של רכב, </w:t>
      </w:r>
      <w:r>
        <w:rPr>
          <w:rFonts w:hint="cs"/>
          <w:rtl/>
        </w:rPr>
        <w:t xml:space="preserve">עבירה לפי </w:t>
      </w:r>
      <w:hyperlink r:id="rId42" w:history="1">
        <w:r w:rsidR="00891370" w:rsidRPr="00891370">
          <w:rPr>
            <w:color w:val="0000FF"/>
            <w:u w:val="single"/>
            <w:rtl/>
          </w:rPr>
          <w:t>סעיף 338(א)(1)</w:t>
        </w:r>
      </w:hyperlink>
      <w:r>
        <w:rPr>
          <w:rFonts w:hint="cs"/>
          <w:rtl/>
        </w:rPr>
        <w:t xml:space="preserve"> לחוק; </w:t>
      </w:r>
      <w:r>
        <w:rPr>
          <w:rFonts w:hint="cs"/>
          <w:b/>
          <w:bCs/>
          <w:rtl/>
        </w:rPr>
        <w:t>הפרעת שוטר במילוי תפקידו</w:t>
      </w:r>
      <w:r>
        <w:rPr>
          <w:rFonts w:hint="cs"/>
          <w:rtl/>
        </w:rPr>
        <w:t xml:space="preserve">, עבירה לפי </w:t>
      </w:r>
      <w:hyperlink r:id="rId43" w:history="1">
        <w:r w:rsidR="00891370" w:rsidRPr="00891370">
          <w:rPr>
            <w:color w:val="0000FF"/>
            <w:u w:val="single"/>
            <w:rtl/>
          </w:rPr>
          <w:t>סעיף 275</w:t>
        </w:r>
      </w:hyperlink>
      <w:r>
        <w:rPr>
          <w:rFonts w:hint="cs"/>
          <w:rtl/>
        </w:rPr>
        <w:t xml:space="preserve"> לחוק; </w:t>
      </w:r>
      <w:r>
        <w:rPr>
          <w:rFonts w:hint="cs"/>
          <w:b/>
          <w:bCs/>
          <w:rtl/>
        </w:rPr>
        <w:t>החזקת נכס חשוד כגנוב</w:t>
      </w:r>
      <w:r>
        <w:rPr>
          <w:rFonts w:hint="cs"/>
          <w:rtl/>
        </w:rPr>
        <w:t xml:space="preserve">, עבירה לפי </w:t>
      </w:r>
      <w:hyperlink r:id="rId44" w:history="1">
        <w:r w:rsidR="00891370" w:rsidRPr="00891370">
          <w:rPr>
            <w:color w:val="0000FF"/>
            <w:u w:val="single"/>
            <w:rtl/>
          </w:rPr>
          <w:t>סעיף 413</w:t>
        </w:r>
      </w:hyperlink>
      <w:r>
        <w:rPr>
          <w:rFonts w:hint="cs"/>
          <w:rtl/>
        </w:rPr>
        <w:t xml:space="preserve"> לחוק. מתחם הענישה – 10 - 16 חודשי מאסר.  </w:t>
      </w:r>
    </w:p>
    <w:p w14:paraId="22E88298" w14:textId="77777777" w:rsidR="00EB626B" w:rsidRDefault="00EB626B">
      <w:pPr>
        <w:spacing w:line="480" w:lineRule="auto"/>
        <w:ind w:left="1440"/>
        <w:jc w:val="both"/>
        <w:rPr>
          <w:rtl/>
        </w:rPr>
      </w:pPr>
    </w:p>
    <w:p w14:paraId="4CE6C148" w14:textId="77777777" w:rsidR="00EB626B" w:rsidRDefault="00A951F0">
      <w:pPr>
        <w:spacing w:line="480" w:lineRule="auto"/>
        <w:ind w:left="1440"/>
        <w:jc w:val="both"/>
        <w:rPr>
          <w:rtl/>
        </w:rPr>
      </w:pPr>
      <w:r>
        <w:rPr>
          <w:rFonts w:hint="cs"/>
          <w:b/>
          <w:bCs/>
          <w:rtl/>
        </w:rPr>
        <w:t>תמצית העבירה</w:t>
      </w:r>
      <w:r>
        <w:rPr>
          <w:rFonts w:hint="cs"/>
          <w:rtl/>
        </w:rPr>
        <w:t xml:space="preserve"> – ביום 6.2.2013, סמוך לשעה 12:00, ביציאה ממעלה אדומים לכיוון המחסום, עיכב שוטר את הרכב לבדיקה, אשר היה נהוג על ידי הנאשם. לאחר חילופי דברים, מסר הנאשם לשוטר את תעודת הזהות שלו, טען כי הרכב שייך לו וכי רשיונות הרכב – נשכחו בבית. משנתבקש הנאשם לרדת מהרכב, החל הוא בנסיעה מהירה וברח מהמקום, דבר שהביא את השוטר לקפוץ רחוק מהרכב על מנת שלא יידרס. בהמשך, ותוך כדי הימלטות, פגע הנאשם במספר רכבים שחנו ברחוב. שוטרים נוספים שהגיעו למקום, החלו במרדף אחר הנאשם ואחרים ( - הנאשם 2 ומעורב שלישי, טבנג'ה, ששהו בתא המטען של הרכב) ואשר ניסו לטפס על גדר שמובילה לכיוון הוואדי הסמוך. הנ"ל נעצרו על ידי השוטרים ובמהלך חיפוש בגופם וברכב שעימם, נתפסו חפצים, וכן שני זוגות של לוחיות זיהוי לרכב. בהמשך למתואר, נערך חיפוש בביתו של נאשם זה, אשר במהלכו נתפס רכוש רב הכולל תכשיטים, מספר פלאפונים ושעונים, אשר חלק מהרכוש הנ"ל זוהה על ידי חלק מהמתלוננים בהתפרצות לדירות. </w:t>
      </w:r>
    </w:p>
    <w:p w14:paraId="4B91CC9C" w14:textId="77777777" w:rsidR="00EB626B" w:rsidRDefault="00EB626B">
      <w:pPr>
        <w:spacing w:line="480" w:lineRule="auto"/>
        <w:ind w:left="720"/>
        <w:jc w:val="both"/>
        <w:rPr>
          <w:rtl/>
        </w:rPr>
      </w:pPr>
    </w:p>
    <w:p w14:paraId="33635444" w14:textId="77777777" w:rsidR="00EB626B" w:rsidRDefault="00A951F0">
      <w:pPr>
        <w:spacing w:line="480" w:lineRule="auto"/>
        <w:ind w:left="720"/>
        <w:jc w:val="both"/>
        <w:rPr>
          <w:u w:val="single"/>
          <w:rtl/>
        </w:rPr>
      </w:pPr>
      <w:r>
        <w:rPr>
          <w:rFonts w:hint="cs"/>
          <w:rtl/>
        </w:rPr>
        <w:tab/>
      </w:r>
      <w:r>
        <w:rPr>
          <w:rFonts w:hint="cs"/>
          <w:u w:val="single"/>
          <w:rtl/>
        </w:rPr>
        <w:t>אישום מספר 5</w:t>
      </w:r>
    </w:p>
    <w:p w14:paraId="04A47525" w14:textId="77777777" w:rsidR="00EB626B" w:rsidRDefault="00A951F0">
      <w:pPr>
        <w:spacing w:line="480" w:lineRule="auto"/>
        <w:ind w:left="1440"/>
        <w:jc w:val="both"/>
        <w:rPr>
          <w:rtl/>
        </w:rPr>
      </w:pPr>
      <w:r>
        <w:rPr>
          <w:rFonts w:hint="cs"/>
          <w:b/>
          <w:bCs/>
          <w:rtl/>
        </w:rPr>
        <w:t>התפרצות למגורים לבצע עבירה</w:t>
      </w:r>
      <w:r>
        <w:rPr>
          <w:rFonts w:hint="cs"/>
          <w:rtl/>
        </w:rPr>
        <w:t xml:space="preserve">, עבירה לפי </w:t>
      </w:r>
      <w:hyperlink r:id="rId45" w:history="1">
        <w:r w:rsidR="00891370" w:rsidRPr="00891370">
          <w:rPr>
            <w:color w:val="0000FF"/>
            <w:u w:val="single"/>
            <w:rtl/>
          </w:rPr>
          <w:t>סעיף 406(ב)</w:t>
        </w:r>
      </w:hyperlink>
      <w:r>
        <w:rPr>
          <w:rFonts w:hint="cs"/>
          <w:rtl/>
        </w:rPr>
        <w:t xml:space="preserve"> לחוק + </w:t>
      </w:r>
      <w:hyperlink r:id="rId46" w:history="1">
        <w:r w:rsidR="00891370" w:rsidRPr="00891370">
          <w:rPr>
            <w:color w:val="0000FF"/>
            <w:u w:val="single"/>
            <w:rtl/>
          </w:rPr>
          <w:t>סעיף 29(א)</w:t>
        </w:r>
      </w:hyperlink>
      <w:r>
        <w:rPr>
          <w:rFonts w:hint="cs"/>
          <w:rtl/>
        </w:rPr>
        <w:t xml:space="preserve"> לחוק; </w:t>
      </w:r>
      <w:r>
        <w:rPr>
          <w:rFonts w:hint="cs"/>
          <w:b/>
          <w:bCs/>
          <w:rtl/>
        </w:rPr>
        <w:t>גניבה</w:t>
      </w:r>
      <w:r>
        <w:rPr>
          <w:rFonts w:hint="cs"/>
          <w:rtl/>
        </w:rPr>
        <w:t xml:space="preserve">, עבירה לפי </w:t>
      </w:r>
      <w:hyperlink r:id="rId47" w:history="1">
        <w:r w:rsidR="00891370" w:rsidRPr="00891370">
          <w:rPr>
            <w:color w:val="0000FF"/>
            <w:u w:val="single"/>
            <w:rtl/>
          </w:rPr>
          <w:t>סעיף 384</w:t>
        </w:r>
      </w:hyperlink>
      <w:r>
        <w:rPr>
          <w:rFonts w:hint="cs"/>
          <w:rtl/>
        </w:rPr>
        <w:t xml:space="preserve"> לחוק + </w:t>
      </w:r>
      <w:hyperlink r:id="rId48" w:history="1">
        <w:r w:rsidR="00891370" w:rsidRPr="00891370">
          <w:rPr>
            <w:color w:val="0000FF"/>
            <w:u w:val="single"/>
            <w:rtl/>
          </w:rPr>
          <w:t>סעיף 29(א)</w:t>
        </w:r>
      </w:hyperlink>
      <w:r>
        <w:rPr>
          <w:rFonts w:hint="cs"/>
          <w:rtl/>
        </w:rPr>
        <w:t xml:space="preserve"> לחוק; </w:t>
      </w:r>
      <w:r>
        <w:rPr>
          <w:rFonts w:hint="cs"/>
          <w:b/>
          <w:bCs/>
          <w:rtl/>
        </w:rPr>
        <w:t>היזק לרכוש במזיד</w:t>
      </w:r>
      <w:r>
        <w:rPr>
          <w:rFonts w:hint="cs"/>
          <w:rtl/>
        </w:rPr>
        <w:t xml:space="preserve">, עבירה לפי </w:t>
      </w:r>
      <w:hyperlink r:id="rId49" w:history="1">
        <w:r w:rsidR="00891370" w:rsidRPr="00891370">
          <w:rPr>
            <w:color w:val="0000FF"/>
            <w:u w:val="single"/>
            <w:rtl/>
          </w:rPr>
          <w:t>סעיף 452</w:t>
        </w:r>
      </w:hyperlink>
      <w:r>
        <w:rPr>
          <w:rFonts w:hint="cs"/>
          <w:rtl/>
        </w:rPr>
        <w:t xml:space="preserve"> לחוק + </w:t>
      </w:r>
      <w:hyperlink r:id="rId50" w:history="1">
        <w:r w:rsidR="00891370" w:rsidRPr="00891370">
          <w:rPr>
            <w:color w:val="0000FF"/>
            <w:u w:val="single"/>
            <w:rtl/>
          </w:rPr>
          <w:t>סעיף 29(א)</w:t>
        </w:r>
      </w:hyperlink>
      <w:r>
        <w:rPr>
          <w:rFonts w:hint="cs"/>
          <w:rtl/>
        </w:rPr>
        <w:t xml:space="preserve"> לחוק. מתחם הענישה – 8 - 15 חודשי מאסר.  </w:t>
      </w:r>
    </w:p>
    <w:p w14:paraId="342EC803" w14:textId="77777777" w:rsidR="00EB626B" w:rsidRDefault="00EB626B">
      <w:pPr>
        <w:spacing w:line="480" w:lineRule="auto"/>
        <w:ind w:left="1440"/>
        <w:jc w:val="both"/>
        <w:rPr>
          <w:rtl/>
        </w:rPr>
      </w:pPr>
    </w:p>
    <w:p w14:paraId="01BBDE14" w14:textId="77777777" w:rsidR="00EB626B" w:rsidRDefault="00A951F0">
      <w:pPr>
        <w:spacing w:line="480" w:lineRule="auto"/>
        <w:ind w:left="1440"/>
        <w:jc w:val="both"/>
        <w:rPr>
          <w:rtl/>
        </w:rPr>
      </w:pPr>
      <w:r>
        <w:rPr>
          <w:rFonts w:hint="cs"/>
          <w:b/>
          <w:bCs/>
          <w:rtl/>
        </w:rPr>
        <w:t>תמצית העבירה</w:t>
      </w:r>
      <w:r>
        <w:rPr>
          <w:rFonts w:hint="cs"/>
          <w:rtl/>
        </w:rPr>
        <w:t xml:space="preserve"> – ביום 5.2.2013, הגיע הנאשם יחד עם אחר לבית בגבעת זאב. השניים פרצו את ארון התקשורת מחוץ לדירה, ניתקו את הכבלים בתוך הארון וכתוצאה מכך נותקה גם המרכזיה של האזעקה, נכנסו לדירה וגנבו מתוכה חפצים שונים שכוללים בין היתר מצלמה, תכשיטים, כסף מזומן ודרכונים של בני המשפחה. </w:t>
      </w:r>
    </w:p>
    <w:p w14:paraId="1F436794" w14:textId="77777777" w:rsidR="00EB626B" w:rsidRDefault="00EB626B">
      <w:pPr>
        <w:spacing w:line="480" w:lineRule="auto"/>
        <w:ind w:left="1440"/>
        <w:jc w:val="both"/>
        <w:rPr>
          <w:rtl/>
        </w:rPr>
      </w:pPr>
    </w:p>
    <w:p w14:paraId="77E96917" w14:textId="77777777" w:rsidR="00EB626B" w:rsidRDefault="00EB626B">
      <w:pPr>
        <w:spacing w:line="480" w:lineRule="auto"/>
        <w:ind w:left="1440"/>
        <w:jc w:val="both"/>
        <w:rPr>
          <w:rtl/>
        </w:rPr>
      </w:pPr>
    </w:p>
    <w:p w14:paraId="50717D68" w14:textId="77777777" w:rsidR="00EB626B" w:rsidRDefault="00EB626B">
      <w:pPr>
        <w:spacing w:line="480" w:lineRule="auto"/>
        <w:ind w:left="1440"/>
        <w:jc w:val="both"/>
        <w:rPr>
          <w:rtl/>
        </w:rPr>
      </w:pPr>
    </w:p>
    <w:p w14:paraId="2CE4E7E8" w14:textId="77777777" w:rsidR="00EB626B" w:rsidRDefault="00A951F0">
      <w:pPr>
        <w:spacing w:line="480" w:lineRule="auto"/>
        <w:ind w:left="1440"/>
        <w:jc w:val="both"/>
        <w:rPr>
          <w:u w:val="single"/>
          <w:rtl/>
        </w:rPr>
      </w:pPr>
      <w:r>
        <w:rPr>
          <w:rFonts w:hint="cs"/>
          <w:u w:val="single"/>
          <w:rtl/>
        </w:rPr>
        <w:t>אישום מספר 8</w:t>
      </w:r>
    </w:p>
    <w:p w14:paraId="64A1830D" w14:textId="77777777" w:rsidR="00EB626B" w:rsidRDefault="00A951F0">
      <w:pPr>
        <w:spacing w:line="480" w:lineRule="auto"/>
        <w:ind w:left="1440"/>
        <w:jc w:val="both"/>
        <w:rPr>
          <w:rtl/>
        </w:rPr>
      </w:pPr>
      <w:r>
        <w:rPr>
          <w:rFonts w:hint="cs"/>
          <w:b/>
          <w:bCs/>
          <w:rtl/>
        </w:rPr>
        <w:t>התפרצות למגורים לבצע עבירה</w:t>
      </w:r>
      <w:r>
        <w:rPr>
          <w:rFonts w:hint="cs"/>
          <w:rtl/>
        </w:rPr>
        <w:t xml:space="preserve">, עבירה לפי </w:t>
      </w:r>
      <w:hyperlink r:id="rId51" w:history="1">
        <w:r w:rsidR="00891370" w:rsidRPr="00891370">
          <w:rPr>
            <w:color w:val="0000FF"/>
            <w:u w:val="single"/>
            <w:rtl/>
          </w:rPr>
          <w:t>סעיף 406(ב)</w:t>
        </w:r>
      </w:hyperlink>
      <w:r>
        <w:rPr>
          <w:rFonts w:hint="cs"/>
          <w:rtl/>
        </w:rPr>
        <w:t xml:space="preserve"> לחוק + </w:t>
      </w:r>
      <w:hyperlink r:id="rId52" w:history="1">
        <w:r w:rsidR="00891370" w:rsidRPr="00891370">
          <w:rPr>
            <w:color w:val="0000FF"/>
            <w:u w:val="single"/>
            <w:rtl/>
          </w:rPr>
          <w:t>סעיף 29(א)</w:t>
        </w:r>
      </w:hyperlink>
      <w:r>
        <w:rPr>
          <w:rFonts w:hint="cs"/>
          <w:rtl/>
        </w:rPr>
        <w:t xml:space="preserve"> לחוק; </w:t>
      </w:r>
      <w:r>
        <w:rPr>
          <w:rFonts w:hint="cs"/>
          <w:b/>
          <w:bCs/>
          <w:rtl/>
        </w:rPr>
        <w:t>גניבה</w:t>
      </w:r>
      <w:r>
        <w:rPr>
          <w:rFonts w:hint="cs"/>
          <w:rtl/>
        </w:rPr>
        <w:t xml:space="preserve">, עבירה לפי </w:t>
      </w:r>
      <w:hyperlink r:id="rId53" w:history="1">
        <w:r w:rsidR="00891370" w:rsidRPr="00891370">
          <w:rPr>
            <w:color w:val="0000FF"/>
            <w:u w:val="single"/>
            <w:rtl/>
          </w:rPr>
          <w:t>סעיף 384</w:t>
        </w:r>
      </w:hyperlink>
      <w:r>
        <w:rPr>
          <w:rFonts w:hint="cs"/>
          <w:rtl/>
        </w:rPr>
        <w:t xml:space="preserve"> לחוק + </w:t>
      </w:r>
      <w:hyperlink r:id="rId54" w:history="1">
        <w:r w:rsidR="00891370" w:rsidRPr="00891370">
          <w:rPr>
            <w:color w:val="0000FF"/>
            <w:u w:val="single"/>
            <w:rtl/>
          </w:rPr>
          <w:t>סעיף 29(א)</w:t>
        </w:r>
      </w:hyperlink>
      <w:r>
        <w:rPr>
          <w:rFonts w:hint="cs"/>
          <w:rtl/>
        </w:rPr>
        <w:t xml:space="preserve"> לחוק; </w:t>
      </w:r>
      <w:r>
        <w:rPr>
          <w:rFonts w:hint="cs"/>
          <w:b/>
          <w:bCs/>
          <w:rtl/>
        </w:rPr>
        <w:t>זיוף סימני זיהוי של רכב</w:t>
      </w:r>
      <w:r>
        <w:rPr>
          <w:rFonts w:hint="cs"/>
          <w:rtl/>
        </w:rPr>
        <w:t xml:space="preserve">- עבירה לפי </w:t>
      </w:r>
      <w:hyperlink r:id="rId55" w:history="1">
        <w:r w:rsidR="00891370" w:rsidRPr="00891370">
          <w:rPr>
            <w:color w:val="0000FF"/>
            <w:u w:val="single"/>
            <w:rtl/>
          </w:rPr>
          <w:t>סעיף 413ט</w:t>
        </w:r>
      </w:hyperlink>
      <w:r>
        <w:rPr>
          <w:rFonts w:hint="cs"/>
          <w:rtl/>
        </w:rPr>
        <w:t xml:space="preserve"> לחוק + </w:t>
      </w:r>
      <w:hyperlink r:id="rId56" w:history="1">
        <w:r w:rsidR="00891370" w:rsidRPr="00891370">
          <w:rPr>
            <w:color w:val="0000FF"/>
            <w:u w:val="single"/>
            <w:rtl/>
          </w:rPr>
          <w:t>סעיף 29(א)</w:t>
        </w:r>
      </w:hyperlink>
      <w:r>
        <w:rPr>
          <w:rFonts w:hint="cs"/>
          <w:rtl/>
        </w:rPr>
        <w:t xml:space="preserve"> לחוק. מתחם הענישה – 12 - 18 חודשי מאסר. </w:t>
      </w:r>
    </w:p>
    <w:p w14:paraId="232D6669" w14:textId="77777777" w:rsidR="00EB626B" w:rsidRDefault="00EB626B">
      <w:pPr>
        <w:spacing w:line="480" w:lineRule="auto"/>
        <w:ind w:left="1440"/>
        <w:jc w:val="both"/>
        <w:rPr>
          <w:rtl/>
        </w:rPr>
      </w:pPr>
    </w:p>
    <w:p w14:paraId="1FBE9812" w14:textId="77777777" w:rsidR="00EB626B" w:rsidRDefault="00A951F0">
      <w:pPr>
        <w:spacing w:line="480" w:lineRule="auto"/>
        <w:ind w:left="1440"/>
        <w:jc w:val="both"/>
        <w:rPr>
          <w:rtl/>
        </w:rPr>
      </w:pPr>
      <w:r>
        <w:rPr>
          <w:rFonts w:hint="cs"/>
          <w:b/>
          <w:bCs/>
          <w:rtl/>
        </w:rPr>
        <w:t>תמצית העבירה</w:t>
      </w:r>
      <w:r>
        <w:rPr>
          <w:rFonts w:hint="cs"/>
          <w:rtl/>
        </w:rPr>
        <w:t xml:space="preserve"> – ביום 28.1.2013, הגיע נאשם זה יחד עם אחר באמצעות הרכב הגנוב נשוא אישום מספר 1 לבית בישוב גבעת זאב, חיבלו בארון החשמל של הבית, התפרצו לבית וגנבו מתוכו כספת שנעקרה מהקיר ואשר הכילה 15,170 ₪ - ו 5,000 דולר, דרכונים של בני המשפחה, מפתחות לשני רכבים השייכים למתלונן ותכשיטים שונים. </w:t>
      </w:r>
    </w:p>
    <w:p w14:paraId="6DDCC0C7" w14:textId="77777777" w:rsidR="00EB626B" w:rsidRDefault="00EB626B">
      <w:pPr>
        <w:spacing w:line="480" w:lineRule="auto"/>
        <w:ind w:left="720"/>
        <w:jc w:val="both"/>
        <w:rPr>
          <w:rtl/>
        </w:rPr>
      </w:pPr>
    </w:p>
    <w:p w14:paraId="48DC951E" w14:textId="77777777" w:rsidR="00EB626B" w:rsidRDefault="00A951F0">
      <w:pPr>
        <w:spacing w:line="480" w:lineRule="auto"/>
        <w:ind w:left="720"/>
        <w:jc w:val="both"/>
        <w:rPr>
          <w:u w:val="single"/>
          <w:rtl/>
        </w:rPr>
      </w:pPr>
      <w:r>
        <w:rPr>
          <w:rFonts w:hint="cs"/>
          <w:rtl/>
        </w:rPr>
        <w:tab/>
      </w:r>
      <w:r>
        <w:rPr>
          <w:rFonts w:hint="cs"/>
          <w:u w:val="single"/>
          <w:rtl/>
        </w:rPr>
        <w:t>אישום מספר 10</w:t>
      </w:r>
    </w:p>
    <w:p w14:paraId="51517F6E" w14:textId="77777777" w:rsidR="00EB626B" w:rsidRDefault="00A951F0">
      <w:pPr>
        <w:spacing w:line="480" w:lineRule="auto"/>
        <w:ind w:left="1440"/>
        <w:jc w:val="both"/>
        <w:rPr>
          <w:rtl/>
        </w:rPr>
      </w:pPr>
      <w:r>
        <w:rPr>
          <w:rFonts w:hint="cs"/>
          <w:b/>
          <w:bCs/>
          <w:rtl/>
        </w:rPr>
        <w:t>תקיפה סתם</w:t>
      </w:r>
      <w:r>
        <w:rPr>
          <w:rFonts w:hint="cs"/>
          <w:rtl/>
        </w:rPr>
        <w:t xml:space="preserve">, עבירה לפי </w:t>
      </w:r>
      <w:hyperlink r:id="rId57" w:history="1">
        <w:r w:rsidR="00891370" w:rsidRPr="00891370">
          <w:rPr>
            <w:color w:val="0000FF"/>
            <w:u w:val="single"/>
            <w:rtl/>
          </w:rPr>
          <w:t>סעיף 379</w:t>
        </w:r>
      </w:hyperlink>
      <w:r>
        <w:rPr>
          <w:rFonts w:hint="cs"/>
          <w:rtl/>
        </w:rPr>
        <w:t xml:space="preserve"> לחוק; </w:t>
      </w:r>
      <w:r>
        <w:rPr>
          <w:rFonts w:hint="cs"/>
          <w:b/>
          <w:bCs/>
          <w:rtl/>
        </w:rPr>
        <w:t>התפרצות למגורים לבצע עבירה</w:t>
      </w:r>
      <w:r>
        <w:rPr>
          <w:rFonts w:hint="cs"/>
          <w:rtl/>
        </w:rPr>
        <w:t xml:space="preserve">, עבירה לפי </w:t>
      </w:r>
      <w:hyperlink r:id="rId58" w:history="1">
        <w:r w:rsidR="00891370" w:rsidRPr="00891370">
          <w:rPr>
            <w:color w:val="0000FF"/>
            <w:u w:val="single"/>
            <w:rtl/>
          </w:rPr>
          <w:t>סעיף 406(ב)</w:t>
        </w:r>
      </w:hyperlink>
      <w:r>
        <w:rPr>
          <w:rFonts w:hint="cs"/>
          <w:rtl/>
        </w:rPr>
        <w:t xml:space="preserve"> לחוק + </w:t>
      </w:r>
      <w:hyperlink r:id="rId59" w:history="1">
        <w:r w:rsidR="00891370" w:rsidRPr="00891370">
          <w:rPr>
            <w:color w:val="0000FF"/>
            <w:u w:val="single"/>
            <w:rtl/>
          </w:rPr>
          <w:t>סעיף 29(א)</w:t>
        </w:r>
      </w:hyperlink>
      <w:r>
        <w:rPr>
          <w:rFonts w:hint="cs"/>
          <w:rtl/>
        </w:rPr>
        <w:t xml:space="preserve"> לחוק + </w:t>
      </w:r>
      <w:hyperlink r:id="rId60" w:history="1">
        <w:r w:rsidR="00891370" w:rsidRPr="00891370">
          <w:rPr>
            <w:color w:val="0000FF"/>
            <w:u w:val="single"/>
            <w:rtl/>
          </w:rPr>
          <w:t>סעיף 25</w:t>
        </w:r>
      </w:hyperlink>
      <w:r>
        <w:rPr>
          <w:rFonts w:hint="cs"/>
          <w:rtl/>
        </w:rPr>
        <w:t xml:space="preserve"> לחוק; </w:t>
      </w:r>
      <w:r>
        <w:rPr>
          <w:rFonts w:hint="cs"/>
          <w:b/>
          <w:bCs/>
          <w:rtl/>
        </w:rPr>
        <w:t>זיוף סימני זיהוי של רכב</w:t>
      </w:r>
      <w:r>
        <w:rPr>
          <w:rFonts w:hint="cs"/>
          <w:rtl/>
        </w:rPr>
        <w:t xml:space="preserve"> – עבירה לפי </w:t>
      </w:r>
      <w:hyperlink r:id="rId61" w:history="1">
        <w:r w:rsidR="00891370" w:rsidRPr="00891370">
          <w:rPr>
            <w:color w:val="0000FF"/>
            <w:u w:val="single"/>
            <w:rtl/>
          </w:rPr>
          <w:t>סעיף 413ט</w:t>
        </w:r>
      </w:hyperlink>
      <w:r>
        <w:rPr>
          <w:rFonts w:hint="cs"/>
          <w:rtl/>
        </w:rPr>
        <w:t xml:space="preserve"> לחוק; </w:t>
      </w:r>
      <w:r>
        <w:rPr>
          <w:rFonts w:hint="cs"/>
          <w:b/>
          <w:bCs/>
          <w:rtl/>
        </w:rPr>
        <w:t>קבלת רכב או חלקי רכב גנובים</w:t>
      </w:r>
      <w:r>
        <w:rPr>
          <w:rFonts w:hint="cs"/>
          <w:rtl/>
        </w:rPr>
        <w:t xml:space="preserve">, עבירה לפי </w:t>
      </w:r>
      <w:hyperlink r:id="rId62" w:history="1">
        <w:r w:rsidR="00891370" w:rsidRPr="00891370">
          <w:rPr>
            <w:color w:val="0000FF"/>
            <w:u w:val="single"/>
            <w:rtl/>
          </w:rPr>
          <w:t>סעיף 413י</w:t>
        </w:r>
      </w:hyperlink>
      <w:r>
        <w:rPr>
          <w:rFonts w:hint="cs"/>
          <w:rtl/>
        </w:rPr>
        <w:t xml:space="preserve"> לחוק. מתחם הענישה – 14 – 18 חודשי מאסר. </w:t>
      </w:r>
    </w:p>
    <w:p w14:paraId="3E928F81" w14:textId="77777777" w:rsidR="00EB626B" w:rsidRDefault="00EB626B">
      <w:pPr>
        <w:spacing w:line="480" w:lineRule="auto"/>
        <w:ind w:left="1440"/>
        <w:jc w:val="both"/>
        <w:rPr>
          <w:rtl/>
        </w:rPr>
      </w:pPr>
    </w:p>
    <w:p w14:paraId="17981AF6" w14:textId="77777777" w:rsidR="00EB626B" w:rsidRDefault="00A951F0">
      <w:pPr>
        <w:spacing w:line="480" w:lineRule="auto"/>
        <w:ind w:left="1440"/>
        <w:jc w:val="both"/>
        <w:rPr>
          <w:rtl/>
        </w:rPr>
      </w:pPr>
      <w:r>
        <w:rPr>
          <w:rFonts w:hint="cs"/>
          <w:b/>
          <w:bCs/>
          <w:rtl/>
        </w:rPr>
        <w:t>תמצית העבירה</w:t>
      </w:r>
      <w:r>
        <w:rPr>
          <w:rFonts w:hint="cs"/>
          <w:rtl/>
        </w:rPr>
        <w:t xml:space="preserve"> – ביום 1.2.2013 בשעות הערב, הגיע הנאשם יחד עם אחר באמצעות הרכב הגנוב נשוא אישום מספר 1 לבית המתלונן, לקחו מקל מארון הכלים בחצר הדירה, וכשפתח המתלונן את דלתו, עמד מולו אחד מהם וניסה לתקוף את המתלונן באמצעות המקל. המתלונן ניסה להתגונן והשניים ברחו מהמקום. </w:t>
      </w:r>
    </w:p>
    <w:p w14:paraId="414F13B4" w14:textId="77777777" w:rsidR="00EB626B" w:rsidRDefault="00EB626B">
      <w:pPr>
        <w:spacing w:line="480" w:lineRule="auto"/>
        <w:ind w:left="1440"/>
        <w:jc w:val="both"/>
        <w:rPr>
          <w:rtl/>
        </w:rPr>
      </w:pPr>
    </w:p>
    <w:p w14:paraId="11B3AD0C" w14:textId="77777777" w:rsidR="00EB626B" w:rsidRDefault="00A951F0">
      <w:pPr>
        <w:spacing w:line="480" w:lineRule="auto"/>
        <w:ind w:left="1440"/>
        <w:jc w:val="both"/>
        <w:rPr>
          <w:u w:val="single"/>
          <w:rtl/>
        </w:rPr>
      </w:pPr>
      <w:r>
        <w:rPr>
          <w:rFonts w:hint="cs"/>
          <w:u w:val="single"/>
          <w:rtl/>
        </w:rPr>
        <w:t>פל</w:t>
      </w:r>
      <w:r w:rsidRPr="00EC4571">
        <w:rPr>
          <w:color w:val="000000"/>
          <w:rtl/>
        </w:rPr>
        <w:t>א (מעלה אדומים) 154096/13</w:t>
      </w:r>
      <w:r>
        <w:rPr>
          <w:rFonts w:hint="cs"/>
          <w:u w:val="single"/>
          <w:rtl/>
        </w:rPr>
        <w:t xml:space="preserve"> </w:t>
      </w:r>
    </w:p>
    <w:p w14:paraId="350251DE" w14:textId="77777777" w:rsidR="00EB626B" w:rsidRDefault="00A951F0">
      <w:pPr>
        <w:spacing w:line="480" w:lineRule="auto"/>
        <w:ind w:left="1440"/>
        <w:jc w:val="both"/>
        <w:rPr>
          <w:rtl/>
        </w:rPr>
      </w:pPr>
      <w:r>
        <w:rPr>
          <w:rFonts w:hint="cs"/>
          <w:b/>
          <w:bCs/>
          <w:rtl/>
        </w:rPr>
        <w:t xml:space="preserve">הפרת הוראה חוקית, </w:t>
      </w:r>
      <w:r>
        <w:rPr>
          <w:rFonts w:hint="cs"/>
          <w:rtl/>
        </w:rPr>
        <w:t xml:space="preserve">עבירה לפי </w:t>
      </w:r>
      <w:r w:rsidR="00891370">
        <w:rPr>
          <w:color w:val="000000"/>
          <w:rtl/>
        </w:rPr>
        <w:t xml:space="preserve">סעיף </w:t>
      </w:r>
      <w:hyperlink r:id="rId63" w:history="1">
        <w:r w:rsidR="00891370" w:rsidRPr="00891370">
          <w:rPr>
            <w:color w:val="0000FF"/>
            <w:u w:val="single"/>
            <w:rtl/>
          </w:rPr>
          <w:t>287(א)</w:t>
        </w:r>
      </w:hyperlink>
      <w:r>
        <w:rPr>
          <w:rFonts w:hint="cs"/>
          <w:rtl/>
        </w:rPr>
        <w:t xml:space="preserve"> לחוק. מתחם הענישה – 3 חודשי עבודות שירות – 6 חודשי מאסר.  </w:t>
      </w:r>
    </w:p>
    <w:p w14:paraId="350B8771" w14:textId="77777777" w:rsidR="00EB626B" w:rsidRDefault="00EB626B">
      <w:pPr>
        <w:spacing w:line="480" w:lineRule="auto"/>
        <w:ind w:left="1440"/>
        <w:jc w:val="both"/>
        <w:rPr>
          <w:rtl/>
        </w:rPr>
      </w:pPr>
    </w:p>
    <w:p w14:paraId="1657D312" w14:textId="77777777" w:rsidR="00EB626B" w:rsidRDefault="00A951F0">
      <w:pPr>
        <w:spacing w:line="480" w:lineRule="auto"/>
        <w:ind w:left="1440"/>
        <w:jc w:val="both"/>
        <w:rPr>
          <w:rtl/>
        </w:rPr>
      </w:pPr>
      <w:r>
        <w:rPr>
          <w:rFonts w:hint="cs"/>
          <w:b/>
          <w:bCs/>
          <w:rtl/>
        </w:rPr>
        <w:t xml:space="preserve">תמצית העבירה – </w:t>
      </w:r>
      <w:r>
        <w:rPr>
          <w:rFonts w:hint="cs"/>
          <w:rtl/>
        </w:rPr>
        <w:t xml:space="preserve">ביום 7.7.2013 נעצר הנאשם במחסום חיזמה וזאת בניגוד לתנאי מעצר הבית שנקבעו במסגרת </w:t>
      </w:r>
      <w:hyperlink r:id="rId64" w:history="1">
        <w:r w:rsidR="00A948FA" w:rsidRPr="00A948FA">
          <w:rPr>
            <w:rStyle w:val="Hyperlink"/>
            <w:rtl/>
          </w:rPr>
          <w:t>מ.ת. 40484-02-13</w:t>
        </w:r>
      </w:hyperlink>
      <w:r>
        <w:rPr>
          <w:rFonts w:hint="cs"/>
          <w:rtl/>
        </w:rPr>
        <w:t xml:space="preserve">. </w:t>
      </w:r>
    </w:p>
    <w:p w14:paraId="424904EC" w14:textId="77777777" w:rsidR="00EB626B" w:rsidRDefault="00EB626B">
      <w:pPr>
        <w:spacing w:line="480" w:lineRule="auto"/>
        <w:ind w:left="1440"/>
        <w:jc w:val="both"/>
        <w:rPr>
          <w:rtl/>
        </w:rPr>
      </w:pPr>
    </w:p>
    <w:p w14:paraId="064EB219" w14:textId="77777777" w:rsidR="00EB626B" w:rsidRDefault="00A951F0">
      <w:pPr>
        <w:spacing w:line="480" w:lineRule="auto"/>
        <w:ind w:left="510" w:hanging="510"/>
        <w:jc w:val="both"/>
        <w:rPr>
          <w:rtl/>
        </w:rPr>
      </w:pPr>
      <w:r>
        <w:rPr>
          <w:rFonts w:hint="cs"/>
          <w:rtl/>
        </w:rPr>
        <w:t>3.</w:t>
      </w:r>
      <w:r>
        <w:rPr>
          <w:rFonts w:hint="cs"/>
          <w:rtl/>
        </w:rPr>
        <w:tab/>
      </w:r>
      <w:r>
        <w:rPr>
          <w:rFonts w:hint="cs"/>
          <w:b/>
          <w:bCs/>
          <w:u w:val="single"/>
          <w:rtl/>
        </w:rPr>
        <w:t>הנאשם 2</w:t>
      </w:r>
    </w:p>
    <w:p w14:paraId="14130CD3" w14:textId="77777777" w:rsidR="00EB626B" w:rsidRDefault="00EB626B">
      <w:pPr>
        <w:spacing w:line="480" w:lineRule="auto"/>
        <w:ind w:left="510" w:hanging="510"/>
        <w:jc w:val="both"/>
        <w:rPr>
          <w:rtl/>
        </w:rPr>
      </w:pPr>
    </w:p>
    <w:p w14:paraId="39DFC6C8" w14:textId="77777777" w:rsidR="00EB626B" w:rsidRDefault="00A951F0">
      <w:pPr>
        <w:spacing w:line="480" w:lineRule="auto"/>
        <w:ind w:left="510" w:hanging="510"/>
        <w:jc w:val="both"/>
        <w:rPr>
          <w:u w:val="single"/>
          <w:rtl/>
        </w:rPr>
      </w:pPr>
      <w:r>
        <w:rPr>
          <w:rFonts w:hint="cs"/>
          <w:rtl/>
        </w:rPr>
        <w:tab/>
        <w:t>א.</w:t>
      </w:r>
      <w:r>
        <w:rPr>
          <w:rFonts w:hint="cs"/>
          <w:rtl/>
        </w:rPr>
        <w:tab/>
      </w:r>
      <w:r>
        <w:rPr>
          <w:rFonts w:hint="cs"/>
          <w:rtl/>
        </w:rPr>
        <w:tab/>
      </w:r>
      <w:r>
        <w:rPr>
          <w:rFonts w:hint="cs"/>
          <w:u w:val="single"/>
          <w:rtl/>
        </w:rPr>
        <w:t>אישום מספר 2</w:t>
      </w:r>
    </w:p>
    <w:p w14:paraId="58D9AF1C" w14:textId="77777777" w:rsidR="00EB626B" w:rsidRDefault="00A951F0">
      <w:pPr>
        <w:spacing w:line="480" w:lineRule="auto"/>
        <w:ind w:left="1440"/>
        <w:jc w:val="both"/>
        <w:rPr>
          <w:rtl/>
        </w:rPr>
      </w:pPr>
      <w:r>
        <w:rPr>
          <w:rFonts w:hint="cs"/>
          <w:b/>
          <w:bCs/>
          <w:rtl/>
        </w:rPr>
        <w:t>התפרצות למגורים לבצע עבירה</w:t>
      </w:r>
      <w:r>
        <w:rPr>
          <w:rFonts w:hint="cs"/>
          <w:rtl/>
        </w:rPr>
        <w:t xml:space="preserve">, עבירה לפי </w:t>
      </w:r>
      <w:hyperlink r:id="rId65" w:history="1">
        <w:r w:rsidR="00891370" w:rsidRPr="00891370">
          <w:rPr>
            <w:color w:val="0000FF"/>
            <w:u w:val="single"/>
            <w:rtl/>
          </w:rPr>
          <w:t>סעיף 406(ב)</w:t>
        </w:r>
      </w:hyperlink>
      <w:r>
        <w:rPr>
          <w:rFonts w:hint="cs"/>
          <w:rtl/>
        </w:rPr>
        <w:t xml:space="preserve"> לחוק + </w:t>
      </w:r>
      <w:hyperlink r:id="rId66" w:history="1">
        <w:r w:rsidR="00891370" w:rsidRPr="00891370">
          <w:rPr>
            <w:color w:val="0000FF"/>
            <w:u w:val="single"/>
            <w:rtl/>
          </w:rPr>
          <w:t>סעיף 29(א)</w:t>
        </w:r>
      </w:hyperlink>
      <w:r>
        <w:rPr>
          <w:rFonts w:hint="cs"/>
          <w:rtl/>
        </w:rPr>
        <w:t xml:space="preserve"> לחוק; </w:t>
      </w:r>
      <w:r>
        <w:rPr>
          <w:rFonts w:hint="cs"/>
          <w:b/>
          <w:bCs/>
          <w:rtl/>
        </w:rPr>
        <w:t>גניבה</w:t>
      </w:r>
      <w:r>
        <w:rPr>
          <w:rFonts w:hint="cs"/>
          <w:rtl/>
        </w:rPr>
        <w:t xml:space="preserve">, עבירה לפי </w:t>
      </w:r>
      <w:hyperlink r:id="rId67" w:history="1">
        <w:r w:rsidR="00891370" w:rsidRPr="00891370">
          <w:rPr>
            <w:color w:val="0000FF"/>
            <w:u w:val="single"/>
            <w:rtl/>
          </w:rPr>
          <w:t>סעיף 384</w:t>
        </w:r>
      </w:hyperlink>
      <w:r>
        <w:rPr>
          <w:rFonts w:hint="cs"/>
          <w:rtl/>
        </w:rPr>
        <w:t xml:space="preserve"> לחוק + </w:t>
      </w:r>
      <w:hyperlink r:id="rId68" w:history="1">
        <w:r w:rsidR="00891370" w:rsidRPr="00891370">
          <w:rPr>
            <w:color w:val="0000FF"/>
            <w:u w:val="single"/>
            <w:rtl/>
          </w:rPr>
          <w:t>סעיף 29(א)</w:t>
        </w:r>
      </w:hyperlink>
      <w:r>
        <w:rPr>
          <w:rFonts w:hint="cs"/>
          <w:rtl/>
        </w:rPr>
        <w:t xml:space="preserve"> לחוק. מתחם הענישה 6 - 12 חודשי מאסר. </w:t>
      </w:r>
      <w:r>
        <w:rPr>
          <w:rFonts w:hint="cs"/>
        </w:rPr>
        <w:t xml:space="preserve"> </w:t>
      </w:r>
    </w:p>
    <w:p w14:paraId="321FB7D0" w14:textId="77777777" w:rsidR="00EB626B" w:rsidRDefault="00EB626B">
      <w:pPr>
        <w:spacing w:line="480" w:lineRule="auto"/>
        <w:ind w:left="1440"/>
        <w:jc w:val="both"/>
        <w:rPr>
          <w:rtl/>
        </w:rPr>
      </w:pPr>
    </w:p>
    <w:p w14:paraId="05DB7CF5" w14:textId="77777777" w:rsidR="00EB626B" w:rsidRDefault="00A951F0">
      <w:pPr>
        <w:spacing w:line="480" w:lineRule="auto"/>
        <w:ind w:left="1440"/>
        <w:jc w:val="both"/>
        <w:rPr>
          <w:rtl/>
        </w:rPr>
      </w:pPr>
      <w:r>
        <w:rPr>
          <w:rFonts w:hint="cs"/>
          <w:b/>
          <w:bCs/>
          <w:rtl/>
        </w:rPr>
        <w:t>תמצית העבירה</w:t>
      </w:r>
      <w:r>
        <w:rPr>
          <w:rFonts w:hint="cs"/>
          <w:rtl/>
        </w:rPr>
        <w:t xml:space="preserve"> כמפורט בעניינו של נאשם 1. </w:t>
      </w:r>
    </w:p>
    <w:p w14:paraId="5055870A" w14:textId="77777777" w:rsidR="00EB626B" w:rsidRDefault="00EB626B">
      <w:pPr>
        <w:spacing w:line="480" w:lineRule="auto"/>
        <w:ind w:left="510" w:hanging="510"/>
        <w:jc w:val="both"/>
        <w:rPr>
          <w:rtl/>
        </w:rPr>
      </w:pPr>
    </w:p>
    <w:p w14:paraId="7C2A61C5" w14:textId="77777777" w:rsidR="00EB626B" w:rsidRDefault="00A951F0">
      <w:pPr>
        <w:spacing w:line="480" w:lineRule="auto"/>
        <w:ind w:left="1440"/>
        <w:jc w:val="both"/>
        <w:rPr>
          <w:u w:val="single"/>
          <w:rtl/>
        </w:rPr>
      </w:pPr>
      <w:r>
        <w:rPr>
          <w:rFonts w:hint="cs"/>
          <w:u w:val="single"/>
          <w:rtl/>
        </w:rPr>
        <w:t>אישום מספר 3</w:t>
      </w:r>
    </w:p>
    <w:p w14:paraId="00F5CC4A" w14:textId="77777777" w:rsidR="00EB626B" w:rsidRDefault="00A951F0">
      <w:pPr>
        <w:spacing w:line="480" w:lineRule="auto"/>
        <w:ind w:left="1440"/>
        <w:jc w:val="both"/>
        <w:rPr>
          <w:rtl/>
        </w:rPr>
      </w:pPr>
      <w:r>
        <w:rPr>
          <w:rFonts w:hint="cs"/>
          <w:b/>
          <w:bCs/>
          <w:rtl/>
        </w:rPr>
        <w:t>התפרצות למגורים לבצע עבירה</w:t>
      </w:r>
      <w:r>
        <w:rPr>
          <w:rFonts w:hint="cs"/>
          <w:rtl/>
        </w:rPr>
        <w:t xml:space="preserve">, עבירה לפי </w:t>
      </w:r>
      <w:hyperlink r:id="rId69" w:history="1">
        <w:r w:rsidR="00891370" w:rsidRPr="00891370">
          <w:rPr>
            <w:color w:val="0000FF"/>
            <w:u w:val="single"/>
            <w:rtl/>
          </w:rPr>
          <w:t>סעיף 406(ב)</w:t>
        </w:r>
      </w:hyperlink>
      <w:r>
        <w:rPr>
          <w:rFonts w:hint="cs"/>
          <w:rtl/>
        </w:rPr>
        <w:t xml:space="preserve"> לחוק + </w:t>
      </w:r>
      <w:hyperlink r:id="rId70" w:history="1">
        <w:r w:rsidR="00891370" w:rsidRPr="00891370">
          <w:rPr>
            <w:color w:val="0000FF"/>
            <w:u w:val="single"/>
            <w:rtl/>
          </w:rPr>
          <w:t>סעיף 29(א)</w:t>
        </w:r>
      </w:hyperlink>
      <w:r>
        <w:rPr>
          <w:rFonts w:hint="cs"/>
          <w:rtl/>
        </w:rPr>
        <w:t xml:space="preserve"> לחוק; </w:t>
      </w:r>
      <w:r>
        <w:rPr>
          <w:rFonts w:hint="cs"/>
          <w:b/>
          <w:bCs/>
          <w:rtl/>
        </w:rPr>
        <w:t>גניבה</w:t>
      </w:r>
      <w:r>
        <w:rPr>
          <w:rFonts w:hint="cs"/>
          <w:rtl/>
        </w:rPr>
        <w:t xml:space="preserve">, עבירה לפי </w:t>
      </w:r>
      <w:hyperlink r:id="rId71" w:history="1">
        <w:r w:rsidR="00891370" w:rsidRPr="00891370">
          <w:rPr>
            <w:color w:val="0000FF"/>
            <w:u w:val="single"/>
            <w:rtl/>
          </w:rPr>
          <w:t>סעיף 384</w:t>
        </w:r>
      </w:hyperlink>
      <w:r>
        <w:rPr>
          <w:rFonts w:hint="cs"/>
          <w:rtl/>
        </w:rPr>
        <w:t xml:space="preserve"> לחוק + </w:t>
      </w:r>
      <w:hyperlink r:id="rId72" w:history="1">
        <w:r w:rsidR="00891370" w:rsidRPr="00891370">
          <w:rPr>
            <w:color w:val="0000FF"/>
            <w:u w:val="single"/>
            <w:rtl/>
          </w:rPr>
          <w:t>סעיף 29(א)</w:t>
        </w:r>
      </w:hyperlink>
      <w:r>
        <w:rPr>
          <w:rFonts w:hint="cs"/>
          <w:rtl/>
        </w:rPr>
        <w:t xml:space="preserve"> לחוק; </w:t>
      </w:r>
      <w:r>
        <w:rPr>
          <w:rFonts w:hint="cs"/>
          <w:b/>
          <w:bCs/>
          <w:rtl/>
        </w:rPr>
        <w:t>רכישת/החזקת נשק שלא כדין</w:t>
      </w:r>
      <w:r>
        <w:rPr>
          <w:rFonts w:hint="cs"/>
          <w:rtl/>
        </w:rPr>
        <w:t xml:space="preserve"> – עבירה לפי </w:t>
      </w:r>
      <w:hyperlink r:id="rId73" w:history="1">
        <w:r w:rsidR="00891370" w:rsidRPr="00891370">
          <w:rPr>
            <w:color w:val="0000FF"/>
            <w:u w:val="single"/>
            <w:rtl/>
          </w:rPr>
          <w:t>סעיף 144(א)</w:t>
        </w:r>
      </w:hyperlink>
      <w:r>
        <w:rPr>
          <w:rFonts w:hint="cs"/>
          <w:rtl/>
        </w:rPr>
        <w:t xml:space="preserve"> לחוק + </w:t>
      </w:r>
      <w:hyperlink r:id="rId74" w:history="1">
        <w:r w:rsidR="00891370" w:rsidRPr="00891370">
          <w:rPr>
            <w:color w:val="0000FF"/>
            <w:u w:val="single"/>
            <w:rtl/>
          </w:rPr>
          <w:t>סעיף 29(א)</w:t>
        </w:r>
      </w:hyperlink>
      <w:r>
        <w:rPr>
          <w:rFonts w:hint="cs"/>
          <w:rtl/>
        </w:rPr>
        <w:t xml:space="preserve"> לחוק. מתחם הענישה – 18 - 24 חודשי מאסר.  </w:t>
      </w:r>
    </w:p>
    <w:p w14:paraId="70AAE0F6" w14:textId="77777777" w:rsidR="00EB626B" w:rsidRDefault="00EB626B">
      <w:pPr>
        <w:spacing w:line="480" w:lineRule="auto"/>
        <w:ind w:left="1440"/>
        <w:jc w:val="both"/>
        <w:rPr>
          <w:rtl/>
        </w:rPr>
      </w:pPr>
    </w:p>
    <w:p w14:paraId="66853268" w14:textId="77777777" w:rsidR="00EB626B" w:rsidRDefault="00A951F0">
      <w:pPr>
        <w:spacing w:line="480" w:lineRule="auto"/>
        <w:ind w:left="1440"/>
        <w:jc w:val="both"/>
        <w:rPr>
          <w:rtl/>
        </w:rPr>
      </w:pPr>
      <w:r>
        <w:rPr>
          <w:rFonts w:hint="cs"/>
          <w:b/>
          <w:bCs/>
          <w:rtl/>
        </w:rPr>
        <w:t>תמצית העבירה</w:t>
      </w:r>
      <w:r>
        <w:rPr>
          <w:rFonts w:hint="cs"/>
          <w:rtl/>
        </w:rPr>
        <w:t xml:space="preserve"> כמפורט בעניינו של נאשם 1. </w:t>
      </w:r>
    </w:p>
    <w:p w14:paraId="1EEB9A86" w14:textId="77777777" w:rsidR="00EB626B" w:rsidRDefault="00EB626B">
      <w:pPr>
        <w:spacing w:line="480" w:lineRule="auto"/>
        <w:ind w:left="1440"/>
        <w:jc w:val="both"/>
        <w:rPr>
          <w:u w:val="single"/>
          <w:rtl/>
        </w:rPr>
      </w:pPr>
    </w:p>
    <w:p w14:paraId="4F93B8E2" w14:textId="77777777" w:rsidR="00EB626B" w:rsidRDefault="00EB626B">
      <w:pPr>
        <w:spacing w:line="480" w:lineRule="auto"/>
        <w:ind w:left="1440"/>
        <w:jc w:val="both"/>
        <w:rPr>
          <w:u w:val="single"/>
          <w:rtl/>
        </w:rPr>
      </w:pPr>
    </w:p>
    <w:p w14:paraId="71288466" w14:textId="77777777" w:rsidR="00EB626B" w:rsidRDefault="00A951F0">
      <w:pPr>
        <w:spacing w:line="480" w:lineRule="auto"/>
        <w:ind w:left="1440"/>
        <w:jc w:val="both"/>
        <w:rPr>
          <w:u w:val="single"/>
          <w:rtl/>
        </w:rPr>
      </w:pPr>
      <w:r>
        <w:rPr>
          <w:rFonts w:hint="cs"/>
          <w:u w:val="single"/>
          <w:rtl/>
        </w:rPr>
        <w:t>אישום מספר 4</w:t>
      </w:r>
    </w:p>
    <w:p w14:paraId="3A6C3624" w14:textId="77777777" w:rsidR="00EB626B" w:rsidRDefault="00A951F0">
      <w:pPr>
        <w:spacing w:line="480" w:lineRule="auto"/>
        <w:ind w:left="1440"/>
        <w:jc w:val="both"/>
        <w:rPr>
          <w:rtl/>
        </w:rPr>
      </w:pPr>
      <w:r>
        <w:rPr>
          <w:rFonts w:hint="cs"/>
          <w:b/>
          <w:bCs/>
          <w:rtl/>
        </w:rPr>
        <w:t>הפרעת שוטר במילוי תפקידו</w:t>
      </w:r>
      <w:r>
        <w:rPr>
          <w:rFonts w:hint="cs"/>
          <w:rtl/>
        </w:rPr>
        <w:t xml:space="preserve">, עבירה לפי </w:t>
      </w:r>
      <w:hyperlink r:id="rId75" w:history="1">
        <w:r w:rsidR="00891370" w:rsidRPr="00891370">
          <w:rPr>
            <w:color w:val="0000FF"/>
            <w:u w:val="single"/>
            <w:rtl/>
          </w:rPr>
          <w:t>סעיף 275</w:t>
        </w:r>
      </w:hyperlink>
      <w:r>
        <w:rPr>
          <w:rFonts w:hint="cs"/>
          <w:rtl/>
        </w:rPr>
        <w:t xml:space="preserve"> לחוק; </w:t>
      </w:r>
      <w:r>
        <w:rPr>
          <w:rFonts w:hint="cs"/>
          <w:b/>
          <w:bCs/>
          <w:rtl/>
        </w:rPr>
        <w:t>החזקת נכס חשוד כגנוב</w:t>
      </w:r>
      <w:r>
        <w:rPr>
          <w:rFonts w:hint="cs"/>
          <w:rtl/>
        </w:rPr>
        <w:t xml:space="preserve">, עבירה לפי </w:t>
      </w:r>
      <w:hyperlink r:id="rId76" w:history="1">
        <w:r w:rsidR="00891370" w:rsidRPr="00891370">
          <w:rPr>
            <w:color w:val="0000FF"/>
            <w:u w:val="single"/>
            <w:rtl/>
          </w:rPr>
          <w:t>סעיף 413</w:t>
        </w:r>
      </w:hyperlink>
      <w:r>
        <w:rPr>
          <w:rFonts w:hint="cs"/>
          <w:rtl/>
        </w:rPr>
        <w:t xml:space="preserve"> לחוק. מתחם הענישה – 14-10 חודשים. </w:t>
      </w:r>
      <w:r>
        <w:rPr>
          <w:rFonts w:hint="cs"/>
        </w:rPr>
        <w:t xml:space="preserve"> </w:t>
      </w:r>
    </w:p>
    <w:p w14:paraId="6465CAEF" w14:textId="77777777" w:rsidR="00EB626B" w:rsidRDefault="00EB626B">
      <w:pPr>
        <w:spacing w:line="480" w:lineRule="auto"/>
        <w:ind w:left="1440"/>
        <w:jc w:val="both"/>
        <w:rPr>
          <w:rtl/>
        </w:rPr>
      </w:pPr>
    </w:p>
    <w:p w14:paraId="30271415" w14:textId="77777777" w:rsidR="00EB626B" w:rsidRDefault="00A951F0">
      <w:pPr>
        <w:spacing w:line="480" w:lineRule="auto"/>
        <w:ind w:left="1440"/>
        <w:jc w:val="both"/>
        <w:rPr>
          <w:rtl/>
        </w:rPr>
      </w:pPr>
      <w:r>
        <w:rPr>
          <w:rFonts w:hint="cs"/>
          <w:b/>
          <w:bCs/>
          <w:rtl/>
        </w:rPr>
        <w:t>תמצית העבירה</w:t>
      </w:r>
      <w:r>
        <w:rPr>
          <w:rFonts w:hint="cs"/>
          <w:rtl/>
        </w:rPr>
        <w:t xml:space="preserve"> כמפורט בעניינו של נאשם 1; נאשם 2 שהה במהלך הנסיעה בתא המטען של הרכב. </w:t>
      </w:r>
    </w:p>
    <w:p w14:paraId="663A3AA0" w14:textId="77777777" w:rsidR="00EB626B" w:rsidRDefault="00EB626B">
      <w:pPr>
        <w:spacing w:line="480" w:lineRule="auto"/>
        <w:ind w:left="1440"/>
        <w:jc w:val="both"/>
        <w:rPr>
          <w:rtl/>
        </w:rPr>
      </w:pPr>
    </w:p>
    <w:p w14:paraId="62E7F386" w14:textId="77777777" w:rsidR="00EB626B" w:rsidRDefault="00A951F0">
      <w:pPr>
        <w:spacing w:line="480" w:lineRule="auto"/>
        <w:ind w:left="1440"/>
        <w:jc w:val="both"/>
        <w:rPr>
          <w:u w:val="single"/>
          <w:rtl/>
        </w:rPr>
      </w:pPr>
      <w:r>
        <w:rPr>
          <w:rFonts w:hint="cs"/>
          <w:u w:val="single"/>
          <w:rtl/>
        </w:rPr>
        <w:t>אישום מספר 11</w:t>
      </w:r>
    </w:p>
    <w:p w14:paraId="77764EFE" w14:textId="77777777" w:rsidR="00EB626B" w:rsidRDefault="00A951F0">
      <w:pPr>
        <w:spacing w:line="480" w:lineRule="auto"/>
        <w:ind w:left="1440"/>
        <w:jc w:val="both"/>
        <w:rPr>
          <w:rtl/>
        </w:rPr>
      </w:pPr>
      <w:r>
        <w:rPr>
          <w:rFonts w:hint="cs"/>
          <w:b/>
          <w:bCs/>
          <w:rtl/>
        </w:rPr>
        <w:t xml:space="preserve">הפרת הוראה חוקית, </w:t>
      </w:r>
      <w:r>
        <w:rPr>
          <w:rFonts w:hint="cs"/>
          <w:rtl/>
        </w:rPr>
        <w:t xml:space="preserve">עבירה לפי </w:t>
      </w:r>
      <w:hyperlink r:id="rId77" w:history="1">
        <w:r w:rsidR="00891370" w:rsidRPr="00891370">
          <w:rPr>
            <w:color w:val="0000FF"/>
            <w:u w:val="single"/>
            <w:rtl/>
          </w:rPr>
          <w:t>סעיף 287(א)</w:t>
        </w:r>
      </w:hyperlink>
      <w:r>
        <w:rPr>
          <w:rFonts w:hint="cs"/>
          <w:rtl/>
        </w:rPr>
        <w:t xml:space="preserve"> לחוק. מתחם הענישה – 3 חודשי עבודות שירות – 6 חודשי מאסר. </w:t>
      </w:r>
    </w:p>
    <w:p w14:paraId="10C15505" w14:textId="77777777" w:rsidR="00EB626B" w:rsidRDefault="00EB626B">
      <w:pPr>
        <w:spacing w:line="480" w:lineRule="auto"/>
        <w:ind w:left="1440"/>
        <w:jc w:val="both"/>
        <w:rPr>
          <w:rtl/>
        </w:rPr>
      </w:pPr>
    </w:p>
    <w:p w14:paraId="63E76646" w14:textId="77777777" w:rsidR="00EB626B" w:rsidRDefault="00A951F0">
      <w:pPr>
        <w:spacing w:line="480" w:lineRule="auto"/>
        <w:ind w:left="1440"/>
        <w:jc w:val="both"/>
        <w:rPr>
          <w:rtl/>
        </w:rPr>
      </w:pPr>
      <w:r>
        <w:rPr>
          <w:rFonts w:hint="cs"/>
          <w:b/>
          <w:bCs/>
          <w:rtl/>
        </w:rPr>
        <w:t>תמצית העבירה</w:t>
      </w:r>
      <w:r>
        <w:rPr>
          <w:rFonts w:hint="cs"/>
          <w:rtl/>
        </w:rPr>
        <w:t xml:space="preserve"> – במעשיו המתוארים באישומים 2, 3 ו – 4, הפר הנאשם תנאי מעצר בית מלא שהוטלו עליו ביום 25.10.2012 בתיק </w:t>
      </w:r>
      <w:hyperlink r:id="rId78" w:history="1">
        <w:r w:rsidR="00A948FA" w:rsidRPr="00A948FA">
          <w:rPr>
            <w:rStyle w:val="Hyperlink"/>
            <w:rtl/>
          </w:rPr>
          <w:t>מ.ת. 43794-09-12</w:t>
        </w:r>
      </w:hyperlink>
      <w:r>
        <w:rPr>
          <w:rFonts w:hint="cs"/>
          <w:rtl/>
        </w:rPr>
        <w:t xml:space="preserve">. </w:t>
      </w:r>
    </w:p>
    <w:p w14:paraId="3F4B73E1" w14:textId="77777777" w:rsidR="00EB626B" w:rsidRDefault="00EB626B">
      <w:pPr>
        <w:spacing w:line="480" w:lineRule="auto"/>
        <w:jc w:val="both"/>
        <w:rPr>
          <w:rtl/>
        </w:rPr>
      </w:pPr>
    </w:p>
    <w:p w14:paraId="4CA96085" w14:textId="77777777" w:rsidR="00EB626B" w:rsidRDefault="00EB626B">
      <w:pPr>
        <w:spacing w:line="480" w:lineRule="auto"/>
        <w:jc w:val="both"/>
        <w:rPr>
          <w:rtl/>
        </w:rPr>
      </w:pPr>
    </w:p>
    <w:p w14:paraId="18E8A9BB" w14:textId="77777777" w:rsidR="00EB626B" w:rsidRDefault="00EB626B">
      <w:pPr>
        <w:spacing w:line="480" w:lineRule="auto"/>
        <w:jc w:val="both"/>
        <w:rPr>
          <w:rtl/>
        </w:rPr>
      </w:pPr>
    </w:p>
    <w:p w14:paraId="30C4357D" w14:textId="77777777" w:rsidR="00EB626B" w:rsidRDefault="00EB626B">
      <w:pPr>
        <w:spacing w:line="480" w:lineRule="auto"/>
        <w:jc w:val="both"/>
        <w:rPr>
          <w:rtl/>
        </w:rPr>
      </w:pPr>
    </w:p>
    <w:p w14:paraId="7244CBFB" w14:textId="77777777" w:rsidR="00EB626B" w:rsidRDefault="00A951F0">
      <w:pPr>
        <w:spacing w:line="480" w:lineRule="auto"/>
        <w:ind w:left="510" w:hanging="510"/>
        <w:jc w:val="both"/>
        <w:rPr>
          <w:rtl/>
        </w:rPr>
      </w:pPr>
      <w:r>
        <w:rPr>
          <w:rFonts w:hint="cs"/>
          <w:rtl/>
        </w:rPr>
        <w:t>4.</w:t>
      </w:r>
      <w:r>
        <w:rPr>
          <w:rFonts w:hint="cs"/>
          <w:rtl/>
        </w:rPr>
        <w:tab/>
      </w:r>
      <w:r>
        <w:rPr>
          <w:rFonts w:hint="cs"/>
          <w:b/>
          <w:bCs/>
          <w:u w:val="single"/>
          <w:rtl/>
        </w:rPr>
        <w:t>מתחם הענישה הכולל</w:t>
      </w:r>
    </w:p>
    <w:p w14:paraId="545258A3" w14:textId="77777777" w:rsidR="00EB626B" w:rsidRDefault="00EB626B">
      <w:pPr>
        <w:spacing w:line="480" w:lineRule="auto"/>
        <w:ind w:left="510" w:hanging="510"/>
        <w:jc w:val="both"/>
        <w:rPr>
          <w:rtl/>
        </w:rPr>
      </w:pPr>
    </w:p>
    <w:p w14:paraId="761F5A2D" w14:textId="77777777" w:rsidR="00EB626B" w:rsidRDefault="00A951F0">
      <w:pPr>
        <w:spacing w:line="480" w:lineRule="auto"/>
        <w:ind w:left="1440" w:hanging="930"/>
        <w:jc w:val="both"/>
        <w:rPr>
          <w:rtl/>
        </w:rPr>
      </w:pPr>
      <w:r>
        <w:rPr>
          <w:rFonts w:hint="cs"/>
          <w:rtl/>
        </w:rPr>
        <w:t>א.</w:t>
      </w:r>
      <w:r>
        <w:rPr>
          <w:rFonts w:hint="cs"/>
          <w:rtl/>
        </w:rPr>
        <w:tab/>
        <w:t>בהתאם ל</w:t>
      </w:r>
      <w:r w:rsidR="00891370">
        <w:rPr>
          <w:color w:val="000000"/>
          <w:rtl/>
        </w:rPr>
        <w:t xml:space="preserve">סעיף </w:t>
      </w:r>
      <w:hyperlink r:id="rId79" w:history="1">
        <w:r w:rsidR="00891370" w:rsidRPr="00891370">
          <w:rPr>
            <w:color w:val="0000FF"/>
            <w:u w:val="single"/>
            <w:rtl/>
          </w:rPr>
          <w:t>40יג(ב)</w:t>
        </w:r>
      </w:hyperlink>
      <w:r>
        <w:rPr>
          <w:rFonts w:hint="cs"/>
          <w:rtl/>
        </w:rPr>
        <w:t xml:space="preserve"> לחוק, נכון, עתה, לקבוע את מתחם הענישה הכולל, בשים לב למכלול העבירות המגבשות את התמונה הכוללת. בתוך כך יצוין, שעמדת המאשימה ביחס לכל אחד מהנאשמים עומדת על כ - 6 שנות מאסר לריצוי בפועל.  </w:t>
      </w:r>
    </w:p>
    <w:p w14:paraId="2BD35EF2" w14:textId="77777777" w:rsidR="00EB626B" w:rsidRDefault="00EB626B">
      <w:pPr>
        <w:spacing w:line="480" w:lineRule="auto"/>
        <w:ind w:left="1440" w:hanging="930"/>
        <w:jc w:val="both"/>
        <w:rPr>
          <w:rtl/>
        </w:rPr>
      </w:pPr>
    </w:p>
    <w:p w14:paraId="66EE2149" w14:textId="77777777" w:rsidR="00EB626B" w:rsidRDefault="00A951F0">
      <w:pPr>
        <w:spacing w:line="480" w:lineRule="auto"/>
        <w:ind w:left="1440" w:hanging="930"/>
        <w:jc w:val="both"/>
        <w:rPr>
          <w:rtl/>
        </w:rPr>
      </w:pPr>
      <w:r>
        <w:rPr>
          <w:rFonts w:hint="cs"/>
          <w:rtl/>
        </w:rPr>
        <w:t xml:space="preserve">ב. </w:t>
      </w:r>
      <w:r>
        <w:rPr>
          <w:rFonts w:hint="cs"/>
          <w:rtl/>
        </w:rPr>
        <w:tab/>
        <w:t xml:space="preserve">אשר לנאשם 1, מעמיד אני את מתחם הענישה הכולל על הטווח שבין </w:t>
      </w:r>
      <w:r>
        <w:rPr>
          <w:rFonts w:hint="cs"/>
          <w:b/>
          <w:bCs/>
          <w:rtl/>
        </w:rPr>
        <w:t>36 ל - 72</w:t>
      </w:r>
      <w:r>
        <w:rPr>
          <w:rFonts w:hint="cs"/>
          <w:rtl/>
        </w:rPr>
        <w:t xml:space="preserve"> חודשי מאסר בפועל. </w:t>
      </w:r>
    </w:p>
    <w:p w14:paraId="587FD046" w14:textId="77777777" w:rsidR="00EB626B" w:rsidRDefault="00A951F0">
      <w:pPr>
        <w:spacing w:line="480" w:lineRule="auto"/>
        <w:ind w:left="1440" w:hanging="930"/>
        <w:jc w:val="both"/>
        <w:rPr>
          <w:rtl/>
        </w:rPr>
      </w:pPr>
      <w:r>
        <w:rPr>
          <w:rFonts w:hint="cs"/>
          <w:rtl/>
        </w:rPr>
        <w:t>ג.</w:t>
      </w:r>
      <w:r>
        <w:rPr>
          <w:rFonts w:hint="cs"/>
          <w:rtl/>
        </w:rPr>
        <w:tab/>
        <w:t xml:space="preserve">אשר לנאשם 2, מעמיד אני את מתחם הענישה הכולל על הטווח שבין </w:t>
      </w:r>
      <w:r>
        <w:rPr>
          <w:rFonts w:hint="cs"/>
          <w:b/>
          <w:bCs/>
          <w:rtl/>
        </w:rPr>
        <w:t>30 ל - 60</w:t>
      </w:r>
      <w:r>
        <w:rPr>
          <w:rFonts w:hint="cs"/>
          <w:rtl/>
        </w:rPr>
        <w:t xml:space="preserve"> חודשי מאסר בפועל. </w:t>
      </w:r>
    </w:p>
    <w:p w14:paraId="3A65F6B4" w14:textId="77777777" w:rsidR="00EB626B" w:rsidRDefault="00EB626B">
      <w:pPr>
        <w:spacing w:line="480" w:lineRule="auto"/>
        <w:ind w:left="1440" w:hanging="930"/>
        <w:jc w:val="both"/>
        <w:rPr>
          <w:rtl/>
        </w:rPr>
      </w:pPr>
    </w:p>
    <w:p w14:paraId="74B63918" w14:textId="77777777" w:rsidR="00EB626B" w:rsidRDefault="00A951F0">
      <w:pPr>
        <w:spacing w:line="480" w:lineRule="auto"/>
        <w:ind w:left="510" w:hanging="510"/>
        <w:jc w:val="both"/>
        <w:rPr>
          <w:rtl/>
        </w:rPr>
      </w:pPr>
      <w:r>
        <w:rPr>
          <w:rFonts w:hint="cs"/>
          <w:rtl/>
        </w:rPr>
        <w:t>5.</w:t>
      </w:r>
      <w:r>
        <w:rPr>
          <w:rFonts w:hint="cs"/>
          <w:rtl/>
        </w:rPr>
        <w:tab/>
      </w:r>
      <w:r>
        <w:rPr>
          <w:rFonts w:hint="cs"/>
          <w:b/>
          <w:bCs/>
          <w:u w:val="single"/>
          <w:rtl/>
        </w:rPr>
        <w:t>נתונים רלוונטיים נוספים</w:t>
      </w:r>
    </w:p>
    <w:p w14:paraId="0DB94888" w14:textId="77777777" w:rsidR="00EB626B" w:rsidRDefault="00EB626B">
      <w:pPr>
        <w:spacing w:line="480" w:lineRule="auto"/>
        <w:ind w:left="510" w:hanging="510"/>
        <w:jc w:val="both"/>
        <w:rPr>
          <w:rtl/>
        </w:rPr>
      </w:pPr>
    </w:p>
    <w:p w14:paraId="182031CC" w14:textId="77777777" w:rsidR="00EB626B" w:rsidRDefault="00A951F0">
      <w:pPr>
        <w:spacing w:line="480" w:lineRule="auto"/>
        <w:ind w:left="1440" w:hanging="930"/>
        <w:jc w:val="both"/>
        <w:rPr>
          <w:rtl/>
        </w:rPr>
      </w:pPr>
      <w:r>
        <w:rPr>
          <w:rFonts w:hint="cs"/>
          <w:rtl/>
        </w:rPr>
        <w:t>א.</w:t>
      </w:r>
      <w:r>
        <w:rPr>
          <w:rFonts w:hint="cs"/>
          <w:rtl/>
        </w:rPr>
        <w:tab/>
        <w:t xml:space="preserve">במועד בו בוצעו העבירות, לא היה לחובת מי מבין שני נאשמים אלה עבר פלילי, ומכאן, שעם כל החומרה היתרה הגלומה במקבץ הנרחב של העבירות שביצעו, עדיין על הפרק, לדידם, הרשעה ראשונה ובעקבותיה אף תקופת מאסר ראשונה בחייו של כל אחד מהם. </w:t>
      </w:r>
    </w:p>
    <w:p w14:paraId="26230EEA" w14:textId="77777777" w:rsidR="00EB626B" w:rsidRDefault="00EB626B">
      <w:pPr>
        <w:spacing w:line="480" w:lineRule="auto"/>
        <w:ind w:left="1440" w:hanging="930"/>
        <w:jc w:val="both"/>
        <w:rPr>
          <w:rtl/>
        </w:rPr>
      </w:pPr>
    </w:p>
    <w:p w14:paraId="29FFFC81" w14:textId="77777777" w:rsidR="00EB626B" w:rsidRDefault="00A951F0">
      <w:pPr>
        <w:spacing w:line="480" w:lineRule="auto"/>
        <w:ind w:left="1440" w:hanging="930"/>
        <w:jc w:val="both"/>
        <w:rPr>
          <w:rtl/>
        </w:rPr>
      </w:pPr>
      <w:r>
        <w:rPr>
          <w:rFonts w:hint="cs"/>
          <w:rtl/>
        </w:rPr>
        <w:t xml:space="preserve">ב. </w:t>
      </w:r>
      <w:r>
        <w:rPr>
          <w:rFonts w:hint="cs"/>
          <w:rtl/>
        </w:rPr>
        <w:tab/>
        <w:t xml:space="preserve">הרשעת הנאשמים מושתתת על הודאתם בכתבי אישום מתוקנים, ומכאן, שעל בית המשפט לקחת בחשבון לטובתם, גם את העובדה שקיבלו הם אחריות למעשיהם וחסכו מזמנו של בית המשפט. אף גילם – צעיר למדי (נאשם 1 יליד 1990; נאשם 2 יליד 1991). </w:t>
      </w:r>
    </w:p>
    <w:p w14:paraId="5C869E01" w14:textId="77777777" w:rsidR="00EB626B" w:rsidRDefault="00EB626B">
      <w:pPr>
        <w:spacing w:line="480" w:lineRule="auto"/>
        <w:ind w:left="1440" w:hanging="930"/>
        <w:jc w:val="both"/>
        <w:rPr>
          <w:rtl/>
        </w:rPr>
      </w:pPr>
    </w:p>
    <w:p w14:paraId="33686E98" w14:textId="77777777" w:rsidR="00EB626B" w:rsidRDefault="00A951F0">
      <w:pPr>
        <w:spacing w:line="480" w:lineRule="auto"/>
        <w:ind w:left="1440" w:hanging="930"/>
        <w:jc w:val="both"/>
        <w:rPr>
          <w:rtl/>
        </w:rPr>
      </w:pPr>
      <w:r>
        <w:rPr>
          <w:rFonts w:hint="cs"/>
          <w:rtl/>
        </w:rPr>
        <w:t xml:space="preserve">ג. </w:t>
      </w:r>
      <w:r>
        <w:rPr>
          <w:rFonts w:hint="cs"/>
          <w:rtl/>
        </w:rPr>
        <w:tab/>
        <w:t xml:space="preserve">ביחס לכל אחד משני הנאשמים הוכן תסקיר על ידי שירות המבחן. במצוות המחוקק אמנע מפירוט האמור בתסקירים ואסתפק בציון מסקנות שירות המבחן, שניתן, באופן כללי, לקבוע, שהינם, עד למידה ידועה, דומים ביחס לשני הנאשמים. ככלל, התרשם שירות המבחן, שעל הפרק נאשמים שמקורם במשפחות שניתן להגדירן כנורמטיביות, וכי אין להם דפוסים עברייניים מושרשים. עם זאת, נוכח חומרת העבירות ותוך שיודגש גם אלמנט הפרת תנאי השחרור, ביחס לכל אחד מהנאשמים, מבין שירות המבחן, שמתקופת מאסר ממשית, אין כל מנוס, ונוכח זאת נמנע השירות ממתן המלצה בעניינם של הנאשמים. </w:t>
      </w:r>
    </w:p>
    <w:p w14:paraId="48679C14" w14:textId="77777777" w:rsidR="00EB626B" w:rsidRDefault="00EB626B">
      <w:pPr>
        <w:spacing w:line="480" w:lineRule="auto"/>
        <w:ind w:left="1440" w:hanging="930"/>
        <w:jc w:val="both"/>
        <w:rPr>
          <w:rtl/>
        </w:rPr>
      </w:pPr>
    </w:p>
    <w:p w14:paraId="49DB8375" w14:textId="77777777" w:rsidR="00EB626B" w:rsidRDefault="00A951F0">
      <w:pPr>
        <w:spacing w:line="480" w:lineRule="auto"/>
        <w:ind w:left="510" w:hanging="510"/>
        <w:jc w:val="both"/>
        <w:rPr>
          <w:rtl/>
        </w:rPr>
      </w:pPr>
      <w:r>
        <w:rPr>
          <w:rFonts w:hint="cs"/>
          <w:rtl/>
        </w:rPr>
        <w:t>6.</w:t>
      </w:r>
      <w:r>
        <w:rPr>
          <w:rFonts w:hint="cs"/>
          <w:rtl/>
        </w:rPr>
        <w:tab/>
      </w:r>
      <w:r>
        <w:rPr>
          <w:rFonts w:hint="cs"/>
          <w:b/>
          <w:bCs/>
          <w:u w:val="single"/>
          <w:rtl/>
        </w:rPr>
        <w:t>הנאשם 1 – הדיון המסכם</w:t>
      </w:r>
    </w:p>
    <w:p w14:paraId="054EF154" w14:textId="77777777" w:rsidR="00EB626B" w:rsidRDefault="00EB626B">
      <w:pPr>
        <w:spacing w:line="480" w:lineRule="auto"/>
        <w:ind w:left="510" w:hanging="510"/>
        <w:jc w:val="both"/>
        <w:rPr>
          <w:rtl/>
        </w:rPr>
      </w:pPr>
    </w:p>
    <w:p w14:paraId="408CE47B" w14:textId="77777777" w:rsidR="00EB626B" w:rsidRDefault="00A951F0">
      <w:pPr>
        <w:spacing w:line="480" w:lineRule="auto"/>
        <w:ind w:left="1440" w:hanging="930"/>
        <w:jc w:val="both"/>
        <w:rPr>
          <w:rtl/>
        </w:rPr>
      </w:pPr>
      <w:r>
        <w:rPr>
          <w:rFonts w:hint="cs"/>
          <w:rtl/>
        </w:rPr>
        <w:t xml:space="preserve">א. </w:t>
      </w:r>
      <w:r>
        <w:rPr>
          <w:rFonts w:hint="cs"/>
          <w:rtl/>
        </w:rPr>
        <w:tab/>
        <w:t xml:space="preserve">לחובת נאשם זה מסה קריטית של עבירות חמורות, ומסוגים שונים, המצביעה על התנהלות עבריינית קשה, שנמשכה תקופה ממושכת, שראשיתה, ככל הנראה, סמוך לנובמבר 2012 וסיומה במועד בו נעצר – פברואר 2013. במסגרת זאת שיתף הנאשם דנן פעולה עם שניים נוספים, הנאשם 2 ומעורב שלישי "טבנג'ה" (ולעניינו – עיין עוד להלן), בשורה ארוכה של עבירות רכוש כלפי רכבים, באמצעות רכבים, וכלפי רכושם של אזרחים בבתיהם. </w:t>
      </w:r>
    </w:p>
    <w:p w14:paraId="782608AA" w14:textId="77777777" w:rsidR="00EB626B" w:rsidRDefault="00EB626B">
      <w:pPr>
        <w:spacing w:line="480" w:lineRule="auto"/>
        <w:ind w:left="1440" w:hanging="930"/>
        <w:jc w:val="both"/>
        <w:rPr>
          <w:rtl/>
        </w:rPr>
      </w:pPr>
    </w:p>
    <w:p w14:paraId="6627549F" w14:textId="77777777" w:rsidR="00EB626B" w:rsidRDefault="00A951F0">
      <w:pPr>
        <w:spacing w:line="480" w:lineRule="auto"/>
        <w:ind w:left="1440" w:hanging="930"/>
        <w:jc w:val="both"/>
        <w:rPr>
          <w:rtl/>
        </w:rPr>
      </w:pPr>
      <w:r>
        <w:rPr>
          <w:rFonts w:hint="cs"/>
          <w:rtl/>
        </w:rPr>
        <w:t xml:space="preserve">ב. </w:t>
      </w:r>
      <w:r>
        <w:rPr>
          <w:rFonts w:hint="cs"/>
          <w:rtl/>
        </w:rPr>
        <w:tab/>
        <w:t xml:space="preserve">חומרה  מיוחדת גלומה באישום מספר 3, שמעבר לכך שיש בו כדי לתאר התפרצות חמורה נוספת לביתו של תושב קידר, זאת לאחר הגעה לזירת האירוע במכונית גנובה שנשאה לוחית זיהוי מזויפת ( - התנהלות אפיינית), נגנבו מהדירה, בין היתר, גם אקדח ושלוש מחסניות. </w:t>
      </w:r>
    </w:p>
    <w:p w14:paraId="0DE64323" w14:textId="77777777" w:rsidR="00EB626B" w:rsidRDefault="00EB626B">
      <w:pPr>
        <w:spacing w:line="480" w:lineRule="auto"/>
        <w:ind w:left="1440" w:hanging="930"/>
        <w:jc w:val="both"/>
        <w:rPr>
          <w:rtl/>
        </w:rPr>
      </w:pPr>
    </w:p>
    <w:p w14:paraId="55AA545B" w14:textId="77777777" w:rsidR="00EB626B" w:rsidRDefault="00A951F0">
      <w:pPr>
        <w:spacing w:line="480" w:lineRule="auto"/>
        <w:ind w:left="1440" w:hanging="930"/>
        <w:jc w:val="both"/>
        <w:rPr>
          <w:rtl/>
        </w:rPr>
      </w:pPr>
      <w:r>
        <w:rPr>
          <w:rFonts w:hint="cs"/>
          <w:rtl/>
        </w:rPr>
        <w:t>ג.</w:t>
      </w:r>
      <w:r>
        <w:rPr>
          <w:rFonts w:hint="cs"/>
          <w:rtl/>
        </w:rPr>
        <w:tab/>
        <w:t xml:space="preserve">ממד מחמיר נוסף נלמד מאישום מספר 4 המלמד על כך שבמועד הנקוב באישום זה, לאחר שנעצר הנאשם לבדיקה על ידי שוטר, פתח בנסיעה מהירה, ביקש להימלט מהמקום, ואגב ניסיון ההימלטות אף פגע במספר רכבים נוספים. כמפורט להלן, למרות ניסיון הבריחה ניתן בו אמון עת נכון היה בית המשפט לאשר את שחרורו למעצר בית (עיין להלן), וגם זאת, עתיד היה הנאשם להפר. במהלך ניסיון ההימלטות היו בתא המטען של המכונית בה נהג הנאשם זה ושניים משותפיו – הנאשם 2 וטבנג'ה, ולאחר שניסיון ההימלטות של נאשם זה הגיע לסיומו, הבחינו השוטרים בשני הנ"ל יוצאים מתא המטען של הרכב כשחפצים בידיהם ומנסים להימלט בעצמם. </w:t>
      </w:r>
    </w:p>
    <w:p w14:paraId="0272FB35" w14:textId="77777777" w:rsidR="00EB626B" w:rsidRDefault="00EB626B">
      <w:pPr>
        <w:spacing w:line="480" w:lineRule="auto"/>
        <w:ind w:left="1440" w:hanging="930"/>
        <w:jc w:val="both"/>
        <w:rPr>
          <w:rtl/>
        </w:rPr>
      </w:pPr>
    </w:p>
    <w:p w14:paraId="101BD30F" w14:textId="77777777" w:rsidR="00EB626B" w:rsidRDefault="00A951F0">
      <w:pPr>
        <w:spacing w:line="480" w:lineRule="auto"/>
        <w:ind w:left="1440" w:hanging="930"/>
        <w:jc w:val="both"/>
        <w:rPr>
          <w:rtl/>
        </w:rPr>
      </w:pPr>
      <w:r>
        <w:rPr>
          <w:rFonts w:hint="cs"/>
          <w:rtl/>
        </w:rPr>
        <w:t xml:space="preserve">ד. </w:t>
      </w:r>
      <w:r>
        <w:rPr>
          <w:rFonts w:hint="cs"/>
          <w:rtl/>
        </w:rPr>
        <w:tab/>
        <w:t>לא נמצא טעם לחזור על פירוט עבירות הרכוש הרבות הנוספות שביצע הנאשם, ואולם, נמצא לנכון לציין בנקודה זו של הדיון, את הזירה הרחבה בה התנהלו – הנאשם וחבריו: הרכב נשוא אישום מספר 1 נגנב באור יהודה, אחדות מהעבירות בהמשך בוצעו ביישוב קידר. העבירה נשוא אישום מספר 5 התרחשה בגבעת זאב. העבירה נשוא אישום מספר 10 – ברעננה, וברשימה זו אף אין כדי למצות.</w:t>
      </w:r>
    </w:p>
    <w:p w14:paraId="167C9FC6" w14:textId="77777777" w:rsidR="00EB626B" w:rsidRDefault="00EB626B">
      <w:pPr>
        <w:spacing w:line="480" w:lineRule="auto"/>
        <w:ind w:left="1440" w:hanging="930"/>
        <w:jc w:val="both"/>
        <w:rPr>
          <w:rtl/>
        </w:rPr>
      </w:pPr>
    </w:p>
    <w:p w14:paraId="460A37AF" w14:textId="77777777" w:rsidR="00EB626B" w:rsidRDefault="00A951F0">
      <w:pPr>
        <w:spacing w:line="480" w:lineRule="auto"/>
        <w:ind w:left="1440" w:hanging="930"/>
        <w:jc w:val="both"/>
        <w:rPr>
          <w:rtl/>
        </w:rPr>
      </w:pPr>
      <w:r>
        <w:rPr>
          <w:rFonts w:hint="cs"/>
          <w:rtl/>
        </w:rPr>
        <w:t xml:space="preserve">ה. </w:t>
      </w:r>
      <w:r>
        <w:rPr>
          <w:rFonts w:hint="cs"/>
          <w:rtl/>
        </w:rPr>
        <w:tab/>
        <w:t xml:space="preserve">ולבסוף נמצא לציין את האישום שצורף עובר לשלב הטיעונים לעונש ושעניינו הפרת הוראה חוקית, כשברקע הפרת תנאי מעצר בית שהושתו על הנאשם בשלביו המוקדמים של הליך זה. בכל הקשור ליחסו של נאשם זה לשלטון החוק, יש בכך כדי להצביע על מסוכנות עודפת נוספת, באשר, נמצאנו למדים, שגם לאחר שנתפס ולאחר שנכון היה בית המשפט לתת בו אמון מסוים, לא למד הוא את הלקחים המתבקשים, נעצר בשנית, והנה אנחנו כאן. </w:t>
      </w:r>
    </w:p>
    <w:p w14:paraId="11071CBA" w14:textId="77777777" w:rsidR="00EB626B" w:rsidRDefault="00EB626B">
      <w:pPr>
        <w:spacing w:line="480" w:lineRule="auto"/>
        <w:ind w:left="1440" w:hanging="930"/>
        <w:jc w:val="both"/>
        <w:rPr>
          <w:rtl/>
        </w:rPr>
      </w:pPr>
    </w:p>
    <w:p w14:paraId="58E5D17A" w14:textId="77777777" w:rsidR="00EB626B" w:rsidRDefault="00A951F0">
      <w:pPr>
        <w:spacing w:line="480" w:lineRule="auto"/>
        <w:ind w:left="1440" w:hanging="930"/>
        <w:jc w:val="both"/>
        <w:rPr>
          <w:rtl/>
        </w:rPr>
      </w:pPr>
      <w:r>
        <w:rPr>
          <w:rFonts w:hint="cs"/>
          <w:rtl/>
        </w:rPr>
        <w:t xml:space="preserve">ו. </w:t>
      </w:r>
      <w:r>
        <w:rPr>
          <w:rFonts w:hint="cs"/>
          <w:rtl/>
        </w:rPr>
        <w:tab/>
        <w:t xml:space="preserve">בנסיבות אלה אין מנוס ממאסר ממושך בפועל, ואם בכל זאת אמנע ממיצוי הדין עמו, אעשה כן אך נוכח המשקל שראוי לייחס להודאתו, ולכך, שלמרות הכל, על הפרק, נאשם שאין לחובתו עבר פלילי קודם. נוכח זאת ייגזר עונשו של נאשם זה במסגרת מתחם הענישה הכולל, אך תוך הטיה, גם אם מתונה ומידתית, לרף הנמוך ותוך שייוותר חלק מהעונש בממד המותנה. </w:t>
      </w:r>
    </w:p>
    <w:p w14:paraId="03A22139" w14:textId="77777777" w:rsidR="00EB626B" w:rsidRDefault="00EB626B">
      <w:pPr>
        <w:spacing w:line="480" w:lineRule="auto"/>
        <w:ind w:left="930" w:hanging="930"/>
        <w:jc w:val="both"/>
        <w:rPr>
          <w:rtl/>
        </w:rPr>
      </w:pPr>
    </w:p>
    <w:p w14:paraId="7DE12A65" w14:textId="77777777" w:rsidR="00EB626B" w:rsidRDefault="00A951F0">
      <w:pPr>
        <w:spacing w:line="480" w:lineRule="auto"/>
        <w:ind w:left="930" w:hanging="930"/>
        <w:jc w:val="both"/>
        <w:rPr>
          <w:rtl/>
        </w:rPr>
      </w:pPr>
      <w:r>
        <w:rPr>
          <w:rFonts w:hint="cs"/>
          <w:rtl/>
        </w:rPr>
        <w:t>7.</w:t>
      </w:r>
      <w:r>
        <w:rPr>
          <w:rFonts w:hint="cs"/>
          <w:rtl/>
        </w:rPr>
        <w:tab/>
      </w:r>
      <w:r>
        <w:rPr>
          <w:rFonts w:hint="cs"/>
          <w:b/>
          <w:bCs/>
          <w:u w:val="single"/>
          <w:rtl/>
        </w:rPr>
        <w:t>הנאשם 2 – הדיון המסכם</w:t>
      </w:r>
    </w:p>
    <w:p w14:paraId="422468B7" w14:textId="77777777" w:rsidR="00EB626B" w:rsidRDefault="00EB626B">
      <w:pPr>
        <w:spacing w:line="480" w:lineRule="auto"/>
        <w:ind w:left="930" w:hanging="930"/>
        <w:jc w:val="both"/>
        <w:rPr>
          <w:rtl/>
        </w:rPr>
      </w:pPr>
    </w:p>
    <w:p w14:paraId="09D2106C" w14:textId="77777777" w:rsidR="00EB626B" w:rsidRDefault="00A951F0">
      <w:pPr>
        <w:spacing w:line="480" w:lineRule="auto"/>
        <w:ind w:left="1950" w:hanging="1230"/>
        <w:jc w:val="both"/>
        <w:rPr>
          <w:rtl/>
        </w:rPr>
      </w:pPr>
      <w:r>
        <w:rPr>
          <w:rFonts w:hint="cs"/>
          <w:rtl/>
        </w:rPr>
        <w:t>א.</w:t>
      </w:r>
      <w:r>
        <w:rPr>
          <w:rFonts w:hint="cs"/>
          <w:rtl/>
        </w:rPr>
        <w:tab/>
        <w:t xml:space="preserve">חלק לא מבוטל מהאמור ביחס לנאשם 1 תקף גם ביחס לחברו. כמוהו כחברו, נטל גם נאשם זה חלק בהתפרצויות לביתם של תושבי קידר לאחר הגעה לזירה  ברכב גנוב הנושא לוחית זיהוי מזויפת ובעבירות רכוש נוספות. </w:t>
      </w:r>
    </w:p>
    <w:p w14:paraId="5ACCADD7" w14:textId="77777777" w:rsidR="00EB626B" w:rsidRDefault="00EB626B">
      <w:pPr>
        <w:spacing w:line="480" w:lineRule="auto"/>
        <w:ind w:left="1950" w:hanging="1230"/>
        <w:jc w:val="both"/>
        <w:rPr>
          <w:rtl/>
        </w:rPr>
      </w:pPr>
    </w:p>
    <w:p w14:paraId="7935EA31" w14:textId="77777777" w:rsidR="00EB626B" w:rsidRDefault="00A951F0">
      <w:pPr>
        <w:spacing w:line="480" w:lineRule="auto"/>
        <w:ind w:left="1950" w:hanging="1230"/>
        <w:jc w:val="both"/>
        <w:rPr>
          <w:rtl/>
        </w:rPr>
      </w:pPr>
      <w:r>
        <w:rPr>
          <w:rFonts w:hint="cs"/>
          <w:rtl/>
        </w:rPr>
        <w:t>ב.</w:t>
      </w:r>
      <w:r>
        <w:rPr>
          <w:rFonts w:hint="cs"/>
          <w:rtl/>
        </w:rPr>
        <w:tab/>
        <w:t xml:space="preserve">גם בהתפרצות בה נגנבו אקדח ומחסניות נטל חלק גם נאשם זה. </w:t>
      </w:r>
    </w:p>
    <w:p w14:paraId="246658E2" w14:textId="77777777" w:rsidR="00EB626B" w:rsidRDefault="00EB626B">
      <w:pPr>
        <w:spacing w:line="480" w:lineRule="auto"/>
        <w:ind w:left="1950" w:hanging="1230"/>
        <w:jc w:val="both"/>
        <w:rPr>
          <w:rtl/>
        </w:rPr>
      </w:pPr>
    </w:p>
    <w:p w14:paraId="056C8BFB" w14:textId="77777777" w:rsidR="00EB626B" w:rsidRDefault="00A951F0">
      <w:pPr>
        <w:spacing w:line="480" w:lineRule="auto"/>
        <w:ind w:left="1950" w:hanging="1230"/>
        <w:jc w:val="both"/>
        <w:rPr>
          <w:rtl/>
        </w:rPr>
      </w:pPr>
      <w:r>
        <w:rPr>
          <w:rFonts w:hint="cs"/>
          <w:rtl/>
        </w:rPr>
        <w:t xml:space="preserve">ג. </w:t>
      </w:r>
      <w:r>
        <w:rPr>
          <w:rFonts w:hint="cs"/>
          <w:rtl/>
        </w:rPr>
        <w:tab/>
        <w:t xml:space="preserve">גם באירוע נשוא אישום מספר 4 שבמרכזו ניסיון ההימלטות של הנאשם 1 מהשוטר שביקש לבדוק המכונית, נטל נאשם זה חלק, בהיותו בתא המטען של מכונית זו ובניסיונו לברוח לאחר מכן. בנסיבות אלה יש לראותו כשותף של הנאשם 1 לכל דבר ועניין. </w:t>
      </w:r>
    </w:p>
    <w:p w14:paraId="3042C04D" w14:textId="77777777" w:rsidR="00EB626B" w:rsidRDefault="00EB626B">
      <w:pPr>
        <w:spacing w:line="480" w:lineRule="auto"/>
        <w:ind w:left="1950" w:hanging="1230"/>
        <w:jc w:val="both"/>
        <w:rPr>
          <w:rtl/>
        </w:rPr>
      </w:pPr>
    </w:p>
    <w:p w14:paraId="0BD81295" w14:textId="77777777" w:rsidR="00EB626B" w:rsidRDefault="00A951F0">
      <w:pPr>
        <w:spacing w:line="480" w:lineRule="auto"/>
        <w:ind w:left="1950" w:hanging="1230"/>
        <w:jc w:val="both"/>
        <w:rPr>
          <w:rtl/>
        </w:rPr>
      </w:pPr>
      <w:r>
        <w:rPr>
          <w:rFonts w:hint="cs"/>
          <w:rtl/>
        </w:rPr>
        <w:t xml:space="preserve">ד. </w:t>
      </w:r>
      <w:r>
        <w:rPr>
          <w:rFonts w:hint="cs"/>
          <w:rtl/>
        </w:rPr>
        <w:tab/>
        <w:t xml:space="preserve">נאשם זה נעצר לראשונה בספטמבר 2012 בגין אירועים קודמים, וגם הוא לא היסס להפר את תנאי מעצר הבית שהושתו עליו בעקבות זאת. אף בעניינו תקף כל שנקבע במישור זה ביחס לחברו. </w:t>
      </w:r>
    </w:p>
    <w:p w14:paraId="7B4D91FA" w14:textId="77777777" w:rsidR="00EB626B" w:rsidRDefault="00EB626B">
      <w:pPr>
        <w:spacing w:line="480" w:lineRule="auto"/>
        <w:ind w:left="1950" w:hanging="1230"/>
        <w:jc w:val="both"/>
        <w:rPr>
          <w:rtl/>
        </w:rPr>
      </w:pPr>
    </w:p>
    <w:p w14:paraId="69E61855" w14:textId="77777777" w:rsidR="00EB626B" w:rsidRDefault="00A951F0">
      <w:pPr>
        <w:spacing w:line="480" w:lineRule="auto"/>
        <w:ind w:left="1950" w:hanging="1230"/>
        <w:jc w:val="both"/>
        <w:rPr>
          <w:rtl/>
        </w:rPr>
      </w:pPr>
      <w:r>
        <w:rPr>
          <w:rFonts w:hint="cs"/>
          <w:rtl/>
        </w:rPr>
        <w:t xml:space="preserve">ה. </w:t>
      </w:r>
      <w:r>
        <w:rPr>
          <w:rFonts w:hint="cs"/>
          <w:rtl/>
        </w:rPr>
        <w:tab/>
        <w:t xml:space="preserve">היקף העבירות בהן היה נאשם זה מעורב, קטן במעט מזה בו נטל חלק הנאשם 1, ועם זאת, על פני הדברים, מחויב גם נאשם זה למאסר ממושך לריצוי בפועל. באשר בוצעו עבירות אלה בהעדר עבר קודם ונוכח הודית הנאשם 2 נכון אני גם לגביו לקבוע את עונשו, במסגרת המתחם הראוי, תוך הטיה, גם אם מתונה, לרף הנמוך. </w:t>
      </w:r>
    </w:p>
    <w:p w14:paraId="3B40601A" w14:textId="77777777" w:rsidR="00EB626B" w:rsidRDefault="00EB626B">
      <w:pPr>
        <w:spacing w:line="480" w:lineRule="auto"/>
        <w:ind w:left="1950" w:hanging="1230"/>
        <w:jc w:val="both"/>
        <w:rPr>
          <w:rtl/>
        </w:rPr>
      </w:pPr>
    </w:p>
    <w:p w14:paraId="2FB39C83" w14:textId="77777777" w:rsidR="00EB626B" w:rsidRDefault="00A951F0">
      <w:pPr>
        <w:spacing w:line="480" w:lineRule="auto"/>
        <w:ind w:left="2160" w:hanging="1410"/>
        <w:jc w:val="both"/>
        <w:rPr>
          <w:rtl/>
        </w:rPr>
      </w:pPr>
      <w:r>
        <w:rPr>
          <w:rFonts w:hint="cs"/>
          <w:rtl/>
        </w:rPr>
        <w:t>ו.</w:t>
      </w:r>
      <w:r>
        <w:rPr>
          <w:rFonts w:hint="cs"/>
          <w:rtl/>
        </w:rPr>
        <w:tab/>
        <w:t>1.</w:t>
      </w:r>
      <w:r>
        <w:rPr>
          <w:rFonts w:hint="cs"/>
          <w:rtl/>
        </w:rPr>
        <w:tab/>
        <w:t xml:space="preserve">ביחס לנאשם זה אף עומדת לדיון שאלה נוספת הנובעת מהעונש </w:t>
      </w:r>
    </w:p>
    <w:p w14:paraId="188829FB" w14:textId="77777777" w:rsidR="00EB626B" w:rsidRDefault="00A951F0">
      <w:pPr>
        <w:spacing w:line="480" w:lineRule="auto"/>
        <w:ind w:left="2880"/>
        <w:jc w:val="both"/>
        <w:rPr>
          <w:rtl/>
        </w:rPr>
      </w:pPr>
      <w:r>
        <w:rPr>
          <w:rFonts w:hint="cs"/>
          <w:rtl/>
        </w:rPr>
        <w:t xml:space="preserve">שהוטל על המעורב השלישי בפרשה, מחמוד טבנג'ה, בבית המשפט הצבאי, יהודה. על טבג'נה הנ"ל הוטלה במסגרת הסדר טיעון שנת מאסר אחת לריצוי בפועל,  (בצירוף מאסר מותנה וקנס בסך 2,000 ש"ח). זאת על בסיס כתב אישום שלאחר תיקונו דומה למדי, בעיקרו, לזה בו הודה הנאשם 2. והדמיון - ממשי: קיימת חפיפה לא מבוטלת ביחס לפירוט ההתפרצויות, גם ההתפרצות בה נגנבו </w:t>
      </w:r>
    </w:p>
    <w:p w14:paraId="3ABF343D" w14:textId="77777777" w:rsidR="00EB626B" w:rsidRDefault="00A951F0">
      <w:pPr>
        <w:spacing w:line="480" w:lineRule="auto"/>
        <w:ind w:left="720"/>
        <w:jc w:val="both"/>
        <w:rPr>
          <w:rtl/>
        </w:rPr>
      </w:pPr>
      <w:r>
        <w:rPr>
          <w:rFonts w:hint="cs"/>
          <w:rtl/>
        </w:rPr>
        <w:t>אקדח ומחסניות רלוונטית לגבי שניהם, כך גם תמונת המצב ביחס לניסיון ההימלטות בה היה טבנג'ה, כמו גם הנאשם 2, בתא המטען כשברכב נהג הנאשם 1, ומעבר לאמור, באשר נאשם זה נמנה עם תושבי האזור, הודה הוא גם בהפרת הוראה בדבר סגירת שטח (אישום מספר 11 של כתב האישום המתוקן בעניינו של טבנג'ה). עם זאת, הפרת מעצר הבית בה הורשע נאשם זה, אינה רלוונטית לגביו. (למען הסר ספק, אינני סובר להחיל את האמור בפסקה זו ביחס לנאשם 1 שהיקף העבירות שביצע רב משמעותית מהנאשם 2, ולגביו אין בסיס לכל השוואה בינו לבין עניינו של טבנג'ה).</w:t>
      </w:r>
    </w:p>
    <w:p w14:paraId="5443C886" w14:textId="77777777" w:rsidR="00EB626B" w:rsidRDefault="00EB626B">
      <w:pPr>
        <w:spacing w:line="480" w:lineRule="auto"/>
        <w:ind w:left="1950" w:hanging="1230"/>
        <w:jc w:val="both"/>
        <w:rPr>
          <w:rtl/>
        </w:rPr>
      </w:pPr>
    </w:p>
    <w:p w14:paraId="477097A4" w14:textId="77777777" w:rsidR="00EB626B" w:rsidRDefault="00A951F0">
      <w:pPr>
        <w:spacing w:line="480" w:lineRule="auto"/>
        <w:ind w:left="720" w:hanging="720"/>
        <w:jc w:val="both"/>
        <w:rPr>
          <w:rtl/>
        </w:rPr>
      </w:pPr>
      <w:r>
        <w:rPr>
          <w:rFonts w:hint="cs"/>
          <w:rtl/>
        </w:rPr>
        <w:t>2.</w:t>
      </w:r>
      <w:r>
        <w:rPr>
          <w:rFonts w:hint="cs"/>
          <w:rtl/>
        </w:rPr>
        <w:tab/>
        <w:t xml:space="preserve">בנקודה זו עומדת לדיון השאלה, האם, ואם כן עד כמה, יש מקום לשיקולים בדבר מתאם במדיניות הענישה, או לפחות כי ראוי לבית המשפט להימנע מפערים קיצוניים במדיניות הענישה - בין תושבי ישראל לבין תושבי האזור הנדונים בבתי המשפט הצבאיים, כשעל הפרק שותפות באותן עבירות ממש. אין חולקין, שאין בנמצא כלל המחייב מתאם ברמת הענישה בין המקובל בבתי המשפט הצבאיים באזור יהודה ושומרון לבין בתי המשפט בישראל. מדיניות הענישה בישראל ותיקון 113 אינם מחייבים את בתי המשפט הצבאיים, ואף לא להיפך. עם זאת, ספק אם ראוי לבית המשפט להתעלם לחלוטין מגזר דין זה, וספק אם אין מידה של טעם בטענת ההגנה שאין כל הצדקה עניינית ליחס מקל ביחס לתושבי האזור השותפים לעבירה בהשוואה לחבריהם תושבי ישראל. לשון אחר: נותנת הדעת, שאם ביחס לשותף תושב האזור נחתם גזר דין מקל מאוד, וזאת אף על דעת התביעה (כאמור לעיל, במסגרת הסדר טיעון), יש בכך כדי להקרין, ולו גם במידה מסוימת, גם על עונשו של "השותף הישראלי". עם כל ההבדלים בין מערכת בתי המשפט בישראל לבין בתי המשפט הצבאיים ביהודה ושומרון, וללא ספק, רבים ההבדלים עד מאוד, יש לבית המשפט תחושת אי נוחות במצבים בהם טוענת המאשימה בישראל לרמת ענישה העולה עשרת מונים על זו </w:t>
      </w:r>
    </w:p>
    <w:p w14:paraId="45765C0C" w14:textId="77777777" w:rsidR="00EB626B" w:rsidRDefault="00EB626B">
      <w:pPr>
        <w:spacing w:line="480" w:lineRule="auto"/>
        <w:ind w:left="2760"/>
        <w:jc w:val="both"/>
        <w:rPr>
          <w:rtl/>
        </w:rPr>
      </w:pPr>
    </w:p>
    <w:p w14:paraId="68B620A8" w14:textId="77777777" w:rsidR="00EB626B" w:rsidRDefault="00A951F0">
      <w:pPr>
        <w:spacing w:line="480" w:lineRule="auto"/>
        <w:ind w:left="1440"/>
        <w:jc w:val="both"/>
        <w:rPr>
          <w:rtl/>
        </w:rPr>
      </w:pPr>
      <w:r>
        <w:rPr>
          <w:rFonts w:hint="cs"/>
          <w:rtl/>
        </w:rPr>
        <w:t xml:space="preserve">שהוחלה, בהסכמת התביעה הצבאית, על שותף לאותן עבירות (בעיקרן), המתגורר ביהודה ושומרון. כללו של דיון במסקנה שגם בכך יש כדי להצדיק הטיה מסוימת לקולא של העונש שיוטל על הנאשם 2, וזאת במסגרת מתחם הענישה. </w:t>
      </w:r>
    </w:p>
    <w:p w14:paraId="2E0FC73E" w14:textId="77777777" w:rsidR="00EB626B" w:rsidRDefault="00EB626B">
      <w:pPr>
        <w:spacing w:line="480" w:lineRule="auto"/>
        <w:ind w:left="1950" w:hanging="1230"/>
        <w:jc w:val="both"/>
        <w:rPr>
          <w:rtl/>
        </w:rPr>
      </w:pPr>
    </w:p>
    <w:p w14:paraId="2E5B52D1" w14:textId="77777777" w:rsidR="00EB626B" w:rsidRDefault="00A951F0">
      <w:pPr>
        <w:spacing w:line="480" w:lineRule="auto"/>
        <w:ind w:left="1440" w:hanging="720"/>
        <w:jc w:val="both"/>
        <w:rPr>
          <w:rtl/>
        </w:rPr>
      </w:pPr>
      <w:r>
        <w:rPr>
          <w:rFonts w:hint="cs"/>
          <w:rtl/>
        </w:rPr>
        <w:t>3.</w:t>
      </w:r>
      <w:r>
        <w:rPr>
          <w:rFonts w:hint="cs"/>
          <w:rtl/>
        </w:rPr>
        <w:tab/>
        <w:t xml:space="preserve">ובמאמר מוסגר – שימת לב חוזרת ונשנית להערותיו של בית משפט זה ביחס למצב בו שותפים לעבירות תושבי האזור הנותנים את הדין בבתי המשפט הצבאיים ביהודה ושומרון ותושבי ישראל: ראוי לתביעה הצבאית, במצבים מסוג זה, לגלות עירנות לעובדה שבאותה פרשה נכללים נאשמים משתי קבוצות שונות (מבחינת התושבות, ובהמשך לכך מבחינת הכפיפות לסמכות השיפוט של בתי המשפט השונים), ולהימנע מהסדרי טיעון קודם שבוצע 'תאום עמדות' מול התביעה הכללית בישראל. </w:t>
      </w:r>
    </w:p>
    <w:p w14:paraId="0084E5BC" w14:textId="77777777" w:rsidR="00EB626B" w:rsidRDefault="00EB626B">
      <w:pPr>
        <w:spacing w:line="480" w:lineRule="auto"/>
        <w:jc w:val="both"/>
        <w:rPr>
          <w:rtl/>
        </w:rPr>
      </w:pPr>
    </w:p>
    <w:p w14:paraId="056E0D8E" w14:textId="77777777" w:rsidR="00EB626B" w:rsidRDefault="00A951F0">
      <w:pPr>
        <w:spacing w:line="480" w:lineRule="auto"/>
        <w:ind w:left="720" w:hanging="720"/>
        <w:jc w:val="both"/>
        <w:rPr>
          <w:u w:val="single"/>
          <w:rtl/>
        </w:rPr>
      </w:pPr>
      <w:r>
        <w:rPr>
          <w:rFonts w:hint="cs"/>
          <w:rtl/>
        </w:rPr>
        <w:t>8.</w:t>
      </w:r>
      <w:r>
        <w:rPr>
          <w:rFonts w:hint="cs"/>
          <w:rtl/>
        </w:rPr>
        <w:tab/>
      </w:r>
      <w:r>
        <w:rPr>
          <w:rFonts w:hint="cs"/>
          <w:b/>
          <w:bCs/>
          <w:u w:val="single"/>
          <w:rtl/>
        </w:rPr>
        <w:t>סוף דבר</w:t>
      </w:r>
    </w:p>
    <w:p w14:paraId="6A0AB329" w14:textId="77777777" w:rsidR="00EB626B" w:rsidRDefault="00EB626B">
      <w:pPr>
        <w:spacing w:line="480" w:lineRule="auto"/>
        <w:ind w:left="720" w:hanging="720"/>
        <w:jc w:val="both"/>
        <w:rPr>
          <w:rtl/>
        </w:rPr>
      </w:pPr>
    </w:p>
    <w:p w14:paraId="37882889" w14:textId="77777777" w:rsidR="00EB626B" w:rsidRDefault="00A951F0">
      <w:pPr>
        <w:spacing w:line="480" w:lineRule="auto"/>
        <w:ind w:left="720"/>
        <w:jc w:val="both"/>
        <w:rPr>
          <w:rtl/>
        </w:rPr>
      </w:pPr>
      <w:r>
        <w:rPr>
          <w:rFonts w:hint="cs"/>
          <w:rtl/>
        </w:rPr>
        <w:t xml:space="preserve">מעונשי מאסר ממושכים, בנסיבות העניין, אין מנוס. לשיקול ההלימה המגולם במפורש </w:t>
      </w:r>
      <w:r w:rsidR="00F94578" w:rsidRPr="00EC4571">
        <w:rPr>
          <w:color w:val="000000"/>
          <w:rtl/>
        </w:rPr>
        <w:t>בסעיף 40ב</w:t>
      </w:r>
      <w:r>
        <w:rPr>
          <w:rFonts w:hint="cs"/>
          <w:rtl/>
        </w:rPr>
        <w:t xml:space="preserve"> לחוק יש ליתן משקל רב, כך גם לשיקולים שבמרכזם הצורך להרתעת הכלל ובפרט להרתעתם האישית של הנאשמים שבתחילה לא היססו לנסות ולהימלט מהמשטרה, ולגביהם, אף נמצאנו למדים, שזמן קצר לאחר שנשלחו למעצר בית, אף הורו היתר לעצמם והפרו אותו. משקל רב יש גם למסה הקריטית של העבירות לסוגיהן השונים, המצביעה בעליל על כך, שאין על הפרק מעידה אקראית, אלא, למרבה הצער, הרבה מעבר לכך. גם לאלמנט הביצוע בצוותא, כשעל הפרק עבירות כה רבות, משקל רב. בשים לב לתקופות המאסר הממושכות שתיגזרנה עליהם, אמנע מצו לפיצוי המתלוננים, ועם זאת, ראוי לתמוך את העונש בקנסות משמעותיים ובימי מאסר חלף קנס, אם לא יעמדו בתשלום הקנס. אשר לנאשם 1 ראוי להתערב גם במעמד רישיון הנהיגה, אם וככל שיש לו כזה.  </w:t>
      </w:r>
    </w:p>
    <w:p w14:paraId="7D87D4ED" w14:textId="77777777" w:rsidR="00EB626B" w:rsidRDefault="00EB626B">
      <w:pPr>
        <w:spacing w:line="480" w:lineRule="auto"/>
        <w:ind w:left="720" w:hanging="720"/>
        <w:jc w:val="both"/>
        <w:rPr>
          <w:rtl/>
        </w:rPr>
      </w:pPr>
    </w:p>
    <w:p w14:paraId="5F007B09" w14:textId="77777777" w:rsidR="00EB626B" w:rsidRDefault="00A951F0">
      <w:pPr>
        <w:spacing w:line="480" w:lineRule="auto"/>
        <w:ind w:left="720" w:hanging="720"/>
        <w:jc w:val="both"/>
        <w:rPr>
          <w:rtl/>
        </w:rPr>
      </w:pPr>
      <w:r>
        <w:rPr>
          <w:rFonts w:hint="cs"/>
          <w:rtl/>
        </w:rPr>
        <w:t>9.</w:t>
      </w:r>
      <w:r>
        <w:rPr>
          <w:rFonts w:hint="cs"/>
          <w:rtl/>
        </w:rPr>
        <w:tab/>
      </w:r>
      <w:r>
        <w:rPr>
          <w:rFonts w:hint="cs"/>
          <w:b/>
          <w:bCs/>
          <w:u w:val="single"/>
          <w:rtl/>
        </w:rPr>
        <w:t>גזר הדין</w:t>
      </w:r>
    </w:p>
    <w:p w14:paraId="307CFAB0" w14:textId="77777777" w:rsidR="00EB626B" w:rsidRDefault="00EB626B">
      <w:pPr>
        <w:spacing w:line="480" w:lineRule="auto"/>
        <w:ind w:left="720" w:hanging="720"/>
        <w:jc w:val="both"/>
        <w:rPr>
          <w:rtl/>
        </w:rPr>
      </w:pPr>
    </w:p>
    <w:p w14:paraId="45A9F36D" w14:textId="77777777" w:rsidR="00EB626B" w:rsidRDefault="00A951F0">
      <w:pPr>
        <w:spacing w:line="480" w:lineRule="auto"/>
        <w:ind w:left="720" w:hanging="720"/>
        <w:jc w:val="both"/>
        <w:rPr>
          <w:b/>
          <w:bCs/>
          <w:u w:val="single"/>
          <w:rtl/>
        </w:rPr>
      </w:pPr>
      <w:r>
        <w:rPr>
          <w:rFonts w:hint="cs"/>
          <w:b/>
          <w:bCs/>
          <w:rtl/>
        </w:rPr>
        <w:tab/>
      </w:r>
      <w:r>
        <w:rPr>
          <w:rFonts w:hint="cs"/>
          <w:b/>
          <w:bCs/>
          <w:u w:val="single"/>
          <w:rtl/>
        </w:rPr>
        <w:t>הנאשם 1</w:t>
      </w:r>
    </w:p>
    <w:p w14:paraId="23EC6CFF" w14:textId="77777777" w:rsidR="00EB626B" w:rsidRDefault="00EB626B">
      <w:pPr>
        <w:spacing w:line="480" w:lineRule="auto"/>
        <w:jc w:val="both"/>
        <w:rPr>
          <w:rtl/>
        </w:rPr>
      </w:pPr>
    </w:p>
    <w:p w14:paraId="401E48A8" w14:textId="77777777" w:rsidR="00EB626B" w:rsidRDefault="00A951F0">
      <w:pPr>
        <w:spacing w:line="480" w:lineRule="auto"/>
        <w:ind w:left="720"/>
        <w:jc w:val="both"/>
        <w:rPr>
          <w:rtl/>
        </w:rPr>
      </w:pPr>
      <w:r>
        <w:rPr>
          <w:rFonts w:hint="cs"/>
          <w:u w:val="single"/>
          <w:rtl/>
        </w:rPr>
        <w:t>מאסר</w:t>
      </w:r>
      <w:r>
        <w:rPr>
          <w:rFonts w:hint="cs"/>
          <w:rtl/>
        </w:rPr>
        <w:t xml:space="preserve"> - מאסר בפועל לתקופה של 42 חודש. תקופת מאסרו תחושב מהיום ובניכוי 239 ימים בהם שהה במעצר (בשני שלבים).</w:t>
      </w:r>
    </w:p>
    <w:p w14:paraId="64D61C96" w14:textId="77777777" w:rsidR="00EB626B" w:rsidRDefault="00EB626B">
      <w:pPr>
        <w:pStyle w:val="3"/>
        <w:rPr>
          <w:b w:val="0"/>
          <w:bCs w:val="0"/>
          <w:i/>
          <w:iCs/>
          <w:rtl/>
        </w:rPr>
      </w:pPr>
    </w:p>
    <w:p w14:paraId="0513923E" w14:textId="77777777" w:rsidR="00EB626B" w:rsidRDefault="00A951F0">
      <w:pPr>
        <w:spacing w:line="480" w:lineRule="auto"/>
        <w:ind w:left="720"/>
        <w:jc w:val="both"/>
        <w:rPr>
          <w:rtl/>
        </w:rPr>
      </w:pPr>
      <w:r>
        <w:rPr>
          <w:rFonts w:hint="cs"/>
          <w:u w:val="single"/>
          <w:rtl/>
        </w:rPr>
        <w:t>מאסר על תנאי</w:t>
      </w:r>
      <w:r>
        <w:rPr>
          <w:rFonts w:hint="cs"/>
          <w:rtl/>
        </w:rPr>
        <w:t xml:space="preserve"> - מאסר על תנאי לתקופה של 6 חודשים. הנאשם ישא בעונש זה אם בתקופה של שנתיים מיום שחרורו יעבור עבירה נוספת לפי סעיף מבין אלה הנכללים בסימנים הבאים:-</w:t>
      </w:r>
    </w:p>
    <w:p w14:paraId="5ADE0FA4" w14:textId="77777777" w:rsidR="00EB626B" w:rsidRDefault="00891370">
      <w:pPr>
        <w:spacing w:line="480" w:lineRule="auto"/>
        <w:ind w:left="720"/>
        <w:jc w:val="both"/>
        <w:rPr>
          <w:rtl/>
        </w:rPr>
      </w:pPr>
      <w:hyperlink r:id="rId80" w:history="1">
        <w:r w:rsidRPr="00891370">
          <w:rPr>
            <w:color w:val="0000FF"/>
            <w:u w:val="single"/>
            <w:rtl/>
          </w:rPr>
          <w:t>סימן א' לפרק ח'</w:t>
        </w:r>
      </w:hyperlink>
      <w:r w:rsidR="00A951F0">
        <w:rPr>
          <w:rFonts w:hint="cs"/>
          <w:rtl/>
        </w:rPr>
        <w:t xml:space="preserve"> של </w:t>
      </w:r>
      <w:hyperlink r:id="rId81" w:history="1">
        <w:r w:rsidR="00A948FA" w:rsidRPr="00A948FA">
          <w:rPr>
            <w:rStyle w:val="Hyperlink"/>
            <w:rtl/>
          </w:rPr>
          <w:t>חוק העונשין</w:t>
        </w:r>
      </w:hyperlink>
      <w:r w:rsidR="00A951F0">
        <w:rPr>
          <w:rFonts w:hint="cs"/>
          <w:rtl/>
        </w:rPr>
        <w:t xml:space="preserve"> [</w:t>
      </w:r>
      <w:r w:rsidR="00A951F0">
        <w:rPr>
          <w:rFonts w:hint="cs"/>
          <w:b/>
          <w:bCs/>
          <w:rtl/>
        </w:rPr>
        <w:t xml:space="preserve"> - "החוק"</w:t>
      </w:r>
      <w:r w:rsidR="00A951F0">
        <w:rPr>
          <w:rFonts w:hint="cs"/>
          <w:rtl/>
        </w:rPr>
        <w:t xml:space="preserve">]; </w:t>
      </w:r>
    </w:p>
    <w:p w14:paraId="140AEC7C" w14:textId="77777777" w:rsidR="00EB626B" w:rsidRDefault="00A951F0">
      <w:pPr>
        <w:spacing w:line="480" w:lineRule="auto"/>
        <w:ind w:left="720"/>
        <w:jc w:val="both"/>
        <w:rPr>
          <w:rtl/>
        </w:rPr>
      </w:pPr>
      <w:r>
        <w:rPr>
          <w:rFonts w:hint="cs"/>
          <w:rtl/>
        </w:rPr>
        <w:t xml:space="preserve">סימן ג' </w:t>
      </w:r>
      <w:hyperlink r:id="rId82" w:history="1">
        <w:r w:rsidR="00891370" w:rsidRPr="00891370">
          <w:rPr>
            <w:color w:val="0000FF"/>
            <w:u w:val="single"/>
            <w:rtl/>
          </w:rPr>
          <w:t>וסימן ד' לפרק ט'</w:t>
        </w:r>
      </w:hyperlink>
      <w:r>
        <w:rPr>
          <w:rFonts w:hint="cs"/>
          <w:rtl/>
        </w:rPr>
        <w:t xml:space="preserve"> לחוק;</w:t>
      </w:r>
    </w:p>
    <w:p w14:paraId="021F05BA" w14:textId="77777777" w:rsidR="00EB626B" w:rsidRDefault="00891370">
      <w:pPr>
        <w:spacing w:line="480" w:lineRule="auto"/>
        <w:ind w:left="720"/>
        <w:jc w:val="both"/>
        <w:rPr>
          <w:rtl/>
        </w:rPr>
      </w:pPr>
      <w:hyperlink r:id="rId83" w:history="1">
        <w:r w:rsidRPr="00891370">
          <w:rPr>
            <w:color w:val="0000FF"/>
            <w:u w:val="single"/>
            <w:rtl/>
          </w:rPr>
          <w:t>סימן ח' לפרק י'</w:t>
        </w:r>
      </w:hyperlink>
      <w:r w:rsidR="00A951F0">
        <w:rPr>
          <w:rFonts w:hint="cs"/>
          <w:rtl/>
        </w:rPr>
        <w:t xml:space="preserve"> לחוק; </w:t>
      </w:r>
    </w:p>
    <w:p w14:paraId="7B2B5847" w14:textId="77777777" w:rsidR="00EB626B" w:rsidRDefault="00A951F0">
      <w:pPr>
        <w:spacing w:line="480" w:lineRule="auto"/>
        <w:ind w:left="720"/>
        <w:jc w:val="both"/>
        <w:rPr>
          <w:rtl/>
        </w:rPr>
      </w:pPr>
      <w:r>
        <w:rPr>
          <w:rFonts w:hint="cs"/>
          <w:rtl/>
        </w:rPr>
        <w:t xml:space="preserve">סימן א' , סימן ד', סימן ה, סימן ה1 </w:t>
      </w:r>
      <w:hyperlink r:id="rId84" w:history="1">
        <w:r w:rsidR="00891370" w:rsidRPr="00891370">
          <w:rPr>
            <w:color w:val="0000FF"/>
            <w:u w:val="single"/>
            <w:rtl/>
          </w:rPr>
          <w:t>וסימן ט' לפרק י"א</w:t>
        </w:r>
      </w:hyperlink>
      <w:r>
        <w:rPr>
          <w:rFonts w:hint="cs"/>
          <w:rtl/>
        </w:rPr>
        <w:t xml:space="preserve"> לחוק. </w:t>
      </w:r>
    </w:p>
    <w:p w14:paraId="48E6A656" w14:textId="77777777" w:rsidR="00EB626B" w:rsidRDefault="00EB626B">
      <w:pPr>
        <w:spacing w:line="480" w:lineRule="auto"/>
        <w:ind w:left="720"/>
        <w:jc w:val="both"/>
        <w:rPr>
          <w:u w:val="single"/>
          <w:rtl/>
        </w:rPr>
      </w:pPr>
    </w:p>
    <w:p w14:paraId="53881C77" w14:textId="77777777" w:rsidR="00EB626B" w:rsidRDefault="00A951F0">
      <w:pPr>
        <w:spacing w:line="480" w:lineRule="auto"/>
        <w:ind w:left="720"/>
        <w:jc w:val="both"/>
        <w:rPr>
          <w:rtl/>
        </w:rPr>
      </w:pPr>
      <w:r>
        <w:rPr>
          <w:rFonts w:hint="cs"/>
          <w:u w:val="single"/>
          <w:rtl/>
        </w:rPr>
        <w:t>פסילת רשיון</w:t>
      </w:r>
      <w:r>
        <w:rPr>
          <w:rFonts w:hint="cs"/>
          <w:rtl/>
        </w:rPr>
        <w:t xml:space="preserve"> – רשיון הנהיגה של הנאשם נפסל בזה לשלוש שנים מיום שחרורו.</w:t>
      </w:r>
    </w:p>
    <w:p w14:paraId="27B8D84D" w14:textId="77777777" w:rsidR="00EB626B" w:rsidRDefault="00EB626B">
      <w:pPr>
        <w:spacing w:line="480" w:lineRule="auto"/>
        <w:ind w:left="720"/>
        <w:jc w:val="both"/>
        <w:rPr>
          <w:rtl/>
        </w:rPr>
      </w:pPr>
    </w:p>
    <w:p w14:paraId="794EB7FE" w14:textId="77777777" w:rsidR="00EB626B" w:rsidRDefault="00A951F0">
      <w:pPr>
        <w:spacing w:line="480" w:lineRule="auto"/>
        <w:ind w:left="720"/>
        <w:jc w:val="both"/>
        <w:rPr>
          <w:rtl/>
        </w:rPr>
      </w:pPr>
      <w:r>
        <w:rPr>
          <w:rFonts w:hint="cs"/>
          <w:u w:val="single"/>
          <w:rtl/>
        </w:rPr>
        <w:t>קנס</w:t>
      </w:r>
      <w:r>
        <w:rPr>
          <w:rFonts w:hint="cs"/>
          <w:rtl/>
        </w:rPr>
        <w:t xml:space="preserve"> - קנס בסך 10,000 ש"ח או מאסר למשך 100 ימים תחתיו; הקנס ישולם ב- 20 תשלומים חודשיים שווים ורצופים. התשלום הראשון ישולם עד יום 1.3.2014 ויתר התשלומים מידי  30 יום לאחר מכן. פיגור בתשלום אחד מן השיעורים שנקבעו לעיל, יעמיד לפירעון מיידי את יתרת הקנס שטרם שולמה ויחייב את הנאשם בתשלום תוספת פיגורים כחוק. אם הופקדו על ידי הנאשם כספים בעקבות צווי הבאה שהוציא בית המשפט, ייחשבו כספים אלה על חשבון הקנס; היתרה תוחזר לנאשם.</w:t>
      </w:r>
    </w:p>
    <w:p w14:paraId="5BF58A0D" w14:textId="77777777" w:rsidR="00EB626B" w:rsidRDefault="00EB626B">
      <w:pPr>
        <w:spacing w:line="480" w:lineRule="auto"/>
        <w:jc w:val="both"/>
        <w:rPr>
          <w:rtl/>
        </w:rPr>
      </w:pPr>
    </w:p>
    <w:p w14:paraId="75BDFB72" w14:textId="77777777" w:rsidR="00EB626B" w:rsidRDefault="00A951F0">
      <w:pPr>
        <w:spacing w:line="480" w:lineRule="auto"/>
        <w:ind w:left="720"/>
        <w:jc w:val="both"/>
        <w:rPr>
          <w:b/>
          <w:bCs/>
          <w:u w:val="single"/>
          <w:rtl/>
        </w:rPr>
      </w:pPr>
      <w:r>
        <w:rPr>
          <w:rFonts w:hint="cs"/>
          <w:b/>
          <w:bCs/>
          <w:u w:val="single"/>
          <w:rtl/>
        </w:rPr>
        <w:t>הנאשם 2</w:t>
      </w:r>
    </w:p>
    <w:p w14:paraId="146445BE" w14:textId="77777777" w:rsidR="00EB626B" w:rsidRDefault="00EB626B">
      <w:pPr>
        <w:spacing w:line="480" w:lineRule="auto"/>
        <w:jc w:val="both"/>
        <w:rPr>
          <w:rtl/>
        </w:rPr>
      </w:pPr>
    </w:p>
    <w:p w14:paraId="65D45147" w14:textId="77777777" w:rsidR="00EB626B" w:rsidRDefault="00A951F0">
      <w:pPr>
        <w:spacing w:line="480" w:lineRule="auto"/>
        <w:ind w:firstLine="720"/>
        <w:jc w:val="both"/>
        <w:rPr>
          <w:rtl/>
        </w:rPr>
      </w:pPr>
      <w:r>
        <w:rPr>
          <w:rFonts w:hint="cs"/>
          <w:u w:val="single"/>
          <w:rtl/>
        </w:rPr>
        <w:t>מאסר</w:t>
      </w:r>
      <w:r>
        <w:rPr>
          <w:rFonts w:hint="cs"/>
          <w:rtl/>
        </w:rPr>
        <w:t xml:space="preserve"> - מאסר בפועל לתקופה של 30 חודשים. תקופת מאסרו תחושב מיום 6.2.2013.</w:t>
      </w:r>
    </w:p>
    <w:p w14:paraId="1D3F0708" w14:textId="77777777" w:rsidR="00EB626B" w:rsidRDefault="00EB626B">
      <w:pPr>
        <w:pStyle w:val="3"/>
        <w:rPr>
          <w:b w:val="0"/>
          <w:bCs w:val="0"/>
          <w:i/>
          <w:iCs/>
          <w:rtl/>
        </w:rPr>
      </w:pPr>
    </w:p>
    <w:p w14:paraId="15FD8983" w14:textId="77777777" w:rsidR="00EB626B" w:rsidRDefault="00A951F0">
      <w:pPr>
        <w:spacing w:line="480" w:lineRule="auto"/>
        <w:ind w:left="720"/>
        <w:jc w:val="both"/>
        <w:rPr>
          <w:rtl/>
        </w:rPr>
      </w:pPr>
      <w:r>
        <w:rPr>
          <w:rFonts w:hint="cs"/>
          <w:u w:val="single"/>
          <w:rtl/>
        </w:rPr>
        <w:t>מאסר על תנאי</w:t>
      </w:r>
      <w:r>
        <w:rPr>
          <w:rFonts w:hint="cs"/>
          <w:rtl/>
        </w:rPr>
        <w:t xml:space="preserve"> - מאסר על תנאי לתקופה של 6 חודשים. הנאשם ישא בעונש זה אם בתקופה של שנתיים מהיום יעבור עבירה נוספת לפי סעיף מבין הסעיפים הנכללים בסימנים הבאים:- </w:t>
      </w:r>
    </w:p>
    <w:p w14:paraId="3A9124A2" w14:textId="77777777" w:rsidR="00EB626B" w:rsidRDefault="00891370">
      <w:pPr>
        <w:spacing w:line="480" w:lineRule="auto"/>
        <w:ind w:left="720"/>
        <w:jc w:val="both"/>
        <w:rPr>
          <w:rtl/>
        </w:rPr>
      </w:pPr>
      <w:hyperlink r:id="rId85" w:history="1">
        <w:r w:rsidRPr="00891370">
          <w:rPr>
            <w:color w:val="0000FF"/>
            <w:u w:val="single"/>
            <w:rtl/>
          </w:rPr>
          <w:t>סימן א' לפרק ח'</w:t>
        </w:r>
      </w:hyperlink>
      <w:r w:rsidR="00A951F0">
        <w:rPr>
          <w:rFonts w:hint="cs"/>
          <w:rtl/>
        </w:rPr>
        <w:t xml:space="preserve"> לחוק;</w:t>
      </w:r>
    </w:p>
    <w:p w14:paraId="6D371D9C" w14:textId="77777777" w:rsidR="00EB626B" w:rsidRDefault="00A951F0">
      <w:pPr>
        <w:spacing w:line="480" w:lineRule="auto"/>
        <w:ind w:left="720"/>
        <w:jc w:val="both"/>
        <w:rPr>
          <w:rtl/>
        </w:rPr>
      </w:pPr>
      <w:r>
        <w:rPr>
          <w:rFonts w:hint="cs"/>
          <w:rtl/>
        </w:rPr>
        <w:t xml:space="preserve">סימן ג' </w:t>
      </w:r>
      <w:hyperlink r:id="rId86" w:history="1">
        <w:r w:rsidR="00891370" w:rsidRPr="00891370">
          <w:rPr>
            <w:color w:val="0000FF"/>
            <w:u w:val="single"/>
            <w:rtl/>
          </w:rPr>
          <w:t>וסימן ד' לפרק ט'</w:t>
        </w:r>
      </w:hyperlink>
      <w:r>
        <w:rPr>
          <w:rFonts w:hint="cs"/>
          <w:rtl/>
        </w:rPr>
        <w:t xml:space="preserve"> לחוק; </w:t>
      </w:r>
    </w:p>
    <w:p w14:paraId="7677E3CD" w14:textId="77777777" w:rsidR="00EB626B" w:rsidRDefault="00891370">
      <w:pPr>
        <w:spacing w:line="480" w:lineRule="auto"/>
        <w:ind w:left="720"/>
        <w:jc w:val="both"/>
        <w:rPr>
          <w:rtl/>
        </w:rPr>
      </w:pPr>
      <w:hyperlink r:id="rId87" w:history="1">
        <w:r w:rsidRPr="00891370">
          <w:rPr>
            <w:color w:val="0000FF"/>
            <w:u w:val="single"/>
            <w:rtl/>
          </w:rPr>
          <w:t>סימן ח' לפרק י'</w:t>
        </w:r>
      </w:hyperlink>
      <w:r w:rsidR="00A951F0">
        <w:rPr>
          <w:rFonts w:hint="cs"/>
          <w:rtl/>
        </w:rPr>
        <w:t xml:space="preserve"> לחוק;</w:t>
      </w:r>
    </w:p>
    <w:p w14:paraId="706B32AB" w14:textId="77777777" w:rsidR="00EB626B" w:rsidRDefault="00A951F0">
      <w:pPr>
        <w:spacing w:line="480" w:lineRule="auto"/>
        <w:ind w:left="720"/>
        <w:jc w:val="both"/>
        <w:rPr>
          <w:rtl/>
        </w:rPr>
      </w:pPr>
      <w:r>
        <w:rPr>
          <w:rFonts w:hint="cs"/>
          <w:rtl/>
        </w:rPr>
        <w:t xml:space="preserve">סימן א' , סימן ד', סימן ה, סימן ה1 </w:t>
      </w:r>
      <w:hyperlink r:id="rId88" w:history="1">
        <w:r w:rsidR="00891370" w:rsidRPr="00891370">
          <w:rPr>
            <w:color w:val="0000FF"/>
            <w:u w:val="single"/>
            <w:rtl/>
          </w:rPr>
          <w:t>וסימן ט' לפרק י"א</w:t>
        </w:r>
      </w:hyperlink>
      <w:r>
        <w:rPr>
          <w:rFonts w:hint="cs"/>
          <w:rtl/>
        </w:rPr>
        <w:t xml:space="preserve"> לחוק.</w:t>
      </w:r>
    </w:p>
    <w:p w14:paraId="5B83CC6C" w14:textId="77777777" w:rsidR="00EB626B" w:rsidRDefault="00EB626B">
      <w:pPr>
        <w:pStyle w:val="1"/>
        <w:rPr>
          <w:b w:val="0"/>
          <w:bCs w:val="0"/>
          <w:i/>
          <w:iCs/>
          <w:sz w:val="24"/>
          <w:rtl/>
        </w:rPr>
      </w:pPr>
    </w:p>
    <w:p w14:paraId="6A462047" w14:textId="77777777" w:rsidR="00EB626B" w:rsidRDefault="00A951F0">
      <w:pPr>
        <w:spacing w:line="480" w:lineRule="auto"/>
        <w:ind w:left="720"/>
        <w:jc w:val="both"/>
        <w:rPr>
          <w:rtl/>
        </w:rPr>
      </w:pPr>
      <w:r>
        <w:rPr>
          <w:rFonts w:hint="cs"/>
          <w:u w:val="single"/>
          <w:rtl/>
        </w:rPr>
        <w:t>קנס</w:t>
      </w:r>
      <w:r>
        <w:rPr>
          <w:rFonts w:hint="cs"/>
          <w:rtl/>
        </w:rPr>
        <w:t xml:space="preserve"> - קנס בסך 6,000 ש"ח או מאסר למשך 60 ימים תחתיו; הקנס ישולם ב- 12 תשלומים חודשיים שווים ורצופים. התשלום הראשון ישולם עד יום 1.3.2014 ויתר התשלומים מידי 30 יום לאחר מכן. פיגור בתשלום אחד מן השיעורים שנקבעו לעיל, יעמיד לפירעון מיידי את יתרת הקנס שטרם שולמה ויחייב את הנאשם בתשלום תוספת פיגורים כחוק. אם הופקדו על ידי הנאשם כספים בעקבות צווי הבאה שהוציא בית המשפט, ייחשבו כספים אלה על חשבון הקנס; היתרה תוחזר לנאשם.</w:t>
      </w:r>
    </w:p>
    <w:p w14:paraId="1F5123DA" w14:textId="77777777" w:rsidR="00EB626B" w:rsidRDefault="00EB626B">
      <w:pPr>
        <w:spacing w:line="480" w:lineRule="auto"/>
        <w:ind w:left="720"/>
        <w:jc w:val="both"/>
        <w:rPr>
          <w:u w:val="single"/>
          <w:rtl/>
        </w:rPr>
      </w:pPr>
    </w:p>
    <w:p w14:paraId="06D936CB" w14:textId="77777777" w:rsidR="00EB626B" w:rsidRDefault="00A951F0">
      <w:pPr>
        <w:spacing w:line="480" w:lineRule="auto"/>
        <w:ind w:left="720"/>
        <w:jc w:val="both"/>
        <w:rPr>
          <w:u w:val="single"/>
          <w:rtl/>
        </w:rPr>
      </w:pPr>
      <w:r>
        <w:rPr>
          <w:rFonts w:hint="cs"/>
          <w:u w:val="single"/>
          <w:rtl/>
        </w:rPr>
        <w:t>מוצגים</w:t>
      </w:r>
      <w:r>
        <w:rPr>
          <w:rFonts w:hint="cs"/>
          <w:rtl/>
        </w:rPr>
        <w:t xml:space="preserve"> – למרות בקשת התביעה, אינני בדעה, שהדרך הנכונה היא להסמיך את רשם המוצגים להחליט בעצמו על החזרת המוצגים. הנושא מסור לבית המשפט. יוחזרו על פי בקשה משלימה ומנומקת שתוגש על ידי התביעה לבית המשפט תוך 30 יום, וראוי יותר היה להגיש זאת לבית המשפט כבר בשלב הטיעון לעונש, למען יתאפשר גם להגנה להתייחס לכך, אם וככל שלדעתה יש לכך מקום.</w:t>
      </w:r>
    </w:p>
    <w:p w14:paraId="5617BFFE" w14:textId="77777777" w:rsidR="00EB626B" w:rsidRDefault="00EB626B">
      <w:pPr>
        <w:pStyle w:val="4"/>
        <w:rPr>
          <w:b w:val="0"/>
          <w:bCs w:val="0"/>
          <w:i/>
          <w:iCs/>
          <w:rtl/>
        </w:rPr>
      </w:pPr>
    </w:p>
    <w:p w14:paraId="682D6097" w14:textId="77777777" w:rsidR="00EB626B" w:rsidRDefault="00A951F0">
      <w:pPr>
        <w:spacing w:line="480" w:lineRule="auto"/>
        <w:ind w:firstLine="720"/>
        <w:jc w:val="both"/>
        <w:rPr>
          <w:b/>
          <w:bCs/>
          <w:rtl/>
        </w:rPr>
      </w:pPr>
      <w:r>
        <w:rPr>
          <w:rFonts w:hint="cs"/>
          <w:b/>
          <w:bCs/>
          <w:rtl/>
        </w:rPr>
        <w:t xml:space="preserve">זכות ערעור על פסק הדין תוך 45 יום מהיום. </w:t>
      </w:r>
    </w:p>
    <w:p w14:paraId="2FDF8195" w14:textId="77777777" w:rsidR="00EB626B" w:rsidRPr="00A951F0" w:rsidRDefault="00A951F0">
      <w:pPr>
        <w:spacing w:line="480" w:lineRule="auto"/>
        <w:ind w:left="720"/>
        <w:jc w:val="both"/>
        <w:rPr>
          <w:color w:val="FFFFFF"/>
          <w:sz w:val="2"/>
          <w:szCs w:val="2"/>
          <w:rtl/>
        </w:rPr>
      </w:pPr>
      <w:r w:rsidRPr="00A951F0">
        <w:rPr>
          <w:color w:val="FFFFFF"/>
          <w:sz w:val="2"/>
          <w:szCs w:val="2"/>
          <w:rtl/>
        </w:rPr>
        <w:t>5129371</w:t>
      </w:r>
    </w:p>
    <w:p w14:paraId="2C7B0D38" w14:textId="77777777" w:rsidR="00EB626B" w:rsidRDefault="00A951F0">
      <w:pPr>
        <w:spacing w:line="480" w:lineRule="auto"/>
        <w:ind w:firstLine="720"/>
        <w:jc w:val="both"/>
        <w:rPr>
          <w:rFonts w:ascii="Arial" w:hAnsi="Arial"/>
          <w:b/>
          <w:bCs/>
          <w:rtl/>
        </w:rPr>
      </w:pPr>
      <w:bookmarkStart w:id="8" w:name="_GoBack"/>
      <w:bookmarkEnd w:id="8"/>
      <w:r w:rsidRPr="00A951F0">
        <w:rPr>
          <w:rFonts w:ascii="Arial" w:hAnsi="Arial"/>
          <w:b/>
          <w:bCs/>
          <w:color w:val="FFFFFF"/>
          <w:sz w:val="2"/>
          <w:szCs w:val="2"/>
          <w:rtl/>
        </w:rPr>
        <w:t>54678313</w:t>
      </w:r>
      <w:r>
        <w:rPr>
          <w:rFonts w:ascii="Arial" w:hAnsi="Arial"/>
          <w:b/>
          <w:bCs/>
          <w:rtl/>
        </w:rPr>
        <w:t xml:space="preserve">ניתן היום, 22 דצמבר 2013, במעמד הצדדים. </w:t>
      </w:r>
    </w:p>
    <w:p w14:paraId="07B6D9E4" w14:textId="77777777" w:rsidR="00EB626B" w:rsidRDefault="00EB626B">
      <w:pPr>
        <w:spacing w:line="480" w:lineRule="auto"/>
        <w:ind w:left="4320" w:firstLine="720"/>
      </w:pPr>
    </w:p>
    <w:p w14:paraId="0CD1AA51" w14:textId="77777777" w:rsidR="00EB626B" w:rsidRDefault="00EB626B">
      <w:pPr>
        <w:spacing w:line="480" w:lineRule="auto"/>
        <w:ind w:left="4320" w:firstLine="720"/>
        <w:rPr>
          <w:rFonts w:ascii="Arial" w:hAnsi="Arial" w:cs="FrankRuehl"/>
          <w:sz w:val="28"/>
          <w:szCs w:val="28"/>
        </w:rPr>
      </w:pPr>
    </w:p>
    <w:p w14:paraId="627F9886" w14:textId="77777777" w:rsidR="00EB626B" w:rsidRDefault="00EB626B">
      <w:pPr>
        <w:spacing w:line="480" w:lineRule="auto"/>
        <w:rPr>
          <w:rFonts w:cs="FrankRuehl"/>
          <w:sz w:val="28"/>
          <w:szCs w:val="28"/>
          <w:rtl/>
        </w:rPr>
      </w:pPr>
    </w:p>
    <w:p w14:paraId="540B483C" w14:textId="77777777" w:rsidR="00EB626B" w:rsidRPr="00E9414E" w:rsidRDefault="00E9414E">
      <w:pPr>
        <w:spacing w:line="480" w:lineRule="auto"/>
        <w:jc w:val="both"/>
        <w:rPr>
          <w:rFonts w:ascii="Arial" w:hAnsi="Arial"/>
          <w:color w:val="FFFFFF"/>
          <w:sz w:val="2"/>
          <w:szCs w:val="2"/>
          <w:rtl/>
        </w:rPr>
      </w:pPr>
      <w:r w:rsidRPr="00E9414E">
        <w:rPr>
          <w:rFonts w:ascii="Arial" w:hAnsi="Arial"/>
          <w:color w:val="FFFFFF"/>
          <w:sz w:val="2"/>
          <w:szCs w:val="2"/>
          <w:rtl/>
        </w:rPr>
        <w:t>5129371</w:t>
      </w:r>
    </w:p>
    <w:p w14:paraId="4FDF13CA" w14:textId="77777777" w:rsidR="00A951F0" w:rsidRPr="00E9414E" w:rsidRDefault="00E9414E" w:rsidP="00A951F0">
      <w:pPr>
        <w:keepNext/>
        <w:rPr>
          <w:rFonts w:ascii="David" w:hAnsi="David"/>
          <w:color w:val="FFFFFF"/>
          <w:sz w:val="2"/>
          <w:szCs w:val="2"/>
          <w:rtl/>
        </w:rPr>
      </w:pPr>
      <w:r w:rsidRPr="00E9414E">
        <w:rPr>
          <w:rFonts w:ascii="David" w:hAnsi="David"/>
          <w:color w:val="FFFFFF"/>
          <w:sz w:val="2"/>
          <w:szCs w:val="2"/>
          <w:rtl/>
        </w:rPr>
        <w:t>54678313</w:t>
      </w:r>
    </w:p>
    <w:p w14:paraId="3C071F19" w14:textId="77777777" w:rsidR="00A951F0" w:rsidRDefault="00A951F0" w:rsidP="00A951F0">
      <w:pPr>
        <w:rPr>
          <w:rtl/>
        </w:rPr>
      </w:pPr>
    </w:p>
    <w:p w14:paraId="7840DF71" w14:textId="77777777" w:rsidR="00A951F0" w:rsidRDefault="00A951F0" w:rsidP="00A951F0">
      <w:pPr>
        <w:jc w:val="center"/>
        <w:rPr>
          <w:color w:val="0000FF"/>
          <w:u w:val="single"/>
        </w:rPr>
      </w:pPr>
      <w:r w:rsidRPr="00EC4571">
        <w:rPr>
          <w:color w:val="000000"/>
          <w:rtl/>
        </w:rPr>
        <w:t>בעניין עריכה ושינויים במסמכי פסיקה, חקיקה ועוד באתר נבו – הקש כאן</w:t>
      </w:r>
    </w:p>
    <w:p w14:paraId="6BC8D853" w14:textId="77777777" w:rsidR="00E9414E" w:rsidRPr="00E9414E" w:rsidRDefault="00E9414E" w:rsidP="00E9414E">
      <w:pPr>
        <w:keepNext/>
        <w:rPr>
          <w:rFonts w:ascii="David" w:hAnsi="David"/>
          <w:color w:val="000000"/>
          <w:sz w:val="22"/>
          <w:szCs w:val="22"/>
          <w:rtl/>
        </w:rPr>
      </w:pPr>
    </w:p>
    <w:p w14:paraId="131FE61C" w14:textId="77777777" w:rsidR="00E9414E" w:rsidRPr="00E9414E" w:rsidRDefault="00E9414E" w:rsidP="00E9414E">
      <w:pPr>
        <w:keepNext/>
        <w:rPr>
          <w:rFonts w:ascii="David" w:hAnsi="David"/>
          <w:color w:val="000000"/>
          <w:sz w:val="22"/>
          <w:szCs w:val="22"/>
          <w:rtl/>
        </w:rPr>
      </w:pPr>
      <w:r w:rsidRPr="00E9414E">
        <w:rPr>
          <w:rFonts w:ascii="David" w:hAnsi="David"/>
          <w:color w:val="000000"/>
          <w:sz w:val="22"/>
          <w:szCs w:val="22"/>
          <w:rtl/>
        </w:rPr>
        <w:t>אלכסנדר רון 54678313-/</w:t>
      </w:r>
    </w:p>
    <w:p w14:paraId="49CB80AF" w14:textId="77777777" w:rsidR="00EB626B" w:rsidRPr="00A951F0" w:rsidRDefault="00E9414E" w:rsidP="00E9414E">
      <w:pPr>
        <w:rPr>
          <w:color w:val="0000FF"/>
          <w:u w:val="single"/>
        </w:rPr>
      </w:pPr>
      <w:r w:rsidRPr="00E9414E">
        <w:rPr>
          <w:color w:val="000000"/>
          <w:u w:val="single"/>
          <w:rtl/>
        </w:rPr>
        <w:t>נוסח מסמך זה כפוף לשינויי ניסוח ועריכה</w:t>
      </w:r>
    </w:p>
    <w:sectPr w:rsidR="00EB626B" w:rsidRPr="00A951F0" w:rsidSect="00E9414E">
      <w:headerReference w:type="even" r:id="rId89"/>
      <w:headerReference w:type="default" r:id="rId90"/>
      <w:footerReference w:type="even" r:id="rId91"/>
      <w:footerReference w:type="default" r:id="rId92"/>
      <w:pgSz w:w="11907" w:h="16840" w:code="9"/>
      <w:pgMar w:top="1701" w:right="1701" w:bottom="2552"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8DA21E" w14:textId="77777777" w:rsidR="00651935" w:rsidRPr="00AD2336" w:rsidRDefault="00651935">
      <w:pPr>
        <w:rPr>
          <w:rFonts w:cs="Arial"/>
          <w:szCs w:val="20"/>
        </w:rPr>
      </w:pPr>
      <w:r>
        <w:separator/>
      </w:r>
    </w:p>
  </w:endnote>
  <w:endnote w:type="continuationSeparator" w:id="0">
    <w:p w14:paraId="6BAE6F61" w14:textId="77777777" w:rsidR="00651935" w:rsidRPr="00AD2336" w:rsidRDefault="00651935">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69453" w14:textId="77777777" w:rsidR="0083292F" w:rsidRDefault="0083292F" w:rsidP="00E9414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292526CB" w14:textId="77777777" w:rsidR="0083292F" w:rsidRPr="00E9414E" w:rsidRDefault="0083292F" w:rsidP="00E9414E">
    <w:pPr>
      <w:pStyle w:val="a4"/>
      <w:pBdr>
        <w:top w:val="single" w:sz="4" w:space="1" w:color="auto"/>
        <w:between w:val="single" w:sz="4" w:space="0" w:color="auto"/>
      </w:pBdr>
      <w:spacing w:after="60"/>
      <w:jc w:val="center"/>
      <w:rPr>
        <w:rFonts w:ascii="FrankRuehl" w:hAnsi="FrankRuehl" w:cs="FrankRuehl"/>
        <w:color w:val="000000"/>
      </w:rPr>
    </w:pPr>
    <w:r w:rsidRPr="00E9414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DF91C" w14:textId="77777777" w:rsidR="0083292F" w:rsidRDefault="0083292F" w:rsidP="00E9414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419C3">
      <w:rPr>
        <w:rFonts w:ascii="FrankRuehl" w:hAnsi="FrankRuehl" w:cs="FrankRuehl"/>
        <w:rtl/>
      </w:rPr>
      <w:t>1</w:t>
    </w:r>
    <w:r>
      <w:rPr>
        <w:rFonts w:ascii="FrankRuehl" w:hAnsi="FrankRuehl" w:cs="FrankRuehl"/>
        <w:rtl/>
      </w:rPr>
      <w:fldChar w:fldCharType="end"/>
    </w:r>
  </w:p>
  <w:p w14:paraId="4ADAA4AD" w14:textId="77777777" w:rsidR="0083292F" w:rsidRPr="00E9414E" w:rsidRDefault="0083292F" w:rsidP="00E9414E">
    <w:pPr>
      <w:pStyle w:val="a4"/>
      <w:pBdr>
        <w:top w:val="single" w:sz="4" w:space="1" w:color="auto"/>
        <w:between w:val="single" w:sz="4" w:space="0" w:color="auto"/>
      </w:pBdr>
      <w:spacing w:after="60"/>
      <w:jc w:val="center"/>
      <w:rPr>
        <w:rFonts w:ascii="FrankRuehl" w:hAnsi="FrankRuehl" w:cs="FrankRuehl"/>
        <w:color w:val="000000"/>
      </w:rPr>
    </w:pPr>
    <w:r w:rsidRPr="00E9414E">
      <w:rPr>
        <w:rFonts w:ascii="FrankRuehl" w:hAnsi="FrankRuehl" w:cs="FrankRuehl"/>
        <w:color w:val="000000"/>
      </w:rPr>
      <w:pict w14:anchorId="0AE0A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A9E12F" w14:textId="77777777" w:rsidR="00651935" w:rsidRPr="00AD2336" w:rsidRDefault="00651935">
      <w:pPr>
        <w:rPr>
          <w:rFonts w:cs="Arial"/>
          <w:szCs w:val="20"/>
        </w:rPr>
      </w:pPr>
      <w:r>
        <w:separator/>
      </w:r>
    </w:p>
  </w:footnote>
  <w:footnote w:type="continuationSeparator" w:id="0">
    <w:p w14:paraId="1407E594" w14:textId="77777777" w:rsidR="00651935" w:rsidRPr="00AD2336" w:rsidRDefault="00651935">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C4B74" w14:textId="77777777" w:rsidR="0083292F" w:rsidRPr="00E9414E" w:rsidRDefault="0083292F" w:rsidP="00E9414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40469-02-13</w:t>
    </w:r>
    <w:r>
      <w:rPr>
        <w:rFonts w:ascii="David" w:hAnsi="David"/>
        <w:color w:val="000000"/>
        <w:sz w:val="22"/>
        <w:szCs w:val="22"/>
        <w:rtl/>
      </w:rPr>
      <w:tab/>
      <w:t xml:space="preserve"> מדינת ישראל נ' מחמד סעיד כאלוחי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017D1" w14:textId="77777777" w:rsidR="0083292F" w:rsidRPr="00E9414E" w:rsidRDefault="0083292F" w:rsidP="00E9414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40469-02-13</w:t>
    </w:r>
    <w:r>
      <w:rPr>
        <w:rFonts w:ascii="David" w:hAnsi="David"/>
        <w:color w:val="000000"/>
        <w:sz w:val="22"/>
        <w:szCs w:val="22"/>
        <w:rtl/>
      </w:rPr>
      <w:tab/>
      <w:t xml:space="preserve"> מדינת ישראל נ' מחמד סעיד כאלוחי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B626B"/>
    <w:rsid w:val="00072156"/>
    <w:rsid w:val="004419C3"/>
    <w:rsid w:val="00651935"/>
    <w:rsid w:val="007C63DE"/>
    <w:rsid w:val="0083292F"/>
    <w:rsid w:val="0084338B"/>
    <w:rsid w:val="00891370"/>
    <w:rsid w:val="00A74B4A"/>
    <w:rsid w:val="00A948FA"/>
    <w:rsid w:val="00A951F0"/>
    <w:rsid w:val="00D8290D"/>
    <w:rsid w:val="00E9414E"/>
    <w:rsid w:val="00EB626B"/>
    <w:rsid w:val="00EC4571"/>
    <w:rsid w:val="00F94578"/>
    <w:rsid w:val="00FD2767"/>
    <w:rsid w:val="00FE65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832D79E"/>
  <w15:chartTrackingRefBased/>
  <w15:docId w15:val="{7B90CBB9-297B-4366-ACDB-83C038799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B626B"/>
    <w:pPr>
      <w:bidi/>
    </w:pPr>
    <w:rPr>
      <w:rFonts w:cs="David"/>
      <w:noProof/>
      <w:sz w:val="24"/>
      <w:szCs w:val="24"/>
    </w:rPr>
  </w:style>
  <w:style w:type="paragraph" w:styleId="1">
    <w:name w:val="heading 1"/>
    <w:basedOn w:val="a"/>
    <w:next w:val="a"/>
    <w:qFormat/>
    <w:rsid w:val="00EB626B"/>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EB626B"/>
    <w:pPr>
      <w:keepNext/>
      <w:keepLines/>
      <w:spacing w:before="200"/>
      <w:outlineLvl w:val="2"/>
    </w:pPr>
    <w:rPr>
      <w:rFonts w:ascii="Cambria" w:hAnsi="Cambria" w:cs="Times New Roman"/>
      <w:b/>
      <w:bCs/>
      <w:noProof w:val="0"/>
      <w:color w:val="4F81BD"/>
    </w:rPr>
  </w:style>
  <w:style w:type="paragraph" w:styleId="4">
    <w:name w:val="heading 4"/>
    <w:basedOn w:val="a"/>
    <w:next w:val="a"/>
    <w:qFormat/>
    <w:rsid w:val="00EB626B"/>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EB626B"/>
    <w:pPr>
      <w:tabs>
        <w:tab w:val="center" w:pos="4153"/>
        <w:tab w:val="right" w:pos="8306"/>
      </w:tabs>
    </w:pPr>
  </w:style>
  <w:style w:type="paragraph" w:styleId="a4">
    <w:name w:val="footer"/>
    <w:basedOn w:val="a"/>
    <w:rsid w:val="00EB626B"/>
    <w:pPr>
      <w:tabs>
        <w:tab w:val="center" w:pos="4153"/>
        <w:tab w:val="right" w:pos="8306"/>
      </w:tabs>
    </w:pPr>
  </w:style>
  <w:style w:type="character" w:customStyle="1" w:styleId="30">
    <w:name w:val="כותרת 3 תו"/>
    <w:link w:val="3"/>
    <w:rsid w:val="00EB626B"/>
    <w:rPr>
      <w:rFonts w:ascii="Cambria" w:hAnsi="Cambria"/>
      <w:b/>
      <w:bCs/>
      <w:color w:val="4F81BD"/>
      <w:sz w:val="24"/>
      <w:szCs w:val="24"/>
      <w:lang w:val="en-US" w:eastAsia="en-US" w:bidi="he-IL"/>
    </w:rPr>
  </w:style>
  <w:style w:type="character" w:styleId="a5">
    <w:name w:val="line number"/>
    <w:basedOn w:val="a0"/>
    <w:rsid w:val="00EB626B"/>
  </w:style>
  <w:style w:type="character" w:styleId="a6">
    <w:name w:val="page number"/>
    <w:basedOn w:val="a0"/>
    <w:rsid w:val="00A951F0"/>
  </w:style>
  <w:style w:type="character" w:styleId="Hyperlink">
    <w:name w:val="Hyperlink"/>
    <w:rsid w:val="00A951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hCaS" TargetMode="External"/><Relationship Id="rId42" Type="http://schemas.openxmlformats.org/officeDocument/2006/relationships/hyperlink" Target="http://www.nevo.co.il/law/70301/338.a.1" TargetMode="External"/><Relationship Id="rId47" Type="http://schemas.openxmlformats.org/officeDocument/2006/relationships/hyperlink" Target="http://www.nevo.co.il/law/70301/384" TargetMode="External"/><Relationship Id="rId63" Type="http://schemas.openxmlformats.org/officeDocument/2006/relationships/hyperlink" Target="http://www.nevo.co.il/law/70301/287.a" TargetMode="External"/><Relationship Id="rId68" Type="http://schemas.openxmlformats.org/officeDocument/2006/relationships/hyperlink" Target="http://www.nevo.co.il/law/70301/29.a" TargetMode="External"/><Relationship Id="rId84" Type="http://schemas.openxmlformats.org/officeDocument/2006/relationships/hyperlink" Target="http://www.nevo.co.il/law/70301/jaCiS" TargetMode="External"/><Relationship Id="rId89" Type="http://schemas.openxmlformats.org/officeDocument/2006/relationships/header" Target="header1.xml"/><Relationship Id="rId16" Type="http://schemas.openxmlformats.org/officeDocument/2006/relationships/hyperlink" Target="http://www.nevo.co.il/law/70301/40jc.b" TargetMode="External"/><Relationship Id="rId11" Type="http://schemas.openxmlformats.org/officeDocument/2006/relationships/hyperlink" Target="http://www.nevo.co.il/law/70301/287.a" TargetMode="External"/><Relationship Id="rId32" Type="http://schemas.openxmlformats.org/officeDocument/2006/relationships/hyperlink" Target="http://www.nevo.co.il/law/70301/413i" TargetMode="External"/><Relationship Id="rId37" Type="http://schemas.openxmlformats.org/officeDocument/2006/relationships/hyperlink" Target="http://www.nevo.co.il/law/70301/29.a" TargetMode="External"/><Relationship Id="rId53" Type="http://schemas.openxmlformats.org/officeDocument/2006/relationships/hyperlink" Target="http://www.nevo.co.il/law/70301/384" TargetMode="External"/><Relationship Id="rId58" Type="http://schemas.openxmlformats.org/officeDocument/2006/relationships/hyperlink" Target="http://www.nevo.co.il/law/70301/406.b" TargetMode="External"/><Relationship Id="rId74" Type="http://schemas.openxmlformats.org/officeDocument/2006/relationships/hyperlink" Target="http://www.nevo.co.il/law/70301/29.a" TargetMode="External"/><Relationship Id="rId79" Type="http://schemas.openxmlformats.org/officeDocument/2006/relationships/hyperlink" Target="http://www.nevo.co.il/law/70301/40jc.b" TargetMode="External"/><Relationship Id="rId5" Type="http://schemas.openxmlformats.org/officeDocument/2006/relationships/endnotes" Target="endnotes.xml"/><Relationship Id="rId90" Type="http://schemas.openxmlformats.org/officeDocument/2006/relationships/header" Target="header2.xml"/><Relationship Id="rId22" Type="http://schemas.openxmlformats.org/officeDocument/2006/relationships/hyperlink" Target="http://www.nevo.co.il/law/70301/iCdS" TargetMode="External"/><Relationship Id="rId27" Type="http://schemas.openxmlformats.org/officeDocument/2006/relationships/hyperlink" Target="http://www.nevo.co.il/law/70301/29.a" TargetMode="External"/><Relationship Id="rId43" Type="http://schemas.openxmlformats.org/officeDocument/2006/relationships/hyperlink" Target="http://www.nevo.co.il/law/70301/275" TargetMode="External"/><Relationship Id="rId48" Type="http://schemas.openxmlformats.org/officeDocument/2006/relationships/hyperlink" Target="http://www.nevo.co.il/law/70301/29.a" TargetMode="External"/><Relationship Id="rId64" Type="http://schemas.openxmlformats.org/officeDocument/2006/relationships/hyperlink" Target="http://www.nevo.co.il/case/6550210" TargetMode="External"/><Relationship Id="rId69" Type="http://schemas.openxmlformats.org/officeDocument/2006/relationships/hyperlink" Target="http://www.nevo.co.il/law/70301/406.b" TargetMode="External"/><Relationship Id="rId8" Type="http://schemas.openxmlformats.org/officeDocument/2006/relationships/hyperlink" Target="http://www.nevo.co.il/law/70301/29.a" TargetMode="External"/><Relationship Id="rId51" Type="http://schemas.openxmlformats.org/officeDocument/2006/relationships/hyperlink" Target="http://www.nevo.co.il/law/70301/406.b" TargetMode="External"/><Relationship Id="rId72" Type="http://schemas.openxmlformats.org/officeDocument/2006/relationships/hyperlink" Target="http://www.nevo.co.il/law/70301/29.a" TargetMode="External"/><Relationship Id="rId80" Type="http://schemas.openxmlformats.org/officeDocument/2006/relationships/hyperlink" Target="http://www.nevo.co.il/law/70301/hCaS" TargetMode="External"/><Relationship Id="rId85" Type="http://schemas.openxmlformats.org/officeDocument/2006/relationships/hyperlink" Target="http://www.nevo.co.il/law/70301/hCaS" TargetMode="External"/><Relationship Id="rId93"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nevo.co.il/law/70301/338.a.1" TargetMode="External"/><Relationship Id="rId17" Type="http://schemas.openxmlformats.org/officeDocument/2006/relationships/hyperlink" Target="http://www.nevo.co.il/law/70301/413" TargetMode="External"/><Relationship Id="rId25" Type="http://schemas.openxmlformats.org/officeDocument/2006/relationships/hyperlink" Target="http://www.nevo.co.il/law/70301/413j" TargetMode="External"/><Relationship Id="rId33" Type="http://schemas.openxmlformats.org/officeDocument/2006/relationships/hyperlink" Target="http://www.nevo.co.il/law/70301/29.a" TargetMode="External"/><Relationship Id="rId38" Type="http://schemas.openxmlformats.org/officeDocument/2006/relationships/hyperlink" Target="http://www.nevo.co.il/law/70301/413i" TargetMode="External"/><Relationship Id="rId46" Type="http://schemas.openxmlformats.org/officeDocument/2006/relationships/hyperlink" Target="http://www.nevo.co.il/law/70301/29.a" TargetMode="External"/><Relationship Id="rId59" Type="http://schemas.openxmlformats.org/officeDocument/2006/relationships/hyperlink" Target="http://www.nevo.co.il/law/70301/29.a" TargetMode="External"/><Relationship Id="rId67" Type="http://schemas.openxmlformats.org/officeDocument/2006/relationships/hyperlink" Target="http://www.nevo.co.il/law/70301/384" TargetMode="External"/><Relationship Id="rId20" Type="http://schemas.openxmlformats.org/officeDocument/2006/relationships/hyperlink" Target="http://www.nevo.co.il/law/70301/452" TargetMode="External"/><Relationship Id="rId41" Type="http://schemas.openxmlformats.org/officeDocument/2006/relationships/hyperlink" Target="http://www.nevo.co.il/law/70301/29.a" TargetMode="External"/><Relationship Id="rId54" Type="http://schemas.openxmlformats.org/officeDocument/2006/relationships/hyperlink" Target="http://www.nevo.co.il/law/70301/29.a" TargetMode="External"/><Relationship Id="rId62" Type="http://schemas.openxmlformats.org/officeDocument/2006/relationships/hyperlink" Target="http://www.nevo.co.il/law/70301/413j" TargetMode="External"/><Relationship Id="rId70" Type="http://schemas.openxmlformats.org/officeDocument/2006/relationships/hyperlink" Target="http://www.nevo.co.il/law/70301/29.a" TargetMode="External"/><Relationship Id="rId75" Type="http://schemas.openxmlformats.org/officeDocument/2006/relationships/hyperlink" Target="http://www.nevo.co.il/law/70301/275" TargetMode="External"/><Relationship Id="rId83" Type="http://schemas.openxmlformats.org/officeDocument/2006/relationships/hyperlink" Target="http://www.nevo.co.il/law/70301/jChS" TargetMode="External"/><Relationship Id="rId88" Type="http://schemas.openxmlformats.org/officeDocument/2006/relationships/hyperlink" Target="http://www.nevo.co.il/law/70301/jaCiS" TargetMode="External"/><Relationship Id="rId91"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406.b" TargetMode="External"/><Relationship Id="rId23" Type="http://schemas.openxmlformats.org/officeDocument/2006/relationships/hyperlink" Target="http://www.nevo.co.il/law/70301/jChS" TargetMode="External"/><Relationship Id="rId28" Type="http://schemas.openxmlformats.org/officeDocument/2006/relationships/hyperlink" Target="http://www.nevo.co.il/law/70301/406.b" TargetMode="External"/><Relationship Id="rId36" Type="http://schemas.openxmlformats.org/officeDocument/2006/relationships/hyperlink" Target="http://www.nevo.co.il/law/70301/384" TargetMode="External"/><Relationship Id="rId49" Type="http://schemas.openxmlformats.org/officeDocument/2006/relationships/hyperlink" Target="http://www.nevo.co.il/law/70301/452" TargetMode="External"/><Relationship Id="rId57" Type="http://schemas.openxmlformats.org/officeDocument/2006/relationships/hyperlink" Target="http://www.nevo.co.il/law/70301/379" TargetMode="External"/><Relationship Id="rId10" Type="http://schemas.openxmlformats.org/officeDocument/2006/relationships/hyperlink" Target="http://www.nevo.co.il/law/70301/275" TargetMode="External"/><Relationship Id="rId31" Type="http://schemas.openxmlformats.org/officeDocument/2006/relationships/hyperlink" Target="http://www.nevo.co.il/law/70301/29.a" TargetMode="External"/><Relationship Id="rId44" Type="http://schemas.openxmlformats.org/officeDocument/2006/relationships/hyperlink" Target="http://www.nevo.co.il/law/70301/413" TargetMode="External"/><Relationship Id="rId52" Type="http://schemas.openxmlformats.org/officeDocument/2006/relationships/hyperlink" Target="http://www.nevo.co.il/law/70301/29.a" TargetMode="External"/><Relationship Id="rId60" Type="http://schemas.openxmlformats.org/officeDocument/2006/relationships/hyperlink" Target="http://www.nevo.co.il/law/70301/25" TargetMode="External"/><Relationship Id="rId65" Type="http://schemas.openxmlformats.org/officeDocument/2006/relationships/hyperlink" Target="http://www.nevo.co.il/law/70301/406.b" TargetMode="External"/><Relationship Id="rId73" Type="http://schemas.openxmlformats.org/officeDocument/2006/relationships/hyperlink" Target="http://www.nevo.co.il/law/70301/144.a" TargetMode="External"/><Relationship Id="rId78" Type="http://schemas.openxmlformats.org/officeDocument/2006/relationships/hyperlink" Target="http://www.nevo.co.il/case/3946007" TargetMode="External"/><Relationship Id="rId81" Type="http://schemas.openxmlformats.org/officeDocument/2006/relationships/hyperlink" Target="http://www.nevo.co.il/law/70301" TargetMode="External"/><Relationship Id="rId86" Type="http://schemas.openxmlformats.org/officeDocument/2006/relationships/hyperlink" Target="http://www.nevo.co.il/law/70301/iCdS" TargetMode="External"/><Relationship Id="rId9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144.a" TargetMode="External"/><Relationship Id="rId13" Type="http://schemas.openxmlformats.org/officeDocument/2006/relationships/hyperlink" Target="http://www.nevo.co.il/law/70301/379" TargetMode="External"/><Relationship Id="rId18" Type="http://schemas.openxmlformats.org/officeDocument/2006/relationships/hyperlink" Target="http://www.nevo.co.il/law/70301/413i" TargetMode="External"/><Relationship Id="rId39" Type="http://schemas.openxmlformats.org/officeDocument/2006/relationships/hyperlink" Target="http://www.nevo.co.il/law/70301/29.a" TargetMode="External"/><Relationship Id="rId34" Type="http://schemas.openxmlformats.org/officeDocument/2006/relationships/hyperlink" Target="http://www.nevo.co.il/law/70301/406.b" TargetMode="External"/><Relationship Id="rId50" Type="http://schemas.openxmlformats.org/officeDocument/2006/relationships/hyperlink" Target="http://www.nevo.co.il/law/70301/29.a" TargetMode="External"/><Relationship Id="rId55" Type="http://schemas.openxmlformats.org/officeDocument/2006/relationships/hyperlink" Target="http://www.nevo.co.il/law/70301/413i" TargetMode="External"/><Relationship Id="rId76" Type="http://schemas.openxmlformats.org/officeDocument/2006/relationships/hyperlink" Target="http://www.nevo.co.il/law/70301/413" TargetMode="External"/><Relationship Id="rId7" Type="http://schemas.openxmlformats.org/officeDocument/2006/relationships/hyperlink" Target="http://www.nevo.co.il/law/70301/25" TargetMode="External"/><Relationship Id="rId71" Type="http://schemas.openxmlformats.org/officeDocument/2006/relationships/hyperlink" Target="http://www.nevo.co.il/law/70301/384" TargetMode="External"/><Relationship Id="rId92" Type="http://schemas.openxmlformats.org/officeDocument/2006/relationships/footer" Target="footer2.xml"/><Relationship Id="rId2" Type="http://schemas.openxmlformats.org/officeDocument/2006/relationships/settings" Target="settings.xml"/><Relationship Id="rId29" Type="http://schemas.openxmlformats.org/officeDocument/2006/relationships/hyperlink" Target="http://www.nevo.co.il/law/70301/29.a" TargetMode="External"/><Relationship Id="rId24" Type="http://schemas.openxmlformats.org/officeDocument/2006/relationships/hyperlink" Target="http://www.nevo.co.il/law/70301/jaCiS" TargetMode="External"/><Relationship Id="rId40" Type="http://schemas.openxmlformats.org/officeDocument/2006/relationships/hyperlink" Target="http://www.nevo.co.il/law/70301/144.a" TargetMode="External"/><Relationship Id="rId45" Type="http://schemas.openxmlformats.org/officeDocument/2006/relationships/hyperlink" Target="http://www.nevo.co.il/law/70301/406.b" TargetMode="External"/><Relationship Id="rId66" Type="http://schemas.openxmlformats.org/officeDocument/2006/relationships/hyperlink" Target="http://www.nevo.co.il/law/70301/29.a" TargetMode="External"/><Relationship Id="rId87" Type="http://schemas.openxmlformats.org/officeDocument/2006/relationships/hyperlink" Target="http://www.nevo.co.il/law/70301/jChS" TargetMode="External"/><Relationship Id="rId61" Type="http://schemas.openxmlformats.org/officeDocument/2006/relationships/hyperlink" Target="http://www.nevo.co.il/law/70301/413i" TargetMode="External"/><Relationship Id="rId82" Type="http://schemas.openxmlformats.org/officeDocument/2006/relationships/hyperlink" Target="http://www.nevo.co.il/law/70301/iCdS" TargetMode="External"/><Relationship Id="rId19" Type="http://schemas.openxmlformats.org/officeDocument/2006/relationships/hyperlink" Target="http://www.nevo.co.il/law/70301/413j" TargetMode="External"/><Relationship Id="rId14" Type="http://schemas.openxmlformats.org/officeDocument/2006/relationships/hyperlink" Target="http://www.nevo.co.il/law/70301/384" TargetMode="External"/><Relationship Id="rId30" Type="http://schemas.openxmlformats.org/officeDocument/2006/relationships/hyperlink" Target="http://www.nevo.co.il/law/70301/384" TargetMode="External"/><Relationship Id="rId35" Type="http://schemas.openxmlformats.org/officeDocument/2006/relationships/hyperlink" Target="http://www.nevo.co.il/law/70301/29.a" TargetMode="External"/><Relationship Id="rId56" Type="http://schemas.openxmlformats.org/officeDocument/2006/relationships/hyperlink" Target="http://www.nevo.co.il/law/70301/29.a" TargetMode="External"/><Relationship Id="rId77" Type="http://schemas.openxmlformats.org/officeDocument/2006/relationships/hyperlink" Target="http://www.nevo.co.il/law/70301/28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3535</Words>
  <Characters>17680</Characters>
  <Application>Microsoft Office Word</Application>
  <DocSecurity>0</DocSecurity>
  <Lines>147</Lines>
  <Paragraphs>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21173</CharactersWithSpaces>
  <SharedDoc>false</SharedDoc>
  <HLinks>
    <vt:vector size="498" baseType="variant">
      <vt:variant>
        <vt:i4>6094940</vt:i4>
      </vt:variant>
      <vt:variant>
        <vt:i4>246</vt:i4>
      </vt:variant>
      <vt:variant>
        <vt:i4>0</vt:i4>
      </vt:variant>
      <vt:variant>
        <vt:i4>5</vt:i4>
      </vt:variant>
      <vt:variant>
        <vt:lpwstr>http://www.nevo.co.il/law/70301/jaCiS</vt:lpwstr>
      </vt:variant>
      <vt:variant>
        <vt:lpwstr/>
      </vt:variant>
      <vt:variant>
        <vt:i4>4522071</vt:i4>
      </vt:variant>
      <vt:variant>
        <vt:i4>243</vt:i4>
      </vt:variant>
      <vt:variant>
        <vt:i4>0</vt:i4>
      </vt:variant>
      <vt:variant>
        <vt:i4>5</vt:i4>
      </vt:variant>
      <vt:variant>
        <vt:lpwstr>http://www.nevo.co.il/law/70301/jChS</vt:lpwstr>
      </vt:variant>
      <vt:variant>
        <vt:lpwstr/>
      </vt:variant>
      <vt:variant>
        <vt:i4>4522072</vt:i4>
      </vt:variant>
      <vt:variant>
        <vt:i4>240</vt:i4>
      </vt:variant>
      <vt:variant>
        <vt:i4>0</vt:i4>
      </vt:variant>
      <vt:variant>
        <vt:i4>5</vt:i4>
      </vt:variant>
      <vt:variant>
        <vt:lpwstr>http://www.nevo.co.il/law/70301/iCdS</vt:lpwstr>
      </vt:variant>
      <vt:variant>
        <vt:lpwstr/>
      </vt:variant>
      <vt:variant>
        <vt:i4>4522076</vt:i4>
      </vt:variant>
      <vt:variant>
        <vt:i4>237</vt:i4>
      </vt:variant>
      <vt:variant>
        <vt:i4>0</vt:i4>
      </vt:variant>
      <vt:variant>
        <vt:i4>5</vt:i4>
      </vt:variant>
      <vt:variant>
        <vt:lpwstr>http://www.nevo.co.il/law/70301/hCaS</vt:lpwstr>
      </vt:variant>
      <vt:variant>
        <vt:lpwstr/>
      </vt:variant>
      <vt:variant>
        <vt:i4>6094940</vt:i4>
      </vt:variant>
      <vt:variant>
        <vt:i4>234</vt:i4>
      </vt:variant>
      <vt:variant>
        <vt:i4>0</vt:i4>
      </vt:variant>
      <vt:variant>
        <vt:i4>5</vt:i4>
      </vt:variant>
      <vt:variant>
        <vt:lpwstr>http://www.nevo.co.il/law/70301/jaCiS</vt:lpwstr>
      </vt:variant>
      <vt:variant>
        <vt:lpwstr/>
      </vt:variant>
      <vt:variant>
        <vt:i4>4522071</vt:i4>
      </vt:variant>
      <vt:variant>
        <vt:i4>231</vt:i4>
      </vt:variant>
      <vt:variant>
        <vt:i4>0</vt:i4>
      </vt:variant>
      <vt:variant>
        <vt:i4>5</vt:i4>
      </vt:variant>
      <vt:variant>
        <vt:lpwstr>http://www.nevo.co.il/law/70301/jChS</vt:lpwstr>
      </vt:variant>
      <vt:variant>
        <vt:lpwstr/>
      </vt:variant>
      <vt:variant>
        <vt:i4>4522072</vt:i4>
      </vt:variant>
      <vt:variant>
        <vt:i4>228</vt:i4>
      </vt:variant>
      <vt:variant>
        <vt:i4>0</vt:i4>
      </vt:variant>
      <vt:variant>
        <vt:i4>5</vt:i4>
      </vt:variant>
      <vt:variant>
        <vt:lpwstr>http://www.nevo.co.il/law/70301/iCdS</vt:lpwstr>
      </vt:variant>
      <vt:variant>
        <vt:lpwstr/>
      </vt:variant>
      <vt:variant>
        <vt:i4>7995492</vt:i4>
      </vt:variant>
      <vt:variant>
        <vt:i4>225</vt:i4>
      </vt:variant>
      <vt:variant>
        <vt:i4>0</vt:i4>
      </vt:variant>
      <vt:variant>
        <vt:i4>5</vt:i4>
      </vt:variant>
      <vt:variant>
        <vt:lpwstr>http://www.nevo.co.il/law/70301</vt:lpwstr>
      </vt:variant>
      <vt:variant>
        <vt:lpwstr/>
      </vt:variant>
      <vt:variant>
        <vt:i4>4522076</vt:i4>
      </vt:variant>
      <vt:variant>
        <vt:i4>222</vt:i4>
      </vt:variant>
      <vt:variant>
        <vt:i4>0</vt:i4>
      </vt:variant>
      <vt:variant>
        <vt:i4>5</vt:i4>
      </vt:variant>
      <vt:variant>
        <vt:lpwstr>http://www.nevo.co.il/law/70301/hCaS</vt:lpwstr>
      </vt:variant>
      <vt:variant>
        <vt:lpwstr/>
      </vt:variant>
      <vt:variant>
        <vt:i4>6553637</vt:i4>
      </vt:variant>
      <vt:variant>
        <vt:i4>219</vt:i4>
      </vt:variant>
      <vt:variant>
        <vt:i4>0</vt:i4>
      </vt:variant>
      <vt:variant>
        <vt:i4>5</vt:i4>
      </vt:variant>
      <vt:variant>
        <vt:lpwstr>http://www.nevo.co.il/law/70301/40jc.b</vt:lpwstr>
      </vt:variant>
      <vt:variant>
        <vt:lpwstr/>
      </vt:variant>
      <vt:variant>
        <vt:i4>3145851</vt:i4>
      </vt:variant>
      <vt:variant>
        <vt:i4>216</vt:i4>
      </vt:variant>
      <vt:variant>
        <vt:i4>0</vt:i4>
      </vt:variant>
      <vt:variant>
        <vt:i4>5</vt:i4>
      </vt:variant>
      <vt:variant>
        <vt:lpwstr>http://www.nevo.co.il/case/3946007</vt:lpwstr>
      </vt:variant>
      <vt:variant>
        <vt:lpwstr/>
      </vt:variant>
      <vt:variant>
        <vt:i4>4390992</vt:i4>
      </vt:variant>
      <vt:variant>
        <vt:i4>213</vt:i4>
      </vt:variant>
      <vt:variant>
        <vt:i4>0</vt:i4>
      </vt:variant>
      <vt:variant>
        <vt:i4>5</vt:i4>
      </vt:variant>
      <vt:variant>
        <vt:lpwstr>http://www.nevo.co.il/law/70301/287.a</vt:lpwstr>
      </vt:variant>
      <vt:variant>
        <vt:lpwstr/>
      </vt:variant>
      <vt:variant>
        <vt:i4>6553697</vt:i4>
      </vt:variant>
      <vt:variant>
        <vt:i4>210</vt:i4>
      </vt:variant>
      <vt:variant>
        <vt:i4>0</vt:i4>
      </vt:variant>
      <vt:variant>
        <vt:i4>5</vt:i4>
      </vt:variant>
      <vt:variant>
        <vt:lpwstr>http://www.nevo.co.il/law/70301/413</vt:lpwstr>
      </vt:variant>
      <vt:variant>
        <vt:lpwstr/>
      </vt:variant>
      <vt:variant>
        <vt:i4>6422631</vt:i4>
      </vt:variant>
      <vt:variant>
        <vt:i4>207</vt:i4>
      </vt:variant>
      <vt:variant>
        <vt:i4>0</vt:i4>
      </vt:variant>
      <vt:variant>
        <vt:i4>5</vt:i4>
      </vt:variant>
      <vt:variant>
        <vt:lpwstr>http://www.nevo.co.il/law/70301/275</vt:lpwstr>
      </vt:variant>
      <vt:variant>
        <vt:lpwstr/>
      </vt:variant>
      <vt:variant>
        <vt:i4>852041</vt:i4>
      </vt:variant>
      <vt:variant>
        <vt:i4>204</vt:i4>
      </vt:variant>
      <vt:variant>
        <vt:i4>0</vt:i4>
      </vt:variant>
      <vt:variant>
        <vt:i4>5</vt:i4>
      </vt:variant>
      <vt:variant>
        <vt:lpwstr>http://www.nevo.co.il/law/70301/29.a</vt:lpwstr>
      </vt:variant>
      <vt:variant>
        <vt:lpwstr/>
      </vt:variant>
      <vt:variant>
        <vt:i4>5177424</vt:i4>
      </vt:variant>
      <vt:variant>
        <vt:i4>201</vt:i4>
      </vt:variant>
      <vt:variant>
        <vt:i4>0</vt:i4>
      </vt:variant>
      <vt:variant>
        <vt:i4>5</vt:i4>
      </vt:variant>
      <vt:variant>
        <vt:lpwstr>http://www.nevo.co.il/law/70301/144.a</vt:lpwstr>
      </vt:variant>
      <vt:variant>
        <vt:lpwstr/>
      </vt:variant>
      <vt:variant>
        <vt:i4>852041</vt:i4>
      </vt:variant>
      <vt:variant>
        <vt:i4>198</vt:i4>
      </vt:variant>
      <vt:variant>
        <vt:i4>0</vt:i4>
      </vt:variant>
      <vt:variant>
        <vt:i4>5</vt:i4>
      </vt:variant>
      <vt:variant>
        <vt:lpwstr>http://www.nevo.co.il/law/70301/29.a</vt:lpwstr>
      </vt:variant>
      <vt:variant>
        <vt:lpwstr/>
      </vt:variant>
      <vt:variant>
        <vt:i4>7143526</vt:i4>
      </vt:variant>
      <vt:variant>
        <vt:i4>195</vt:i4>
      </vt:variant>
      <vt:variant>
        <vt:i4>0</vt:i4>
      </vt:variant>
      <vt:variant>
        <vt:i4>5</vt:i4>
      </vt:variant>
      <vt:variant>
        <vt:lpwstr>http://www.nevo.co.il/law/70301/384</vt:lpwstr>
      </vt:variant>
      <vt:variant>
        <vt:lpwstr/>
      </vt:variant>
      <vt:variant>
        <vt:i4>852041</vt:i4>
      </vt:variant>
      <vt:variant>
        <vt:i4>192</vt:i4>
      </vt:variant>
      <vt:variant>
        <vt:i4>0</vt:i4>
      </vt:variant>
      <vt:variant>
        <vt:i4>5</vt:i4>
      </vt:variant>
      <vt:variant>
        <vt:lpwstr>http://www.nevo.co.il/law/70301/29.a</vt:lpwstr>
      </vt:variant>
      <vt:variant>
        <vt:lpwstr/>
      </vt:variant>
      <vt:variant>
        <vt:i4>4915287</vt:i4>
      </vt:variant>
      <vt:variant>
        <vt:i4>189</vt:i4>
      </vt:variant>
      <vt:variant>
        <vt:i4>0</vt:i4>
      </vt:variant>
      <vt:variant>
        <vt:i4>5</vt:i4>
      </vt:variant>
      <vt:variant>
        <vt:lpwstr>http://www.nevo.co.il/law/70301/406.b</vt:lpwstr>
      </vt:variant>
      <vt:variant>
        <vt:lpwstr/>
      </vt:variant>
      <vt:variant>
        <vt:i4>852041</vt:i4>
      </vt:variant>
      <vt:variant>
        <vt:i4>186</vt:i4>
      </vt:variant>
      <vt:variant>
        <vt:i4>0</vt:i4>
      </vt:variant>
      <vt:variant>
        <vt:i4>5</vt:i4>
      </vt:variant>
      <vt:variant>
        <vt:lpwstr>http://www.nevo.co.il/law/70301/29.a</vt:lpwstr>
      </vt:variant>
      <vt:variant>
        <vt:lpwstr/>
      </vt:variant>
      <vt:variant>
        <vt:i4>7143526</vt:i4>
      </vt:variant>
      <vt:variant>
        <vt:i4>183</vt:i4>
      </vt:variant>
      <vt:variant>
        <vt:i4>0</vt:i4>
      </vt:variant>
      <vt:variant>
        <vt:i4>5</vt:i4>
      </vt:variant>
      <vt:variant>
        <vt:lpwstr>http://www.nevo.co.il/law/70301/384</vt:lpwstr>
      </vt:variant>
      <vt:variant>
        <vt:lpwstr/>
      </vt:variant>
      <vt:variant>
        <vt:i4>852041</vt:i4>
      </vt:variant>
      <vt:variant>
        <vt:i4>180</vt:i4>
      </vt:variant>
      <vt:variant>
        <vt:i4>0</vt:i4>
      </vt:variant>
      <vt:variant>
        <vt:i4>5</vt:i4>
      </vt:variant>
      <vt:variant>
        <vt:lpwstr>http://www.nevo.co.il/law/70301/29.a</vt:lpwstr>
      </vt:variant>
      <vt:variant>
        <vt:lpwstr/>
      </vt:variant>
      <vt:variant>
        <vt:i4>4915287</vt:i4>
      </vt:variant>
      <vt:variant>
        <vt:i4>177</vt:i4>
      </vt:variant>
      <vt:variant>
        <vt:i4>0</vt:i4>
      </vt:variant>
      <vt:variant>
        <vt:i4>5</vt:i4>
      </vt:variant>
      <vt:variant>
        <vt:lpwstr>http://www.nevo.co.il/law/70301/406.b</vt:lpwstr>
      </vt:variant>
      <vt:variant>
        <vt:lpwstr/>
      </vt:variant>
      <vt:variant>
        <vt:i4>3211376</vt:i4>
      </vt:variant>
      <vt:variant>
        <vt:i4>174</vt:i4>
      </vt:variant>
      <vt:variant>
        <vt:i4>0</vt:i4>
      </vt:variant>
      <vt:variant>
        <vt:i4>5</vt:i4>
      </vt:variant>
      <vt:variant>
        <vt:lpwstr>http://www.nevo.co.il/case/6550210</vt:lpwstr>
      </vt:variant>
      <vt:variant>
        <vt:lpwstr/>
      </vt:variant>
      <vt:variant>
        <vt:i4>4390992</vt:i4>
      </vt:variant>
      <vt:variant>
        <vt:i4>171</vt:i4>
      </vt:variant>
      <vt:variant>
        <vt:i4>0</vt:i4>
      </vt:variant>
      <vt:variant>
        <vt:i4>5</vt:i4>
      </vt:variant>
      <vt:variant>
        <vt:lpwstr>http://www.nevo.co.il/law/70301/287.a</vt:lpwstr>
      </vt:variant>
      <vt:variant>
        <vt:lpwstr/>
      </vt:variant>
      <vt:variant>
        <vt:i4>917586</vt:i4>
      </vt:variant>
      <vt:variant>
        <vt:i4>168</vt:i4>
      </vt:variant>
      <vt:variant>
        <vt:i4>0</vt:i4>
      </vt:variant>
      <vt:variant>
        <vt:i4>5</vt:i4>
      </vt:variant>
      <vt:variant>
        <vt:lpwstr>http://www.nevo.co.il/law/70301/413j</vt:lpwstr>
      </vt:variant>
      <vt:variant>
        <vt:lpwstr/>
      </vt:variant>
      <vt:variant>
        <vt:i4>852050</vt:i4>
      </vt:variant>
      <vt:variant>
        <vt:i4>165</vt:i4>
      </vt:variant>
      <vt:variant>
        <vt:i4>0</vt:i4>
      </vt:variant>
      <vt:variant>
        <vt:i4>5</vt:i4>
      </vt:variant>
      <vt:variant>
        <vt:lpwstr>http://www.nevo.co.il/law/70301/413i</vt:lpwstr>
      </vt:variant>
      <vt:variant>
        <vt:lpwstr/>
      </vt:variant>
      <vt:variant>
        <vt:i4>6291559</vt:i4>
      </vt:variant>
      <vt:variant>
        <vt:i4>162</vt:i4>
      </vt:variant>
      <vt:variant>
        <vt:i4>0</vt:i4>
      </vt:variant>
      <vt:variant>
        <vt:i4>5</vt:i4>
      </vt:variant>
      <vt:variant>
        <vt:lpwstr>http://www.nevo.co.il/law/70301/25</vt:lpwstr>
      </vt:variant>
      <vt:variant>
        <vt:lpwstr/>
      </vt:variant>
      <vt:variant>
        <vt:i4>852041</vt:i4>
      </vt:variant>
      <vt:variant>
        <vt:i4>159</vt:i4>
      </vt:variant>
      <vt:variant>
        <vt:i4>0</vt:i4>
      </vt:variant>
      <vt:variant>
        <vt:i4>5</vt:i4>
      </vt:variant>
      <vt:variant>
        <vt:lpwstr>http://www.nevo.co.il/law/70301/29.a</vt:lpwstr>
      </vt:variant>
      <vt:variant>
        <vt:lpwstr/>
      </vt:variant>
      <vt:variant>
        <vt:i4>4915287</vt:i4>
      </vt:variant>
      <vt:variant>
        <vt:i4>156</vt:i4>
      </vt:variant>
      <vt:variant>
        <vt:i4>0</vt:i4>
      </vt:variant>
      <vt:variant>
        <vt:i4>5</vt:i4>
      </vt:variant>
      <vt:variant>
        <vt:lpwstr>http://www.nevo.co.il/law/70301/406.b</vt:lpwstr>
      </vt:variant>
      <vt:variant>
        <vt:lpwstr/>
      </vt:variant>
      <vt:variant>
        <vt:i4>6422630</vt:i4>
      </vt:variant>
      <vt:variant>
        <vt:i4>153</vt:i4>
      </vt:variant>
      <vt:variant>
        <vt:i4>0</vt:i4>
      </vt:variant>
      <vt:variant>
        <vt:i4>5</vt:i4>
      </vt:variant>
      <vt:variant>
        <vt:lpwstr>http://www.nevo.co.il/law/70301/379</vt:lpwstr>
      </vt:variant>
      <vt:variant>
        <vt:lpwstr/>
      </vt:variant>
      <vt:variant>
        <vt:i4>852041</vt:i4>
      </vt:variant>
      <vt:variant>
        <vt:i4>150</vt:i4>
      </vt:variant>
      <vt:variant>
        <vt:i4>0</vt:i4>
      </vt:variant>
      <vt:variant>
        <vt:i4>5</vt:i4>
      </vt:variant>
      <vt:variant>
        <vt:lpwstr>http://www.nevo.co.il/law/70301/29.a</vt:lpwstr>
      </vt:variant>
      <vt:variant>
        <vt:lpwstr/>
      </vt:variant>
      <vt:variant>
        <vt:i4>852050</vt:i4>
      </vt:variant>
      <vt:variant>
        <vt:i4>147</vt:i4>
      </vt:variant>
      <vt:variant>
        <vt:i4>0</vt:i4>
      </vt:variant>
      <vt:variant>
        <vt:i4>5</vt:i4>
      </vt:variant>
      <vt:variant>
        <vt:lpwstr>http://www.nevo.co.il/law/70301/413i</vt:lpwstr>
      </vt:variant>
      <vt:variant>
        <vt:lpwstr/>
      </vt:variant>
      <vt:variant>
        <vt:i4>852041</vt:i4>
      </vt:variant>
      <vt:variant>
        <vt:i4>144</vt:i4>
      </vt:variant>
      <vt:variant>
        <vt:i4>0</vt:i4>
      </vt:variant>
      <vt:variant>
        <vt:i4>5</vt:i4>
      </vt:variant>
      <vt:variant>
        <vt:lpwstr>http://www.nevo.co.il/law/70301/29.a</vt:lpwstr>
      </vt:variant>
      <vt:variant>
        <vt:lpwstr/>
      </vt:variant>
      <vt:variant>
        <vt:i4>7143526</vt:i4>
      </vt:variant>
      <vt:variant>
        <vt:i4>141</vt:i4>
      </vt:variant>
      <vt:variant>
        <vt:i4>0</vt:i4>
      </vt:variant>
      <vt:variant>
        <vt:i4>5</vt:i4>
      </vt:variant>
      <vt:variant>
        <vt:lpwstr>http://www.nevo.co.il/law/70301/384</vt:lpwstr>
      </vt:variant>
      <vt:variant>
        <vt:lpwstr/>
      </vt:variant>
      <vt:variant>
        <vt:i4>852041</vt:i4>
      </vt:variant>
      <vt:variant>
        <vt:i4>138</vt:i4>
      </vt:variant>
      <vt:variant>
        <vt:i4>0</vt:i4>
      </vt:variant>
      <vt:variant>
        <vt:i4>5</vt:i4>
      </vt:variant>
      <vt:variant>
        <vt:lpwstr>http://www.nevo.co.il/law/70301/29.a</vt:lpwstr>
      </vt:variant>
      <vt:variant>
        <vt:lpwstr/>
      </vt:variant>
      <vt:variant>
        <vt:i4>4915287</vt:i4>
      </vt:variant>
      <vt:variant>
        <vt:i4>135</vt:i4>
      </vt:variant>
      <vt:variant>
        <vt:i4>0</vt:i4>
      </vt:variant>
      <vt:variant>
        <vt:i4>5</vt:i4>
      </vt:variant>
      <vt:variant>
        <vt:lpwstr>http://www.nevo.co.il/law/70301/406.b</vt:lpwstr>
      </vt:variant>
      <vt:variant>
        <vt:lpwstr/>
      </vt:variant>
      <vt:variant>
        <vt:i4>852041</vt:i4>
      </vt:variant>
      <vt:variant>
        <vt:i4>132</vt:i4>
      </vt:variant>
      <vt:variant>
        <vt:i4>0</vt:i4>
      </vt:variant>
      <vt:variant>
        <vt:i4>5</vt:i4>
      </vt:variant>
      <vt:variant>
        <vt:lpwstr>http://www.nevo.co.il/law/70301/29.a</vt:lpwstr>
      </vt:variant>
      <vt:variant>
        <vt:lpwstr/>
      </vt:variant>
      <vt:variant>
        <vt:i4>6291553</vt:i4>
      </vt:variant>
      <vt:variant>
        <vt:i4>129</vt:i4>
      </vt:variant>
      <vt:variant>
        <vt:i4>0</vt:i4>
      </vt:variant>
      <vt:variant>
        <vt:i4>5</vt:i4>
      </vt:variant>
      <vt:variant>
        <vt:lpwstr>http://www.nevo.co.il/law/70301/452</vt:lpwstr>
      </vt:variant>
      <vt:variant>
        <vt:lpwstr/>
      </vt:variant>
      <vt:variant>
        <vt:i4>852041</vt:i4>
      </vt:variant>
      <vt:variant>
        <vt:i4>126</vt:i4>
      </vt:variant>
      <vt:variant>
        <vt:i4>0</vt:i4>
      </vt:variant>
      <vt:variant>
        <vt:i4>5</vt:i4>
      </vt:variant>
      <vt:variant>
        <vt:lpwstr>http://www.nevo.co.il/law/70301/29.a</vt:lpwstr>
      </vt:variant>
      <vt:variant>
        <vt:lpwstr/>
      </vt:variant>
      <vt:variant>
        <vt:i4>7143526</vt:i4>
      </vt:variant>
      <vt:variant>
        <vt:i4>123</vt:i4>
      </vt:variant>
      <vt:variant>
        <vt:i4>0</vt:i4>
      </vt:variant>
      <vt:variant>
        <vt:i4>5</vt:i4>
      </vt:variant>
      <vt:variant>
        <vt:lpwstr>http://www.nevo.co.il/law/70301/384</vt:lpwstr>
      </vt:variant>
      <vt:variant>
        <vt:lpwstr/>
      </vt:variant>
      <vt:variant>
        <vt:i4>852041</vt:i4>
      </vt:variant>
      <vt:variant>
        <vt:i4>120</vt:i4>
      </vt:variant>
      <vt:variant>
        <vt:i4>0</vt:i4>
      </vt:variant>
      <vt:variant>
        <vt:i4>5</vt:i4>
      </vt:variant>
      <vt:variant>
        <vt:lpwstr>http://www.nevo.co.il/law/70301/29.a</vt:lpwstr>
      </vt:variant>
      <vt:variant>
        <vt:lpwstr/>
      </vt:variant>
      <vt:variant>
        <vt:i4>4915287</vt:i4>
      </vt:variant>
      <vt:variant>
        <vt:i4>117</vt:i4>
      </vt:variant>
      <vt:variant>
        <vt:i4>0</vt:i4>
      </vt:variant>
      <vt:variant>
        <vt:i4>5</vt:i4>
      </vt:variant>
      <vt:variant>
        <vt:lpwstr>http://www.nevo.co.il/law/70301/406.b</vt:lpwstr>
      </vt:variant>
      <vt:variant>
        <vt:lpwstr/>
      </vt:variant>
      <vt:variant>
        <vt:i4>6553697</vt:i4>
      </vt:variant>
      <vt:variant>
        <vt:i4>114</vt:i4>
      </vt:variant>
      <vt:variant>
        <vt:i4>0</vt:i4>
      </vt:variant>
      <vt:variant>
        <vt:i4>5</vt:i4>
      </vt:variant>
      <vt:variant>
        <vt:lpwstr>http://www.nevo.co.il/law/70301/413</vt:lpwstr>
      </vt:variant>
      <vt:variant>
        <vt:lpwstr/>
      </vt:variant>
      <vt:variant>
        <vt:i4>6422631</vt:i4>
      </vt:variant>
      <vt:variant>
        <vt:i4>111</vt:i4>
      </vt:variant>
      <vt:variant>
        <vt:i4>0</vt:i4>
      </vt:variant>
      <vt:variant>
        <vt:i4>5</vt:i4>
      </vt:variant>
      <vt:variant>
        <vt:lpwstr>http://www.nevo.co.il/law/70301/275</vt:lpwstr>
      </vt:variant>
      <vt:variant>
        <vt:lpwstr/>
      </vt:variant>
      <vt:variant>
        <vt:i4>6684735</vt:i4>
      </vt:variant>
      <vt:variant>
        <vt:i4>108</vt:i4>
      </vt:variant>
      <vt:variant>
        <vt:i4>0</vt:i4>
      </vt:variant>
      <vt:variant>
        <vt:i4>5</vt:i4>
      </vt:variant>
      <vt:variant>
        <vt:lpwstr>http://www.nevo.co.il/law/70301/338.a.1</vt:lpwstr>
      </vt:variant>
      <vt:variant>
        <vt:lpwstr/>
      </vt:variant>
      <vt:variant>
        <vt:i4>852041</vt:i4>
      </vt:variant>
      <vt:variant>
        <vt:i4>105</vt:i4>
      </vt:variant>
      <vt:variant>
        <vt:i4>0</vt:i4>
      </vt:variant>
      <vt:variant>
        <vt:i4>5</vt:i4>
      </vt:variant>
      <vt:variant>
        <vt:lpwstr>http://www.nevo.co.il/law/70301/29.a</vt:lpwstr>
      </vt:variant>
      <vt:variant>
        <vt:lpwstr/>
      </vt:variant>
      <vt:variant>
        <vt:i4>5177424</vt:i4>
      </vt:variant>
      <vt:variant>
        <vt:i4>102</vt:i4>
      </vt:variant>
      <vt:variant>
        <vt:i4>0</vt:i4>
      </vt:variant>
      <vt:variant>
        <vt:i4>5</vt:i4>
      </vt:variant>
      <vt:variant>
        <vt:lpwstr>http://www.nevo.co.il/law/70301/144.a</vt:lpwstr>
      </vt:variant>
      <vt:variant>
        <vt:lpwstr/>
      </vt:variant>
      <vt:variant>
        <vt:i4>852041</vt:i4>
      </vt:variant>
      <vt:variant>
        <vt:i4>99</vt:i4>
      </vt:variant>
      <vt:variant>
        <vt:i4>0</vt:i4>
      </vt:variant>
      <vt:variant>
        <vt:i4>5</vt:i4>
      </vt:variant>
      <vt:variant>
        <vt:lpwstr>http://www.nevo.co.il/law/70301/29.a</vt:lpwstr>
      </vt:variant>
      <vt:variant>
        <vt:lpwstr/>
      </vt:variant>
      <vt:variant>
        <vt:i4>852050</vt:i4>
      </vt:variant>
      <vt:variant>
        <vt:i4>96</vt:i4>
      </vt:variant>
      <vt:variant>
        <vt:i4>0</vt:i4>
      </vt:variant>
      <vt:variant>
        <vt:i4>5</vt:i4>
      </vt:variant>
      <vt:variant>
        <vt:lpwstr>http://www.nevo.co.il/law/70301/413i</vt:lpwstr>
      </vt:variant>
      <vt:variant>
        <vt:lpwstr/>
      </vt:variant>
      <vt:variant>
        <vt:i4>852041</vt:i4>
      </vt:variant>
      <vt:variant>
        <vt:i4>93</vt:i4>
      </vt:variant>
      <vt:variant>
        <vt:i4>0</vt:i4>
      </vt:variant>
      <vt:variant>
        <vt:i4>5</vt:i4>
      </vt:variant>
      <vt:variant>
        <vt:lpwstr>http://www.nevo.co.il/law/70301/29.a</vt:lpwstr>
      </vt:variant>
      <vt:variant>
        <vt:lpwstr/>
      </vt:variant>
      <vt:variant>
        <vt:i4>7143526</vt:i4>
      </vt:variant>
      <vt:variant>
        <vt:i4>90</vt:i4>
      </vt:variant>
      <vt:variant>
        <vt:i4>0</vt:i4>
      </vt:variant>
      <vt:variant>
        <vt:i4>5</vt:i4>
      </vt:variant>
      <vt:variant>
        <vt:lpwstr>http://www.nevo.co.il/law/70301/384</vt:lpwstr>
      </vt:variant>
      <vt:variant>
        <vt:lpwstr/>
      </vt:variant>
      <vt:variant>
        <vt:i4>852041</vt:i4>
      </vt:variant>
      <vt:variant>
        <vt:i4>87</vt:i4>
      </vt:variant>
      <vt:variant>
        <vt:i4>0</vt:i4>
      </vt:variant>
      <vt:variant>
        <vt:i4>5</vt:i4>
      </vt:variant>
      <vt:variant>
        <vt:lpwstr>http://www.nevo.co.il/law/70301/29.a</vt:lpwstr>
      </vt:variant>
      <vt:variant>
        <vt:lpwstr/>
      </vt:variant>
      <vt:variant>
        <vt:i4>4915287</vt:i4>
      </vt:variant>
      <vt:variant>
        <vt:i4>84</vt:i4>
      </vt:variant>
      <vt:variant>
        <vt:i4>0</vt:i4>
      </vt:variant>
      <vt:variant>
        <vt:i4>5</vt:i4>
      </vt:variant>
      <vt:variant>
        <vt:lpwstr>http://www.nevo.co.il/law/70301/406.b</vt:lpwstr>
      </vt:variant>
      <vt:variant>
        <vt:lpwstr/>
      </vt:variant>
      <vt:variant>
        <vt:i4>852041</vt:i4>
      </vt:variant>
      <vt:variant>
        <vt:i4>81</vt:i4>
      </vt:variant>
      <vt:variant>
        <vt:i4>0</vt:i4>
      </vt:variant>
      <vt:variant>
        <vt:i4>5</vt:i4>
      </vt:variant>
      <vt:variant>
        <vt:lpwstr>http://www.nevo.co.il/law/70301/29.a</vt:lpwstr>
      </vt:variant>
      <vt:variant>
        <vt:lpwstr/>
      </vt:variant>
      <vt:variant>
        <vt:i4>852050</vt:i4>
      </vt:variant>
      <vt:variant>
        <vt:i4>78</vt:i4>
      </vt:variant>
      <vt:variant>
        <vt:i4>0</vt:i4>
      </vt:variant>
      <vt:variant>
        <vt:i4>5</vt:i4>
      </vt:variant>
      <vt:variant>
        <vt:lpwstr>http://www.nevo.co.il/law/70301/413i</vt:lpwstr>
      </vt:variant>
      <vt:variant>
        <vt:lpwstr/>
      </vt:variant>
      <vt:variant>
        <vt:i4>852041</vt:i4>
      </vt:variant>
      <vt:variant>
        <vt:i4>75</vt:i4>
      </vt:variant>
      <vt:variant>
        <vt:i4>0</vt:i4>
      </vt:variant>
      <vt:variant>
        <vt:i4>5</vt:i4>
      </vt:variant>
      <vt:variant>
        <vt:lpwstr>http://www.nevo.co.il/law/70301/29.a</vt:lpwstr>
      </vt:variant>
      <vt:variant>
        <vt:lpwstr/>
      </vt:variant>
      <vt:variant>
        <vt:i4>7143526</vt:i4>
      </vt:variant>
      <vt:variant>
        <vt:i4>72</vt:i4>
      </vt:variant>
      <vt:variant>
        <vt:i4>0</vt:i4>
      </vt:variant>
      <vt:variant>
        <vt:i4>5</vt:i4>
      </vt:variant>
      <vt:variant>
        <vt:lpwstr>http://www.nevo.co.il/law/70301/384</vt:lpwstr>
      </vt:variant>
      <vt:variant>
        <vt:lpwstr/>
      </vt:variant>
      <vt:variant>
        <vt:i4>852041</vt:i4>
      </vt:variant>
      <vt:variant>
        <vt:i4>69</vt:i4>
      </vt:variant>
      <vt:variant>
        <vt:i4>0</vt:i4>
      </vt:variant>
      <vt:variant>
        <vt:i4>5</vt:i4>
      </vt:variant>
      <vt:variant>
        <vt:lpwstr>http://www.nevo.co.il/law/70301/29.a</vt:lpwstr>
      </vt:variant>
      <vt:variant>
        <vt:lpwstr/>
      </vt:variant>
      <vt:variant>
        <vt:i4>4915287</vt:i4>
      </vt:variant>
      <vt:variant>
        <vt:i4>66</vt:i4>
      </vt:variant>
      <vt:variant>
        <vt:i4>0</vt:i4>
      </vt:variant>
      <vt:variant>
        <vt:i4>5</vt:i4>
      </vt:variant>
      <vt:variant>
        <vt:lpwstr>http://www.nevo.co.il/law/70301/406.b</vt:lpwstr>
      </vt:variant>
      <vt:variant>
        <vt:lpwstr/>
      </vt:variant>
      <vt:variant>
        <vt:i4>852041</vt:i4>
      </vt:variant>
      <vt:variant>
        <vt:i4>63</vt:i4>
      </vt:variant>
      <vt:variant>
        <vt:i4>0</vt:i4>
      </vt:variant>
      <vt:variant>
        <vt:i4>5</vt:i4>
      </vt:variant>
      <vt:variant>
        <vt:lpwstr>http://www.nevo.co.il/law/70301/29.a</vt:lpwstr>
      </vt:variant>
      <vt:variant>
        <vt:lpwstr/>
      </vt:variant>
      <vt:variant>
        <vt:i4>7995492</vt:i4>
      </vt:variant>
      <vt:variant>
        <vt:i4>60</vt:i4>
      </vt:variant>
      <vt:variant>
        <vt:i4>0</vt:i4>
      </vt:variant>
      <vt:variant>
        <vt:i4>5</vt:i4>
      </vt:variant>
      <vt:variant>
        <vt:lpwstr>http://www.nevo.co.il/law/70301</vt:lpwstr>
      </vt:variant>
      <vt:variant>
        <vt:lpwstr/>
      </vt:variant>
      <vt:variant>
        <vt:i4>917586</vt:i4>
      </vt:variant>
      <vt:variant>
        <vt:i4>57</vt:i4>
      </vt:variant>
      <vt:variant>
        <vt:i4>0</vt:i4>
      </vt:variant>
      <vt:variant>
        <vt:i4>5</vt:i4>
      </vt:variant>
      <vt:variant>
        <vt:lpwstr>http://www.nevo.co.il/law/70301/413j</vt:lpwstr>
      </vt:variant>
      <vt:variant>
        <vt:lpwstr/>
      </vt:variant>
      <vt:variant>
        <vt:i4>6094940</vt:i4>
      </vt:variant>
      <vt:variant>
        <vt:i4>54</vt:i4>
      </vt:variant>
      <vt:variant>
        <vt:i4>0</vt:i4>
      </vt:variant>
      <vt:variant>
        <vt:i4>5</vt:i4>
      </vt:variant>
      <vt:variant>
        <vt:lpwstr>http://www.nevo.co.il/law/70301/jaCiS</vt:lpwstr>
      </vt:variant>
      <vt:variant>
        <vt:lpwstr/>
      </vt:variant>
      <vt:variant>
        <vt:i4>4522071</vt:i4>
      </vt:variant>
      <vt:variant>
        <vt:i4>51</vt:i4>
      </vt:variant>
      <vt:variant>
        <vt:i4>0</vt:i4>
      </vt:variant>
      <vt:variant>
        <vt:i4>5</vt:i4>
      </vt:variant>
      <vt:variant>
        <vt:lpwstr>http://www.nevo.co.il/law/70301/jChS</vt:lpwstr>
      </vt:variant>
      <vt:variant>
        <vt:lpwstr/>
      </vt:variant>
      <vt:variant>
        <vt:i4>4522072</vt:i4>
      </vt:variant>
      <vt:variant>
        <vt:i4>48</vt:i4>
      </vt:variant>
      <vt:variant>
        <vt:i4>0</vt:i4>
      </vt:variant>
      <vt:variant>
        <vt:i4>5</vt:i4>
      </vt:variant>
      <vt:variant>
        <vt:lpwstr>http://www.nevo.co.il/law/70301/iCdS</vt:lpwstr>
      </vt:variant>
      <vt:variant>
        <vt:lpwstr/>
      </vt:variant>
      <vt:variant>
        <vt:i4>4522076</vt:i4>
      </vt:variant>
      <vt:variant>
        <vt:i4>45</vt:i4>
      </vt:variant>
      <vt:variant>
        <vt:i4>0</vt:i4>
      </vt:variant>
      <vt:variant>
        <vt:i4>5</vt:i4>
      </vt:variant>
      <vt:variant>
        <vt:lpwstr>http://www.nevo.co.il/law/70301/hCaS</vt:lpwstr>
      </vt:variant>
      <vt:variant>
        <vt:lpwstr/>
      </vt:variant>
      <vt:variant>
        <vt:i4>6291553</vt:i4>
      </vt:variant>
      <vt:variant>
        <vt:i4>42</vt:i4>
      </vt:variant>
      <vt:variant>
        <vt:i4>0</vt:i4>
      </vt:variant>
      <vt:variant>
        <vt:i4>5</vt:i4>
      </vt:variant>
      <vt:variant>
        <vt:lpwstr>http://www.nevo.co.il/law/70301/452</vt:lpwstr>
      </vt:variant>
      <vt:variant>
        <vt:lpwstr/>
      </vt:variant>
      <vt:variant>
        <vt:i4>917586</vt:i4>
      </vt:variant>
      <vt:variant>
        <vt:i4>39</vt:i4>
      </vt:variant>
      <vt:variant>
        <vt:i4>0</vt:i4>
      </vt:variant>
      <vt:variant>
        <vt:i4>5</vt:i4>
      </vt:variant>
      <vt:variant>
        <vt:lpwstr>http://www.nevo.co.il/law/70301/413j</vt:lpwstr>
      </vt:variant>
      <vt:variant>
        <vt:lpwstr/>
      </vt:variant>
      <vt:variant>
        <vt:i4>852050</vt:i4>
      </vt:variant>
      <vt:variant>
        <vt:i4>36</vt:i4>
      </vt:variant>
      <vt:variant>
        <vt:i4>0</vt:i4>
      </vt:variant>
      <vt:variant>
        <vt:i4>5</vt:i4>
      </vt:variant>
      <vt:variant>
        <vt:lpwstr>http://www.nevo.co.il/law/70301/413i</vt:lpwstr>
      </vt:variant>
      <vt:variant>
        <vt:lpwstr/>
      </vt:variant>
      <vt:variant>
        <vt:i4>6553697</vt:i4>
      </vt:variant>
      <vt:variant>
        <vt:i4>33</vt:i4>
      </vt:variant>
      <vt:variant>
        <vt:i4>0</vt:i4>
      </vt:variant>
      <vt:variant>
        <vt:i4>5</vt:i4>
      </vt:variant>
      <vt:variant>
        <vt:lpwstr>http://www.nevo.co.il/law/70301/413</vt:lpwstr>
      </vt:variant>
      <vt:variant>
        <vt:lpwstr/>
      </vt:variant>
      <vt:variant>
        <vt:i4>6553637</vt:i4>
      </vt:variant>
      <vt:variant>
        <vt:i4>30</vt:i4>
      </vt:variant>
      <vt:variant>
        <vt:i4>0</vt:i4>
      </vt:variant>
      <vt:variant>
        <vt:i4>5</vt:i4>
      </vt:variant>
      <vt:variant>
        <vt:lpwstr>http://www.nevo.co.il/law/70301/40jc.b</vt:lpwstr>
      </vt:variant>
      <vt:variant>
        <vt:lpwstr/>
      </vt:variant>
      <vt:variant>
        <vt:i4>4915287</vt:i4>
      </vt:variant>
      <vt:variant>
        <vt:i4>27</vt:i4>
      </vt:variant>
      <vt:variant>
        <vt:i4>0</vt:i4>
      </vt:variant>
      <vt:variant>
        <vt:i4>5</vt:i4>
      </vt:variant>
      <vt:variant>
        <vt:lpwstr>http://www.nevo.co.il/law/70301/406.b</vt:lpwstr>
      </vt:variant>
      <vt:variant>
        <vt:lpwstr/>
      </vt:variant>
      <vt:variant>
        <vt:i4>7143526</vt:i4>
      </vt:variant>
      <vt:variant>
        <vt:i4>24</vt:i4>
      </vt:variant>
      <vt:variant>
        <vt:i4>0</vt:i4>
      </vt:variant>
      <vt:variant>
        <vt:i4>5</vt:i4>
      </vt:variant>
      <vt:variant>
        <vt:lpwstr>http://www.nevo.co.il/law/70301/384</vt:lpwstr>
      </vt:variant>
      <vt:variant>
        <vt:lpwstr/>
      </vt:variant>
      <vt:variant>
        <vt:i4>6422630</vt:i4>
      </vt:variant>
      <vt:variant>
        <vt:i4>21</vt:i4>
      </vt:variant>
      <vt:variant>
        <vt:i4>0</vt:i4>
      </vt:variant>
      <vt:variant>
        <vt:i4>5</vt:i4>
      </vt:variant>
      <vt:variant>
        <vt:lpwstr>http://www.nevo.co.il/law/70301/379</vt:lpwstr>
      </vt:variant>
      <vt:variant>
        <vt:lpwstr/>
      </vt:variant>
      <vt:variant>
        <vt:i4>6684735</vt:i4>
      </vt:variant>
      <vt:variant>
        <vt:i4>18</vt:i4>
      </vt:variant>
      <vt:variant>
        <vt:i4>0</vt:i4>
      </vt:variant>
      <vt:variant>
        <vt:i4>5</vt:i4>
      </vt:variant>
      <vt:variant>
        <vt:lpwstr>http://www.nevo.co.il/law/70301/338.a.1</vt:lpwstr>
      </vt:variant>
      <vt:variant>
        <vt:lpwstr/>
      </vt:variant>
      <vt:variant>
        <vt:i4>4390992</vt:i4>
      </vt:variant>
      <vt:variant>
        <vt:i4>15</vt:i4>
      </vt:variant>
      <vt:variant>
        <vt:i4>0</vt:i4>
      </vt:variant>
      <vt:variant>
        <vt:i4>5</vt:i4>
      </vt:variant>
      <vt:variant>
        <vt:lpwstr>http://www.nevo.co.il/law/70301/287.a</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852041</vt:i4>
      </vt:variant>
      <vt:variant>
        <vt:i4>6</vt:i4>
      </vt:variant>
      <vt:variant>
        <vt:i4>0</vt:i4>
      </vt:variant>
      <vt:variant>
        <vt:i4>5</vt:i4>
      </vt:variant>
      <vt:variant>
        <vt:lpwstr>http://www.nevo.co.il/law/70301/29.a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2025-04-25T11:05:00Z</dcterms:created>
  <dcterms:modified xsi:type="dcterms:W3CDTF">2025-04-25T11:05:00Z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40469</vt:lpwstr>
  </property>
  <property fmtid="{D5CDD505-2E9C-101B-9397-08002B2CF9AE}" pid="6" name="NEWPARTB">
    <vt:lpwstr>02</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מחמד סעיד כאלוחי;אימן פקיה</vt:lpwstr>
  </property>
  <property fmtid="{D5CDD505-2E9C-101B-9397-08002B2CF9AE}" pid="10" name="LAWYER">
    <vt:lpwstr>בניטה;פראג';בלום</vt:lpwstr>
  </property>
  <property fmtid="{D5CDD505-2E9C-101B-9397-08002B2CF9AE}" pid="11" name="JUDGE">
    <vt:lpwstr>אלכסנדר רון</vt:lpwstr>
  </property>
  <property fmtid="{D5CDD505-2E9C-101B-9397-08002B2CF9AE}" pid="12" name="CITY">
    <vt:lpwstr>י-ם</vt:lpwstr>
  </property>
  <property fmtid="{D5CDD505-2E9C-101B-9397-08002B2CF9AE}" pid="13" name="DATE">
    <vt:lpwstr>20131222</vt:lpwstr>
  </property>
  <property fmtid="{D5CDD505-2E9C-101B-9397-08002B2CF9AE}" pid="14" name="TYPE_N_DATE">
    <vt:lpwstr>38020131222</vt:lpwstr>
  </property>
  <property fmtid="{D5CDD505-2E9C-101B-9397-08002B2CF9AE}" pid="15" name="WORDNUMPAGES">
    <vt:lpwstr>15</vt:lpwstr>
  </property>
  <property fmtid="{D5CDD505-2E9C-101B-9397-08002B2CF9AE}" pid="16" name="TYPE_ABS_DATE">
    <vt:lpwstr>380020131222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6550210;3946007</vt:lpwstr>
  </property>
  <property fmtid="{D5CDD505-2E9C-101B-9397-08002B2CF9AE}" pid="36" name="CASENOTES1">
    <vt:lpwstr>ProcID=279;184&amp;PartA=154096&amp;PartC=13</vt:lpwstr>
  </property>
  <property fmtid="{D5CDD505-2E9C-101B-9397-08002B2CF9AE}" pid="37" name="LAWLISTTMP1">
    <vt:lpwstr>70301/413j:2;029.a:20;406.b:7;384:6;413i:4;144.a:2;338.a.1;275:2;413:2;452;379;025;287.a:2;40jc.b;hCaS:2;iCdS:2;jChS:2;jaCiS:2</vt:lpwstr>
  </property>
</Properties>
</file>