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9F5436" w:rsidRPr="00F77A3B" w14:paraId="6A201A4F" w14:textId="77777777">
        <w:trPr>
          <w:trHeight w:hRule="exact" w:val="418"/>
          <w:jc w:val="center"/>
        </w:trPr>
        <w:tc>
          <w:tcPr>
            <w:tcW w:w="8720" w:type="dxa"/>
            <w:gridSpan w:val="3"/>
          </w:tcPr>
          <w:p w14:paraId="030ECECC" w14:textId="77777777" w:rsidR="009F5436" w:rsidRPr="00F77A3B" w:rsidRDefault="00F77A3B">
            <w:pPr>
              <w:pStyle w:val="a3"/>
              <w:tabs>
                <w:tab w:val="clear" w:pos="8306"/>
              </w:tabs>
              <w:jc w:val="center"/>
              <w:rPr>
                <w:rFonts w:ascii="Tahoma" w:hAnsi="Tahoma" w:cs="Tahoma"/>
                <w:b/>
                <w:bCs/>
                <w:color w:val="000080"/>
                <w:sz w:val="20"/>
                <w:szCs w:val="20"/>
                <w:rtl/>
              </w:rPr>
            </w:pPr>
            <w:r w:rsidRPr="00F77A3B">
              <w:rPr>
                <w:rFonts w:ascii="Tahoma" w:hAnsi="Tahoma" w:cs="Tahoma"/>
                <w:b/>
                <w:bCs/>
                <w:color w:val="000080"/>
                <w:sz w:val="20"/>
                <w:szCs w:val="20"/>
                <w:rtl/>
              </w:rPr>
              <w:t>בית משפט השלום בטבריה</w:t>
            </w:r>
            <w:r w:rsidRPr="00F77A3B">
              <w:rPr>
                <w:rFonts w:ascii="Tahoma" w:hAnsi="Tahoma" w:cs="Tahoma" w:hint="cs"/>
                <w:b/>
                <w:bCs/>
                <w:color w:val="000080"/>
                <w:sz w:val="20"/>
                <w:szCs w:val="20"/>
                <w:rtl/>
              </w:rPr>
              <w:t xml:space="preserve"> </w:t>
            </w:r>
          </w:p>
        </w:tc>
      </w:tr>
      <w:tr w:rsidR="009F5436" w:rsidRPr="00F77A3B" w14:paraId="0E5E1A75" w14:textId="77777777">
        <w:trPr>
          <w:gridAfter w:val="1"/>
          <w:wAfter w:w="108" w:type="dxa"/>
          <w:trHeight w:val="360"/>
          <w:jc w:val="center"/>
        </w:trPr>
        <w:tc>
          <w:tcPr>
            <w:tcW w:w="4188" w:type="dxa"/>
          </w:tcPr>
          <w:p w14:paraId="6C9E3D5D" w14:textId="77777777" w:rsidR="009F5436" w:rsidRPr="00F77A3B" w:rsidRDefault="00F77A3B">
            <w:pPr>
              <w:rPr>
                <w:b/>
                <w:bCs/>
                <w:rtl/>
              </w:rPr>
            </w:pPr>
            <w:r w:rsidRPr="00F77A3B">
              <w:rPr>
                <w:rFonts w:hint="cs"/>
                <w:b/>
                <w:bCs/>
                <w:rtl/>
              </w:rPr>
              <w:t>בפני כב' השופט דורון פורת, סגן נשיא</w:t>
            </w:r>
          </w:p>
        </w:tc>
        <w:tc>
          <w:tcPr>
            <w:tcW w:w="4424" w:type="dxa"/>
          </w:tcPr>
          <w:p w14:paraId="0DA50283" w14:textId="77777777" w:rsidR="009F5436" w:rsidRPr="00F77A3B" w:rsidRDefault="00F77A3B">
            <w:pPr>
              <w:jc w:val="right"/>
              <w:rPr>
                <w:rtl/>
              </w:rPr>
            </w:pPr>
            <w:r w:rsidRPr="00F77A3B">
              <w:rPr>
                <w:rtl/>
              </w:rPr>
              <w:t>ת"פ</w:t>
            </w:r>
            <w:r w:rsidRPr="00F77A3B">
              <w:rPr>
                <w:rFonts w:hint="cs"/>
                <w:rtl/>
              </w:rPr>
              <w:t xml:space="preserve"> </w:t>
            </w:r>
            <w:r w:rsidRPr="00F77A3B">
              <w:rPr>
                <w:rtl/>
              </w:rPr>
              <w:t>53489-02-13</w:t>
            </w:r>
            <w:r w:rsidRPr="00F77A3B">
              <w:rPr>
                <w:rFonts w:hint="cs"/>
                <w:rtl/>
              </w:rPr>
              <w:t xml:space="preserve"> </w:t>
            </w:r>
            <w:r w:rsidRPr="00F77A3B">
              <w:rPr>
                <w:rtl/>
              </w:rPr>
              <w:t>מדינת ישראל נ' יזבק ואח'</w:t>
            </w:r>
          </w:p>
        </w:tc>
      </w:tr>
      <w:tr w:rsidR="009F5436" w:rsidRPr="00F77A3B" w14:paraId="461B6DC1" w14:textId="77777777">
        <w:trPr>
          <w:gridAfter w:val="1"/>
          <w:wAfter w:w="108" w:type="dxa"/>
          <w:trHeight w:val="360"/>
          <w:jc w:val="center"/>
        </w:trPr>
        <w:tc>
          <w:tcPr>
            <w:tcW w:w="4188" w:type="dxa"/>
          </w:tcPr>
          <w:p w14:paraId="4B29BD31" w14:textId="77777777" w:rsidR="009F5436" w:rsidRPr="00F77A3B" w:rsidRDefault="009F5436">
            <w:pPr>
              <w:rPr>
                <w:rtl/>
              </w:rPr>
            </w:pPr>
            <w:bookmarkStart w:id="0" w:name="LastJudge"/>
            <w:bookmarkEnd w:id="0"/>
          </w:p>
        </w:tc>
        <w:tc>
          <w:tcPr>
            <w:tcW w:w="4424" w:type="dxa"/>
          </w:tcPr>
          <w:p w14:paraId="1B4BCD9B" w14:textId="77777777" w:rsidR="009F5436" w:rsidRPr="00F77A3B" w:rsidRDefault="00F77A3B">
            <w:pPr>
              <w:jc w:val="right"/>
              <w:rPr>
                <w:b/>
                <w:bCs/>
                <w:rtl/>
              </w:rPr>
            </w:pPr>
            <w:r w:rsidRPr="00F77A3B">
              <w:rPr>
                <w:rFonts w:hint="cs"/>
                <w:b/>
                <w:bCs/>
                <w:rtl/>
              </w:rPr>
              <w:t>25</w:t>
            </w:r>
            <w:r w:rsidRPr="00F77A3B">
              <w:rPr>
                <w:b/>
                <w:bCs/>
                <w:rtl/>
              </w:rPr>
              <w:t xml:space="preserve"> פברואר 2014</w:t>
            </w:r>
          </w:p>
        </w:tc>
      </w:tr>
    </w:tbl>
    <w:p w14:paraId="254E52AB" w14:textId="77777777" w:rsidR="009F5436" w:rsidRPr="00F77A3B" w:rsidRDefault="009F5436">
      <w:pPr>
        <w:pStyle w:val="a3"/>
        <w:rPr>
          <w:rFonts w:ascii="Tahoma" w:hAnsi="Tahoma" w:cs="Tahoma"/>
          <w:b/>
          <w:bCs/>
          <w:color w:val="000080"/>
          <w:sz w:val="20"/>
          <w:szCs w:val="20"/>
          <w:rtl/>
        </w:rPr>
      </w:pPr>
    </w:p>
    <w:p w14:paraId="48C61D86" w14:textId="77777777" w:rsidR="009F5436" w:rsidRPr="00F77A3B" w:rsidRDefault="00F77A3B">
      <w:pPr>
        <w:spacing w:line="360" w:lineRule="auto"/>
        <w:jc w:val="both"/>
        <w:rPr>
          <w:rtl/>
        </w:rPr>
      </w:pPr>
      <w:r w:rsidRPr="00F77A3B">
        <w:rPr>
          <w:rtl/>
        </w:rPr>
        <w:t xml:space="preserve"> </w:t>
      </w:r>
    </w:p>
    <w:tbl>
      <w:tblPr>
        <w:bidiVisual/>
        <w:tblW w:w="0" w:type="auto"/>
        <w:jc w:val="center"/>
        <w:tblLook w:val="0000" w:firstRow="0" w:lastRow="0" w:firstColumn="0" w:lastColumn="0" w:noHBand="0" w:noVBand="0"/>
      </w:tblPr>
      <w:tblGrid>
        <w:gridCol w:w="3935"/>
        <w:gridCol w:w="700"/>
        <w:gridCol w:w="361"/>
        <w:gridCol w:w="3643"/>
        <w:gridCol w:w="81"/>
      </w:tblGrid>
      <w:tr w:rsidR="009F5436" w:rsidRPr="00F77A3B" w14:paraId="10FA303E" w14:textId="77777777">
        <w:trPr>
          <w:gridAfter w:val="1"/>
          <w:wAfter w:w="54" w:type="dxa"/>
          <w:trHeight w:val="337"/>
          <w:jc w:val="center"/>
        </w:trPr>
        <w:tc>
          <w:tcPr>
            <w:tcW w:w="3973" w:type="dxa"/>
          </w:tcPr>
          <w:p w14:paraId="73676861" w14:textId="77777777" w:rsidR="009F5436" w:rsidRPr="00F77A3B" w:rsidRDefault="00F77A3B">
            <w:pPr>
              <w:rPr>
                <w:rFonts w:ascii="Times New Roman" w:hAnsi="Times New Roman"/>
                <w:b/>
                <w:bCs/>
                <w:sz w:val="26"/>
                <w:szCs w:val="26"/>
                <w:rtl/>
              </w:rPr>
            </w:pPr>
            <w:r w:rsidRPr="00F77A3B">
              <w:rPr>
                <w:rFonts w:hint="cs"/>
                <w:b/>
                <w:bCs/>
                <w:sz w:val="26"/>
                <w:szCs w:val="26"/>
                <w:rtl/>
              </w:rPr>
              <w:t>בעניין:</w:t>
            </w:r>
          </w:p>
        </w:tc>
        <w:tc>
          <w:tcPr>
            <w:tcW w:w="1071" w:type="dxa"/>
            <w:gridSpan w:val="2"/>
          </w:tcPr>
          <w:p w14:paraId="611C551C" w14:textId="77777777" w:rsidR="009F5436" w:rsidRPr="00F77A3B" w:rsidRDefault="009F5436">
            <w:pPr>
              <w:pStyle w:val="a3"/>
              <w:jc w:val="both"/>
              <w:rPr>
                <w:b/>
                <w:bCs/>
                <w:sz w:val="26"/>
                <w:szCs w:val="26"/>
                <w:rtl/>
              </w:rPr>
            </w:pPr>
          </w:p>
        </w:tc>
        <w:tc>
          <w:tcPr>
            <w:tcW w:w="3676" w:type="dxa"/>
          </w:tcPr>
          <w:p w14:paraId="16FA0763" w14:textId="77777777" w:rsidR="009F5436" w:rsidRPr="00F77A3B" w:rsidRDefault="009F5436">
            <w:pPr>
              <w:pStyle w:val="a3"/>
              <w:jc w:val="right"/>
              <w:rPr>
                <w:b/>
                <w:bCs/>
                <w:rtl/>
              </w:rPr>
            </w:pPr>
          </w:p>
        </w:tc>
      </w:tr>
      <w:tr w:rsidR="009F5436" w:rsidRPr="00F77A3B" w14:paraId="147093DA" w14:textId="77777777">
        <w:tblPrEx>
          <w:jc w:val="left"/>
          <w:tblLook w:val="01E0" w:firstRow="1" w:lastRow="1" w:firstColumn="1" w:lastColumn="1" w:noHBand="0" w:noVBand="0"/>
        </w:tblPrEx>
        <w:tc>
          <w:tcPr>
            <w:tcW w:w="4680" w:type="dxa"/>
            <w:gridSpan w:val="2"/>
          </w:tcPr>
          <w:p w14:paraId="691974BE" w14:textId="77777777" w:rsidR="009F5436" w:rsidRPr="00F77A3B" w:rsidRDefault="00F77A3B">
            <w:pPr>
              <w:rPr>
                <w:b/>
                <w:bCs/>
              </w:rPr>
            </w:pPr>
            <w:bookmarkStart w:id="1" w:name="FirstAppellant"/>
            <w:r w:rsidRPr="00F77A3B">
              <w:rPr>
                <w:rFonts w:ascii="Times New Roman" w:eastAsia="Times New Roman" w:hAnsi="Times New Roman" w:hint="cs"/>
                <w:b/>
                <w:bCs/>
                <w:sz w:val="26"/>
                <w:szCs w:val="26"/>
                <w:rtl/>
              </w:rPr>
              <w:t xml:space="preserve"> </w:t>
            </w:r>
            <w:r w:rsidRPr="00F77A3B">
              <w:rPr>
                <w:rFonts w:ascii="Times New Roman" w:eastAsia="Times New Roman" w:hAnsi="Times New Roman" w:hint="cs"/>
                <w:b/>
                <w:bCs/>
                <w:rtl/>
              </w:rPr>
              <w:t>מדינת ישראל</w:t>
            </w:r>
          </w:p>
          <w:p w14:paraId="10A07C09" w14:textId="77777777" w:rsidR="009F5436" w:rsidRPr="00F77A3B" w:rsidRDefault="009F5436">
            <w:pPr>
              <w:ind w:left="26"/>
              <w:rPr>
                <w:rFonts w:ascii="Times New Roman" w:eastAsia="Times New Roman" w:hAnsi="Times New Roman"/>
                <w:b/>
                <w:bCs/>
                <w:sz w:val="26"/>
                <w:szCs w:val="26"/>
                <w:rtl/>
              </w:rPr>
            </w:pPr>
          </w:p>
        </w:tc>
        <w:tc>
          <w:tcPr>
            <w:tcW w:w="4122" w:type="dxa"/>
            <w:gridSpan w:val="3"/>
          </w:tcPr>
          <w:p w14:paraId="77C32508" w14:textId="77777777" w:rsidR="009F5436" w:rsidRPr="00F77A3B" w:rsidRDefault="00F77A3B">
            <w:pPr>
              <w:jc w:val="right"/>
              <w:rPr>
                <w:rFonts w:ascii="Times New Roman" w:eastAsia="Times New Roman" w:hAnsi="Times New Roman"/>
                <w:b/>
                <w:bCs/>
                <w:sz w:val="26"/>
                <w:szCs w:val="26"/>
                <w:rtl/>
              </w:rPr>
            </w:pPr>
            <w:r w:rsidRPr="00F77A3B">
              <w:rPr>
                <w:rFonts w:ascii="Times New Roman" w:eastAsia="Times New Roman" w:hAnsi="Times New Roman" w:hint="cs"/>
                <w:b/>
                <w:bCs/>
                <w:sz w:val="26"/>
                <w:szCs w:val="26"/>
                <w:rtl/>
              </w:rPr>
              <w:t>ה</w:t>
            </w:r>
            <w:r w:rsidRPr="00F77A3B">
              <w:rPr>
                <w:rFonts w:ascii="Times New Roman" w:eastAsia="Times New Roman" w:hAnsi="Times New Roman" w:hint="cs"/>
                <w:b/>
                <w:bCs/>
                <w:rtl/>
              </w:rPr>
              <w:t>מאשימה</w:t>
            </w:r>
          </w:p>
        </w:tc>
      </w:tr>
      <w:bookmarkEnd w:id="1"/>
      <w:tr w:rsidR="009F5436" w:rsidRPr="00F77A3B" w14:paraId="3C139EE4" w14:textId="77777777">
        <w:tblPrEx>
          <w:jc w:val="left"/>
          <w:tblLook w:val="01E0" w:firstRow="1" w:lastRow="1" w:firstColumn="1" w:lastColumn="1" w:noHBand="0" w:noVBand="0"/>
        </w:tblPrEx>
        <w:tc>
          <w:tcPr>
            <w:tcW w:w="8802" w:type="dxa"/>
            <w:gridSpan w:val="5"/>
          </w:tcPr>
          <w:p w14:paraId="3DE4D40F" w14:textId="77777777" w:rsidR="009F5436" w:rsidRPr="00F77A3B" w:rsidRDefault="009F5436">
            <w:pPr>
              <w:jc w:val="both"/>
              <w:rPr>
                <w:rFonts w:ascii="Arial" w:eastAsia="Times New Roman" w:hAnsi="Arial"/>
                <w:b/>
                <w:bCs/>
                <w:sz w:val="26"/>
                <w:szCs w:val="26"/>
                <w:rtl/>
              </w:rPr>
            </w:pPr>
          </w:p>
          <w:p w14:paraId="0EA81054" w14:textId="77777777" w:rsidR="009F5436" w:rsidRPr="00F77A3B" w:rsidRDefault="00F77A3B">
            <w:pPr>
              <w:jc w:val="center"/>
              <w:rPr>
                <w:rFonts w:ascii="Arial" w:eastAsia="Times New Roman" w:hAnsi="Arial"/>
                <w:b/>
                <w:bCs/>
                <w:sz w:val="26"/>
                <w:szCs w:val="26"/>
                <w:rtl/>
              </w:rPr>
            </w:pPr>
            <w:r w:rsidRPr="00F77A3B">
              <w:rPr>
                <w:rFonts w:ascii="Arial" w:eastAsia="Times New Roman" w:hAnsi="Arial"/>
                <w:b/>
                <w:bCs/>
                <w:sz w:val="26"/>
                <w:szCs w:val="26"/>
                <w:rtl/>
              </w:rPr>
              <w:t>נגד</w:t>
            </w:r>
          </w:p>
          <w:p w14:paraId="608727ED" w14:textId="77777777" w:rsidR="009F5436" w:rsidRPr="00F77A3B" w:rsidRDefault="009F5436">
            <w:pPr>
              <w:jc w:val="center"/>
              <w:rPr>
                <w:rFonts w:ascii="Arial" w:eastAsia="Times New Roman" w:hAnsi="Arial"/>
                <w:b/>
                <w:bCs/>
                <w:sz w:val="26"/>
                <w:szCs w:val="26"/>
              </w:rPr>
            </w:pPr>
          </w:p>
        </w:tc>
      </w:tr>
      <w:tr w:rsidR="009F5436" w:rsidRPr="00F77A3B" w14:paraId="342F6EA7" w14:textId="77777777">
        <w:tblPrEx>
          <w:jc w:val="left"/>
          <w:tblLook w:val="01E0" w:firstRow="1" w:lastRow="1" w:firstColumn="1" w:lastColumn="1" w:noHBand="0" w:noVBand="0"/>
        </w:tblPrEx>
        <w:tc>
          <w:tcPr>
            <w:tcW w:w="4680" w:type="dxa"/>
            <w:gridSpan w:val="2"/>
          </w:tcPr>
          <w:p w14:paraId="57C36AF7" w14:textId="77777777" w:rsidR="009F5436" w:rsidRPr="00F77A3B" w:rsidRDefault="009F5436">
            <w:pPr>
              <w:ind w:left="26"/>
              <w:rPr>
                <w:rFonts w:ascii="Times New Roman" w:eastAsia="Times New Roman" w:hAnsi="Times New Roman"/>
                <w:b/>
                <w:bCs/>
                <w:sz w:val="26"/>
                <w:szCs w:val="26"/>
                <w:rtl/>
              </w:rPr>
            </w:pPr>
          </w:p>
          <w:p w14:paraId="7EEB7346" w14:textId="77777777" w:rsidR="009F5436" w:rsidRPr="00F77A3B" w:rsidRDefault="00F77A3B">
            <w:pPr>
              <w:rPr>
                <w:b/>
                <w:bCs/>
              </w:rPr>
            </w:pPr>
            <w:r w:rsidRPr="00F77A3B">
              <w:rPr>
                <w:rFonts w:ascii="Times New Roman" w:eastAsia="Times New Roman" w:hAnsi="Times New Roman" w:hint="cs"/>
                <w:b/>
                <w:bCs/>
                <w:rtl/>
              </w:rPr>
              <w:t>1.</w:t>
            </w:r>
            <w:r w:rsidRPr="00F77A3B">
              <w:rPr>
                <w:rFonts w:ascii="Times New Roman" w:eastAsia="Times New Roman" w:hAnsi="Times New Roman" w:hint="cs"/>
                <w:b/>
                <w:bCs/>
                <w:sz w:val="26"/>
                <w:szCs w:val="26"/>
                <w:rtl/>
              </w:rPr>
              <w:t xml:space="preserve"> </w:t>
            </w:r>
            <w:r w:rsidRPr="00F77A3B">
              <w:rPr>
                <w:rFonts w:ascii="Times New Roman" w:eastAsia="Times New Roman" w:hAnsi="Times New Roman" w:hint="cs"/>
                <w:b/>
                <w:bCs/>
                <w:rtl/>
              </w:rPr>
              <w:t>נסים יזבק</w:t>
            </w:r>
          </w:p>
          <w:p w14:paraId="29B233B3" w14:textId="77777777" w:rsidR="009F5436" w:rsidRPr="00F77A3B" w:rsidRDefault="00F77A3B">
            <w:pPr>
              <w:rPr>
                <w:b/>
                <w:bCs/>
              </w:rPr>
            </w:pPr>
            <w:r w:rsidRPr="00F77A3B">
              <w:rPr>
                <w:rFonts w:ascii="Times New Roman" w:eastAsia="Times New Roman" w:hAnsi="Times New Roman" w:hint="cs"/>
                <w:b/>
                <w:bCs/>
                <w:rtl/>
              </w:rPr>
              <w:t>2.</w:t>
            </w:r>
            <w:r w:rsidRPr="00F77A3B">
              <w:rPr>
                <w:rFonts w:ascii="Times New Roman" w:eastAsia="Times New Roman" w:hAnsi="Times New Roman" w:hint="cs"/>
                <w:b/>
                <w:bCs/>
                <w:sz w:val="26"/>
                <w:szCs w:val="26"/>
                <w:rtl/>
              </w:rPr>
              <w:t xml:space="preserve"> </w:t>
            </w:r>
            <w:r w:rsidRPr="00F77A3B">
              <w:rPr>
                <w:rFonts w:ascii="Times New Roman" w:eastAsia="Times New Roman" w:hAnsi="Times New Roman" w:hint="cs"/>
                <w:b/>
                <w:bCs/>
                <w:rtl/>
              </w:rPr>
              <w:t xml:space="preserve">מועאד זועבי - נדון </w:t>
            </w:r>
          </w:p>
        </w:tc>
        <w:tc>
          <w:tcPr>
            <w:tcW w:w="4122" w:type="dxa"/>
            <w:gridSpan w:val="3"/>
          </w:tcPr>
          <w:p w14:paraId="347629D4" w14:textId="77777777" w:rsidR="009F5436" w:rsidRPr="00F77A3B" w:rsidRDefault="00F77A3B">
            <w:pPr>
              <w:jc w:val="right"/>
              <w:rPr>
                <w:rFonts w:ascii="Times New Roman" w:eastAsia="Times New Roman" w:hAnsi="Times New Roman"/>
                <w:b/>
                <w:bCs/>
                <w:sz w:val="26"/>
                <w:szCs w:val="26"/>
                <w:rtl/>
              </w:rPr>
            </w:pPr>
            <w:r w:rsidRPr="00F77A3B">
              <w:rPr>
                <w:rFonts w:ascii="Times New Roman" w:eastAsia="Times New Roman" w:hAnsi="Times New Roman" w:hint="cs"/>
                <w:b/>
                <w:bCs/>
                <w:sz w:val="26"/>
                <w:szCs w:val="26"/>
                <w:rtl/>
              </w:rPr>
              <w:t>הנאשמים</w:t>
            </w:r>
          </w:p>
        </w:tc>
      </w:tr>
    </w:tbl>
    <w:p w14:paraId="1AB4BED5" w14:textId="77777777" w:rsidR="009F5436" w:rsidRPr="00F77A3B" w:rsidRDefault="009F5436"/>
    <w:p w14:paraId="2309B3C4" w14:textId="77777777" w:rsidR="009F5436" w:rsidRPr="00F77A3B" w:rsidRDefault="00F77A3B">
      <w:pPr>
        <w:spacing w:line="360" w:lineRule="auto"/>
        <w:jc w:val="both"/>
        <w:rPr>
          <w:b/>
          <w:bCs/>
          <w:sz w:val="6"/>
          <w:szCs w:val="6"/>
          <w:rtl/>
        </w:rPr>
      </w:pPr>
      <w:r w:rsidRPr="00F77A3B">
        <w:rPr>
          <w:b/>
          <w:bCs/>
          <w:sz w:val="6"/>
          <w:szCs w:val="6"/>
          <w:rtl/>
        </w:rPr>
        <w:t>&lt;#2#&gt;</w:t>
      </w:r>
    </w:p>
    <w:p w14:paraId="46423D7F" w14:textId="77777777" w:rsidR="009F5436" w:rsidRPr="00F77A3B" w:rsidRDefault="00F77A3B">
      <w:pPr>
        <w:pStyle w:val="12"/>
        <w:rPr>
          <w:u w:val="none"/>
          <w:rtl/>
        </w:rPr>
      </w:pPr>
      <w:r w:rsidRPr="00F77A3B">
        <w:rPr>
          <w:rFonts w:hint="cs"/>
          <w:u w:val="none"/>
          <w:rtl/>
        </w:rPr>
        <w:t>נוכחים:</w:t>
      </w:r>
    </w:p>
    <w:p w14:paraId="763DFC10" w14:textId="77777777" w:rsidR="009F5436" w:rsidRPr="00F77A3B" w:rsidRDefault="00F77A3B">
      <w:pPr>
        <w:pStyle w:val="12"/>
        <w:rPr>
          <w:u w:val="none"/>
          <w:rtl/>
        </w:rPr>
      </w:pPr>
      <w:r w:rsidRPr="00F77A3B">
        <w:rPr>
          <w:rFonts w:hint="cs"/>
          <w:u w:val="none"/>
          <w:rtl/>
        </w:rPr>
        <w:t xml:space="preserve">מטעם המאשימה: מתמחה </w:t>
      </w:r>
      <w:r w:rsidRPr="00F77A3B">
        <w:rPr>
          <w:u w:val="none"/>
          <w:rtl/>
        </w:rPr>
        <w:t>–</w:t>
      </w:r>
      <w:r w:rsidRPr="00F77A3B">
        <w:rPr>
          <w:rFonts w:hint="cs"/>
          <w:u w:val="none"/>
          <w:rtl/>
        </w:rPr>
        <w:t xml:space="preserve"> סיוון כהן פרקליטות מחוז צפון</w:t>
      </w:r>
    </w:p>
    <w:p w14:paraId="42FBE43A" w14:textId="77777777" w:rsidR="009F5436" w:rsidRPr="00F77A3B" w:rsidRDefault="00F77A3B">
      <w:pPr>
        <w:pStyle w:val="12"/>
        <w:rPr>
          <w:u w:val="none"/>
          <w:rtl/>
        </w:rPr>
      </w:pPr>
      <w:r w:rsidRPr="00F77A3B">
        <w:rPr>
          <w:rFonts w:hint="cs"/>
          <w:u w:val="none"/>
          <w:rtl/>
        </w:rPr>
        <w:t>מטעם הנאשם: בעצמו ו</w:t>
      </w:r>
      <w:bookmarkStart w:id="2" w:name="FirstLawyer"/>
      <w:r w:rsidRPr="00F77A3B">
        <w:rPr>
          <w:rFonts w:hint="cs"/>
          <w:u w:val="none"/>
          <w:rtl/>
        </w:rPr>
        <w:t>ב"כ</w:t>
      </w:r>
      <w:bookmarkEnd w:id="2"/>
      <w:r w:rsidRPr="00F77A3B">
        <w:rPr>
          <w:rFonts w:hint="cs"/>
          <w:u w:val="none"/>
          <w:rtl/>
        </w:rPr>
        <w:t xml:space="preserve"> עו"ד עוז דקל ממשרדו עו"ד צפרירי</w:t>
      </w:r>
    </w:p>
    <w:p w14:paraId="546F6CFF" w14:textId="77777777" w:rsidR="008056B5" w:rsidRDefault="00F77A3B">
      <w:pPr>
        <w:pStyle w:val="12"/>
        <w:rPr>
          <w:sz w:val="6"/>
          <w:szCs w:val="6"/>
          <w:u w:val="none"/>
          <w:rtl/>
        </w:rPr>
      </w:pPr>
      <w:r w:rsidRPr="00F77A3B">
        <w:rPr>
          <w:sz w:val="6"/>
          <w:szCs w:val="6"/>
          <w:u w:val="none"/>
          <w:rtl/>
        </w:rPr>
        <w:t>&lt;#3#&gt;</w:t>
      </w:r>
      <w:bookmarkStart w:id="3" w:name="LawTable"/>
      <w:bookmarkEnd w:id="3"/>
    </w:p>
    <w:p w14:paraId="51B54A01" w14:textId="77777777" w:rsidR="008056B5" w:rsidRPr="008056B5" w:rsidRDefault="008056B5" w:rsidP="008056B5">
      <w:pPr>
        <w:pStyle w:val="12"/>
        <w:spacing w:after="120" w:line="240" w:lineRule="exact"/>
        <w:ind w:left="283" w:hanging="283"/>
        <w:jc w:val="both"/>
        <w:rPr>
          <w:rFonts w:ascii="FrankRuehl" w:hAnsi="FrankRuehl" w:cs="FrankRuehl"/>
          <w:b w:val="0"/>
          <w:bCs w:val="0"/>
          <w:u w:val="none"/>
          <w:rtl/>
        </w:rPr>
      </w:pPr>
    </w:p>
    <w:p w14:paraId="32E4DA43" w14:textId="77777777" w:rsidR="008056B5" w:rsidRPr="008056B5" w:rsidRDefault="008056B5" w:rsidP="008056B5">
      <w:pPr>
        <w:pStyle w:val="12"/>
        <w:spacing w:after="120" w:line="240" w:lineRule="exact"/>
        <w:ind w:left="283" w:hanging="283"/>
        <w:jc w:val="both"/>
        <w:rPr>
          <w:rFonts w:ascii="FrankRuehl" w:hAnsi="FrankRuehl" w:cs="FrankRuehl"/>
          <w:b w:val="0"/>
          <w:bCs w:val="0"/>
          <w:u w:val="none"/>
          <w:rtl/>
        </w:rPr>
      </w:pPr>
      <w:r w:rsidRPr="008056B5">
        <w:rPr>
          <w:rFonts w:ascii="FrankRuehl" w:hAnsi="FrankRuehl" w:cs="FrankRuehl"/>
          <w:b w:val="0"/>
          <w:bCs w:val="0"/>
          <w:u w:val="none"/>
          <w:rtl/>
        </w:rPr>
        <w:t xml:space="preserve">חקיקה שאוזכרה: </w:t>
      </w:r>
    </w:p>
    <w:p w14:paraId="10960446" w14:textId="77777777" w:rsidR="008056B5" w:rsidRPr="008056B5" w:rsidRDefault="008056B5" w:rsidP="008056B5">
      <w:pPr>
        <w:pStyle w:val="12"/>
        <w:spacing w:after="120" w:line="240" w:lineRule="exact"/>
        <w:ind w:left="283" w:hanging="283"/>
        <w:jc w:val="both"/>
        <w:rPr>
          <w:rFonts w:ascii="FrankRuehl" w:hAnsi="FrankRuehl" w:cs="FrankRuehl"/>
          <w:b w:val="0"/>
          <w:bCs w:val="0"/>
          <w:color w:val="0000FF"/>
          <w:rtl/>
        </w:rPr>
      </w:pPr>
      <w:hyperlink r:id="rId6" w:history="1">
        <w:r w:rsidRPr="008056B5">
          <w:rPr>
            <w:rStyle w:val="Hyperlink"/>
            <w:rFonts w:ascii="FrankRuehl" w:eastAsia="David" w:hAnsi="FrankRuehl" w:cs="FrankRuehl"/>
            <w:b w:val="0"/>
            <w:bCs w:val="0"/>
            <w:rtl/>
          </w:rPr>
          <w:t>חוק העונשין, תשל"ז-1977</w:t>
        </w:r>
      </w:hyperlink>
      <w:r w:rsidRPr="008056B5">
        <w:rPr>
          <w:rFonts w:ascii="FrankRuehl" w:hAnsi="FrankRuehl" w:cs="FrankRuehl"/>
          <w:b w:val="0"/>
          <w:bCs w:val="0"/>
          <w:color w:val="0000FF"/>
          <w:rtl/>
        </w:rPr>
        <w:t xml:space="preserve">: סע'  </w:t>
      </w:r>
      <w:hyperlink r:id="rId7" w:history="1">
        <w:r w:rsidRPr="008056B5">
          <w:rPr>
            <w:rStyle w:val="Hyperlink"/>
            <w:rFonts w:ascii="FrankRuehl" w:eastAsia="David" w:hAnsi="FrankRuehl" w:cs="FrankRuehl"/>
            <w:b w:val="0"/>
            <w:bCs w:val="0"/>
          </w:rPr>
          <w:t>31</w:t>
        </w:r>
      </w:hyperlink>
      <w:r w:rsidRPr="008056B5">
        <w:rPr>
          <w:rFonts w:ascii="FrankRuehl" w:hAnsi="FrankRuehl" w:cs="FrankRuehl"/>
          <w:b w:val="0"/>
          <w:bCs w:val="0"/>
          <w:color w:val="0000FF"/>
          <w:rtl/>
        </w:rPr>
        <w:t xml:space="preserve">, </w:t>
      </w:r>
      <w:hyperlink r:id="rId8" w:history="1">
        <w:r w:rsidRPr="008056B5">
          <w:rPr>
            <w:rStyle w:val="Hyperlink"/>
            <w:rFonts w:ascii="FrankRuehl" w:eastAsia="David" w:hAnsi="FrankRuehl" w:cs="FrankRuehl"/>
            <w:b w:val="0"/>
            <w:bCs w:val="0"/>
          </w:rPr>
          <w:t>144 (</w:t>
        </w:r>
        <w:r w:rsidRPr="008056B5">
          <w:rPr>
            <w:rStyle w:val="Hyperlink"/>
            <w:rFonts w:ascii="FrankRuehl" w:eastAsia="David" w:hAnsi="FrankRuehl" w:cs="FrankRuehl"/>
            <w:b w:val="0"/>
            <w:bCs w:val="0"/>
            <w:rtl/>
          </w:rPr>
          <w:t>א</w:t>
        </w:r>
        <w:r w:rsidRPr="008056B5">
          <w:rPr>
            <w:rStyle w:val="Hyperlink"/>
            <w:rFonts w:ascii="FrankRuehl" w:eastAsia="David" w:hAnsi="FrankRuehl" w:cs="FrankRuehl"/>
            <w:b w:val="0"/>
            <w:bCs w:val="0"/>
          </w:rPr>
          <w:t>)</w:t>
        </w:r>
      </w:hyperlink>
    </w:p>
    <w:p w14:paraId="662EB34A" w14:textId="77777777" w:rsidR="008056B5" w:rsidRPr="008056B5" w:rsidRDefault="008056B5" w:rsidP="008056B5">
      <w:pPr>
        <w:pStyle w:val="12"/>
        <w:spacing w:after="120" w:line="240" w:lineRule="exact"/>
        <w:ind w:left="283" w:hanging="283"/>
        <w:jc w:val="both"/>
        <w:rPr>
          <w:rFonts w:ascii="FrankRuehl" w:hAnsi="FrankRuehl" w:cs="FrankRuehl"/>
          <w:b w:val="0"/>
          <w:bCs w:val="0"/>
          <w:u w:val="none"/>
          <w:rtl/>
        </w:rPr>
      </w:pPr>
    </w:p>
    <w:p w14:paraId="28A11120" w14:textId="77777777" w:rsidR="00F77A3B" w:rsidRPr="00F77A3B" w:rsidRDefault="00F77A3B" w:rsidP="00F77A3B">
      <w:pPr>
        <w:spacing w:line="360" w:lineRule="auto"/>
        <w:jc w:val="center"/>
        <w:rPr>
          <w:rFonts w:ascii="Arial" w:hAnsi="Arial"/>
          <w:b/>
          <w:bCs/>
          <w:sz w:val="28"/>
          <w:szCs w:val="28"/>
          <w:u w:val="single"/>
          <w:rtl/>
        </w:rPr>
      </w:pPr>
      <w:bookmarkStart w:id="4" w:name="LawTable_End"/>
      <w:bookmarkStart w:id="5" w:name="PsakDin"/>
      <w:bookmarkEnd w:id="4"/>
      <w:r w:rsidRPr="00F77A3B">
        <w:rPr>
          <w:rFonts w:ascii="Arial" w:hAnsi="Arial"/>
          <w:b/>
          <w:bCs/>
          <w:sz w:val="28"/>
          <w:szCs w:val="28"/>
          <w:u w:val="single"/>
          <w:rtl/>
        </w:rPr>
        <w:t>גזר דין</w:t>
      </w:r>
    </w:p>
    <w:bookmarkEnd w:id="5"/>
    <w:p w14:paraId="461ABA0A" w14:textId="77777777" w:rsidR="009F5436" w:rsidRDefault="009F5436">
      <w:pPr>
        <w:spacing w:line="360" w:lineRule="auto"/>
        <w:jc w:val="both"/>
        <w:rPr>
          <w:b/>
          <w:bCs/>
          <w:u w:val="single"/>
          <w:rtl/>
        </w:rPr>
      </w:pPr>
    </w:p>
    <w:p w14:paraId="0A5FDB11" w14:textId="77777777" w:rsidR="009F5436" w:rsidRDefault="00F77A3B">
      <w:pPr>
        <w:spacing w:line="360" w:lineRule="auto"/>
        <w:jc w:val="both"/>
      </w:pPr>
      <w:r>
        <w:rPr>
          <w:rFonts w:hint="cs"/>
          <w:rtl/>
        </w:rPr>
        <w:t xml:space="preserve">הנאשם הורשע על פי הודאתו בעבירות אשר יוחסו לו בכתב אישום המתוקן. עבירות של </w:t>
      </w:r>
      <w:r>
        <w:rPr>
          <w:rFonts w:hint="cs"/>
          <w:b/>
          <w:bCs/>
          <w:rtl/>
        </w:rPr>
        <w:t>סיוע לעבירות בנשק</w:t>
      </w:r>
      <w:r>
        <w:rPr>
          <w:rFonts w:hint="cs"/>
          <w:rtl/>
        </w:rPr>
        <w:t xml:space="preserve"> (החזקה- נשק) , עבירה לפי </w:t>
      </w:r>
      <w:hyperlink r:id="rId9" w:history="1">
        <w:r w:rsidR="008056B5" w:rsidRPr="008056B5">
          <w:rPr>
            <w:rStyle w:val="Hyperlink"/>
            <w:rFonts w:hint="eastAsia"/>
            <w:rtl/>
          </w:rPr>
          <w:t>סעיף</w:t>
        </w:r>
        <w:r w:rsidR="008056B5" w:rsidRPr="008056B5">
          <w:rPr>
            <w:rStyle w:val="Hyperlink"/>
            <w:rtl/>
          </w:rPr>
          <w:t xml:space="preserve"> 144 (א)</w:t>
        </w:r>
      </w:hyperlink>
      <w:r>
        <w:rPr>
          <w:rFonts w:hint="cs"/>
          <w:rtl/>
        </w:rPr>
        <w:t xml:space="preserve"> רישא + </w:t>
      </w:r>
      <w:hyperlink r:id="rId10" w:history="1">
        <w:r w:rsidR="008056B5" w:rsidRPr="008056B5">
          <w:rPr>
            <w:rStyle w:val="Hyperlink"/>
            <w:rFonts w:hint="eastAsia"/>
            <w:rtl/>
          </w:rPr>
          <w:t>סעיף</w:t>
        </w:r>
        <w:r w:rsidR="008056B5" w:rsidRPr="008056B5">
          <w:rPr>
            <w:rStyle w:val="Hyperlink"/>
            <w:rtl/>
          </w:rPr>
          <w:t xml:space="preserve"> 31</w:t>
        </w:r>
      </w:hyperlink>
      <w:r>
        <w:rPr>
          <w:rFonts w:hint="cs"/>
          <w:rtl/>
        </w:rPr>
        <w:t xml:space="preserve"> ל</w:t>
      </w:r>
      <w:hyperlink r:id="rId11" w:history="1">
        <w:r w:rsidRPr="00F77A3B">
          <w:rPr>
            <w:color w:val="0000FF"/>
            <w:u w:val="single"/>
            <w:rtl/>
          </w:rPr>
          <w:t>חוק העונשין</w:t>
        </w:r>
      </w:hyperlink>
      <w:r>
        <w:rPr>
          <w:rFonts w:hint="cs"/>
          <w:rtl/>
        </w:rPr>
        <w:t xml:space="preserve"> התשל"ז- 1977. </w:t>
      </w:r>
    </w:p>
    <w:p w14:paraId="1A63CEF4" w14:textId="77777777" w:rsidR="009F5436" w:rsidRDefault="009F5436">
      <w:pPr>
        <w:spacing w:line="360" w:lineRule="auto"/>
        <w:jc w:val="both"/>
        <w:rPr>
          <w:rtl/>
        </w:rPr>
      </w:pPr>
    </w:p>
    <w:p w14:paraId="02072DD4" w14:textId="77777777" w:rsidR="009F5436" w:rsidRDefault="00F77A3B">
      <w:pPr>
        <w:spacing w:line="360" w:lineRule="auto"/>
        <w:rPr>
          <w:rtl/>
        </w:rPr>
      </w:pPr>
      <w:r>
        <w:rPr>
          <w:rFonts w:hint="cs"/>
          <w:rtl/>
        </w:rPr>
        <w:t xml:space="preserve">הנאשם הורשע, כי ביום 12.2.13 החזיק , עבור אחר, ברובה מסוג רוג'ר ומחסנית. במעשיו אלה, סייע הנאשם להחזקת נשק שבכוחו להמית. </w:t>
      </w:r>
    </w:p>
    <w:p w14:paraId="6875C08E" w14:textId="77777777" w:rsidR="009F5436" w:rsidRDefault="009F5436">
      <w:pPr>
        <w:spacing w:line="360" w:lineRule="auto"/>
        <w:rPr>
          <w:rtl/>
        </w:rPr>
      </w:pPr>
    </w:p>
    <w:p w14:paraId="0868FDAE" w14:textId="77777777" w:rsidR="009F5436" w:rsidRDefault="00F77A3B">
      <w:pPr>
        <w:spacing w:line="360" w:lineRule="auto"/>
        <w:jc w:val="both"/>
        <w:rPr>
          <w:b/>
          <w:bCs/>
          <w:u w:val="single"/>
          <w:rtl/>
        </w:rPr>
      </w:pPr>
      <w:r>
        <w:rPr>
          <w:rFonts w:hint="cs"/>
          <w:b/>
          <w:bCs/>
          <w:u w:val="single"/>
          <w:rtl/>
        </w:rPr>
        <w:t xml:space="preserve">הסדר טיעון: </w:t>
      </w:r>
    </w:p>
    <w:p w14:paraId="3ED8AA84" w14:textId="77777777" w:rsidR="009F5436" w:rsidRDefault="00F77A3B">
      <w:pPr>
        <w:spacing w:line="360" w:lineRule="auto"/>
        <w:jc w:val="both"/>
        <w:rPr>
          <w:rtl/>
        </w:rPr>
      </w:pPr>
      <w:r>
        <w:rPr>
          <w:rFonts w:hint="cs"/>
          <w:rtl/>
        </w:rPr>
        <w:t xml:space="preserve">הצדדים הגיעו ביניהם לידי הסדר טיעון, אשר במסגרתו הנאשם הודה והורשע. במסגרת הסדר הטיעון, התביעה עתרה להטלת 6 חודשי מאסר בפועל שירוצו בעבודות שירות, 12 חודשי מאסר על תנאי למשך שנתיים וקנס. </w:t>
      </w:r>
    </w:p>
    <w:p w14:paraId="19126D89" w14:textId="77777777" w:rsidR="009F5436" w:rsidRDefault="009F5436">
      <w:pPr>
        <w:spacing w:line="360" w:lineRule="auto"/>
        <w:jc w:val="both"/>
        <w:rPr>
          <w:rtl/>
        </w:rPr>
      </w:pPr>
    </w:p>
    <w:p w14:paraId="7300E39A" w14:textId="77777777" w:rsidR="009F5436" w:rsidRDefault="00F77A3B">
      <w:pPr>
        <w:spacing w:line="360" w:lineRule="auto"/>
        <w:jc w:val="both"/>
        <w:rPr>
          <w:b/>
          <w:bCs/>
          <w:u w:val="single"/>
          <w:rtl/>
        </w:rPr>
      </w:pPr>
      <w:r>
        <w:rPr>
          <w:rFonts w:hint="cs"/>
          <w:b/>
          <w:bCs/>
          <w:u w:val="single"/>
          <w:rtl/>
        </w:rPr>
        <w:t>טיעונים לעונש מטעם הצדדים:</w:t>
      </w:r>
    </w:p>
    <w:p w14:paraId="04288C0D" w14:textId="77777777" w:rsidR="009F5436" w:rsidRDefault="00F77A3B">
      <w:pPr>
        <w:spacing w:line="360" w:lineRule="auto"/>
        <w:jc w:val="both"/>
        <w:rPr>
          <w:rtl/>
        </w:rPr>
      </w:pPr>
      <w:r>
        <w:rPr>
          <w:rFonts w:hint="cs"/>
          <w:rtl/>
        </w:rPr>
        <w:t>התביעה עתרה לכבד את הסדר הטיעון וביקשה שהמאסר המותנה יחול על כל עבירת נשק.</w:t>
      </w:r>
    </w:p>
    <w:p w14:paraId="22918100" w14:textId="77777777" w:rsidR="009F5436" w:rsidRDefault="00F77A3B">
      <w:pPr>
        <w:spacing w:line="360" w:lineRule="auto"/>
        <w:jc w:val="both"/>
        <w:rPr>
          <w:rtl/>
        </w:rPr>
      </w:pPr>
      <w:r>
        <w:rPr>
          <w:rFonts w:hint="cs"/>
          <w:rtl/>
        </w:rPr>
        <w:t xml:space="preserve">התביעה טענה, כי הסדר הטיעון אינו כולל הסכמה לניכוי ימי המעצר של הנאשם.  </w:t>
      </w:r>
    </w:p>
    <w:p w14:paraId="430EB245" w14:textId="77777777" w:rsidR="009F5436" w:rsidRDefault="009F5436">
      <w:pPr>
        <w:spacing w:line="360" w:lineRule="auto"/>
        <w:jc w:val="both"/>
        <w:rPr>
          <w:rtl/>
        </w:rPr>
      </w:pPr>
    </w:p>
    <w:p w14:paraId="25D9CFAB" w14:textId="77777777" w:rsidR="009F5436" w:rsidRDefault="00F77A3B">
      <w:pPr>
        <w:spacing w:line="360" w:lineRule="auto"/>
        <w:jc w:val="both"/>
        <w:rPr>
          <w:rtl/>
        </w:rPr>
      </w:pPr>
      <w:r>
        <w:rPr>
          <w:rFonts w:hint="cs"/>
          <w:rtl/>
        </w:rPr>
        <w:lastRenderedPageBreak/>
        <w:t>הסנגור ביקש להורות על ניכוי ימי המעצר מימי המאסר, הגם שמדובר במאסר שירוצה בעבודות שירות.</w:t>
      </w:r>
    </w:p>
    <w:p w14:paraId="30009B5A" w14:textId="77777777" w:rsidR="009F5436" w:rsidRDefault="00F77A3B">
      <w:pPr>
        <w:spacing w:line="360" w:lineRule="auto"/>
        <w:jc w:val="both"/>
        <w:rPr>
          <w:rtl/>
        </w:rPr>
      </w:pPr>
      <w:r>
        <w:rPr>
          <w:rFonts w:hint="cs"/>
          <w:rtl/>
        </w:rPr>
        <w:t xml:space="preserve">הסנגור ביקש להתחשב בנסיבותיו האישיות של הנאשם. </w:t>
      </w:r>
    </w:p>
    <w:p w14:paraId="2254A96F" w14:textId="77777777" w:rsidR="009F5436" w:rsidRDefault="00F77A3B">
      <w:pPr>
        <w:spacing w:line="360" w:lineRule="auto"/>
        <w:jc w:val="both"/>
        <w:rPr>
          <w:rtl/>
        </w:rPr>
      </w:pPr>
      <w:r>
        <w:rPr>
          <w:rFonts w:hint="cs"/>
          <w:rtl/>
        </w:rPr>
        <w:t>הסנגור ביקש להתחשב בהודאת הנאשם וטען, כי הצדדים הגיעו לידי הסדר טיעון בשל  בעיות ראייתיות.</w:t>
      </w:r>
    </w:p>
    <w:p w14:paraId="24F4C3B8" w14:textId="77777777" w:rsidR="009F5436" w:rsidRDefault="00F77A3B">
      <w:pPr>
        <w:spacing w:line="360" w:lineRule="auto"/>
        <w:jc w:val="both"/>
        <w:rPr>
          <w:rtl/>
        </w:rPr>
      </w:pPr>
      <w:r>
        <w:rPr>
          <w:rFonts w:hint="cs"/>
          <w:rtl/>
        </w:rPr>
        <w:t xml:space="preserve">הסנגור ביקש להתחשב בכך שהנאשם שהה במשך תקופה ארוכה באיזוק אלקטרוני ובתנאים מגבילים.   </w:t>
      </w:r>
    </w:p>
    <w:p w14:paraId="5D052CC1" w14:textId="77777777" w:rsidR="009F5436" w:rsidRDefault="009F5436">
      <w:pPr>
        <w:spacing w:line="360" w:lineRule="auto"/>
        <w:rPr>
          <w:rtl/>
        </w:rPr>
      </w:pPr>
    </w:p>
    <w:p w14:paraId="2A92C9D2" w14:textId="77777777" w:rsidR="009F5436" w:rsidRDefault="00F77A3B">
      <w:pPr>
        <w:spacing w:line="360" w:lineRule="auto"/>
        <w:rPr>
          <w:b/>
          <w:bCs/>
          <w:u w:val="single"/>
          <w:rtl/>
        </w:rPr>
      </w:pPr>
      <w:r>
        <w:rPr>
          <w:rFonts w:hint="cs"/>
          <w:b/>
          <w:bCs/>
          <w:u w:val="single"/>
          <w:rtl/>
        </w:rPr>
        <w:t>דיון :</w:t>
      </w:r>
    </w:p>
    <w:p w14:paraId="5C5551BB" w14:textId="77777777" w:rsidR="009F5436" w:rsidRDefault="00F77A3B">
      <w:pPr>
        <w:spacing w:line="360" w:lineRule="auto"/>
        <w:jc w:val="both"/>
        <w:rPr>
          <w:rtl/>
        </w:rPr>
      </w:pPr>
      <w:r>
        <w:rPr>
          <w:rFonts w:hint="cs"/>
          <w:rtl/>
        </w:rPr>
        <w:t xml:space="preserve">הנאשם הורשע על פי הודאתו בעבירה של סיוע לעבירות בנשק. </w:t>
      </w:r>
    </w:p>
    <w:p w14:paraId="502D67F9" w14:textId="77777777" w:rsidR="009F5436" w:rsidRDefault="00F77A3B">
      <w:pPr>
        <w:spacing w:line="360" w:lineRule="auto"/>
        <w:jc w:val="both"/>
        <w:rPr>
          <w:rtl/>
        </w:rPr>
      </w:pPr>
      <w:r>
        <w:rPr>
          <w:rFonts w:hint="cs"/>
          <w:rtl/>
        </w:rPr>
        <w:t>בתי המשפט הדגישו לא אחת, כי בכל עבירה הקשורה בנשק, יש להחמיר עם נאשמים וזאת כדי להגן על החברה. נשק המוחזק שלא כחוק, עלול הוא לשמש גורמים עבריינים לביצוע מעשי פשע קשים.</w:t>
      </w:r>
    </w:p>
    <w:p w14:paraId="78FA8AA7" w14:textId="77777777" w:rsidR="009F5436" w:rsidRDefault="009F5436">
      <w:pPr>
        <w:spacing w:line="360" w:lineRule="auto"/>
        <w:rPr>
          <w:rtl/>
        </w:rPr>
      </w:pPr>
    </w:p>
    <w:p w14:paraId="3EA628A5" w14:textId="77777777" w:rsidR="009F5436" w:rsidRDefault="00F77A3B">
      <w:pPr>
        <w:spacing w:line="360" w:lineRule="auto"/>
        <w:jc w:val="both"/>
        <w:rPr>
          <w:rtl/>
        </w:rPr>
      </w:pPr>
      <w:r>
        <w:rPr>
          <w:rFonts w:hint="cs"/>
          <w:rtl/>
        </w:rPr>
        <w:t xml:space="preserve">הצדדים הגיעו ביניהם לידי הסדר טיעון. אלמלא הסדר הטיעון הייתי מטיל על הנאשם עונשים חמורים יותר. התביעה הגיעה להסדר טיעון הכולל ענישה מקלה תוך שהיא קובעת את כל הפרמטרים ברכיבי הענישה. חזקה על התביעה ששקלה את כל השיקולים הקשורים באינטרס הציבורי. הסדרי טיעון נרקמים בין הצדדים ולא אחת רב הנסתר על הגלוי בהם. בשל כך, בתי המשפט נמנעים מהתערבות בהסדרי הטיעון. </w:t>
      </w:r>
    </w:p>
    <w:p w14:paraId="07722513" w14:textId="77777777" w:rsidR="009F5436" w:rsidRDefault="009F5436">
      <w:pPr>
        <w:spacing w:line="360" w:lineRule="auto"/>
        <w:jc w:val="both"/>
        <w:rPr>
          <w:rtl/>
        </w:rPr>
      </w:pPr>
    </w:p>
    <w:p w14:paraId="4105094B" w14:textId="77777777" w:rsidR="009F5436" w:rsidRDefault="00F77A3B">
      <w:pPr>
        <w:spacing w:line="360" w:lineRule="auto"/>
        <w:jc w:val="both"/>
        <w:rPr>
          <w:rtl/>
        </w:rPr>
      </w:pPr>
      <w:r>
        <w:rPr>
          <w:rFonts w:hint="cs"/>
          <w:rtl/>
        </w:rPr>
        <w:t xml:space="preserve">הסנגור עתר לניכוי ימי מעצרו של הנאשם מימי המאסר, אותם ירצה הנאשם בעבודות שירות. לא מצאתי לקבל את טענתו זו של הסנגור. </w:t>
      </w:r>
    </w:p>
    <w:p w14:paraId="79424F58" w14:textId="77777777" w:rsidR="009F5436" w:rsidRDefault="00F77A3B">
      <w:pPr>
        <w:spacing w:line="360" w:lineRule="auto"/>
        <w:jc w:val="both"/>
        <w:rPr>
          <w:rtl/>
        </w:rPr>
      </w:pPr>
      <w:r>
        <w:rPr>
          <w:rFonts w:hint="cs"/>
          <w:rtl/>
        </w:rPr>
        <w:t xml:space="preserve">הסדר הטיעון כפי שנוסח על ידי הצדדים הוא ברור ואין כל התחייבות לניכוי ימי מעצר מימי המאסר שירוצו בעבודות שירות. </w:t>
      </w:r>
    </w:p>
    <w:p w14:paraId="7FEADFA5" w14:textId="77777777" w:rsidR="009F5436" w:rsidRDefault="00F77A3B">
      <w:pPr>
        <w:spacing w:line="360" w:lineRule="auto"/>
        <w:jc w:val="both"/>
        <w:rPr>
          <w:rtl/>
        </w:rPr>
      </w:pPr>
      <w:r>
        <w:rPr>
          <w:rFonts w:hint="cs"/>
          <w:rtl/>
        </w:rPr>
        <w:t xml:space="preserve">יתרה מכך, בתי המשפט אינם נוהגים לנכות ימי מעצר מהתקופה המוטלת לריצוי בעבודות שירות. הסדר הטיעון הוא כחומר בידי הצדדים, הם המעצבים את דמותו. אילו רצו בכך יכלו לציין ענין זה במפורש בהסדר או לערוך את התחשיבים הנדרשים קודם להצגת ההסדר ולטיעונים לעונש. </w:t>
      </w:r>
    </w:p>
    <w:p w14:paraId="7092C6BB" w14:textId="77777777" w:rsidR="009F5436" w:rsidRDefault="009F5436">
      <w:pPr>
        <w:spacing w:line="360" w:lineRule="auto"/>
        <w:rPr>
          <w:rtl/>
        </w:rPr>
      </w:pPr>
    </w:p>
    <w:p w14:paraId="49DEF5A2" w14:textId="77777777" w:rsidR="009F5436" w:rsidRDefault="00F77A3B">
      <w:pPr>
        <w:spacing w:line="360" w:lineRule="auto"/>
        <w:rPr>
          <w:rtl/>
        </w:rPr>
      </w:pPr>
      <w:r>
        <w:rPr>
          <w:rFonts w:hint="cs"/>
          <w:rtl/>
        </w:rPr>
        <w:t xml:space="preserve">נתתי דעתי לנסיבותיו האישיות של הנאשם ולגילו הצעיר. </w:t>
      </w:r>
    </w:p>
    <w:p w14:paraId="098231E1" w14:textId="77777777" w:rsidR="009F5436" w:rsidRDefault="009F5436">
      <w:pPr>
        <w:spacing w:line="360" w:lineRule="auto"/>
        <w:rPr>
          <w:rtl/>
        </w:rPr>
      </w:pPr>
    </w:p>
    <w:p w14:paraId="62C03909" w14:textId="77777777" w:rsidR="009F5436" w:rsidRDefault="00F77A3B">
      <w:pPr>
        <w:spacing w:line="360" w:lineRule="auto"/>
        <w:rPr>
          <w:rtl/>
        </w:rPr>
      </w:pPr>
      <w:r>
        <w:rPr>
          <w:rFonts w:hint="cs"/>
          <w:rtl/>
        </w:rPr>
        <w:t>נתתי דעתי להודאת הנאשם ולזמן השיפוטי שחסך.</w:t>
      </w:r>
    </w:p>
    <w:p w14:paraId="0359063C" w14:textId="77777777" w:rsidR="009F5436" w:rsidRDefault="009F5436">
      <w:pPr>
        <w:spacing w:line="360" w:lineRule="auto"/>
        <w:rPr>
          <w:rtl/>
        </w:rPr>
      </w:pPr>
    </w:p>
    <w:p w14:paraId="0950D7DC" w14:textId="77777777" w:rsidR="009F5436" w:rsidRDefault="00F77A3B">
      <w:pPr>
        <w:spacing w:line="360" w:lineRule="auto"/>
        <w:rPr>
          <w:rtl/>
        </w:rPr>
      </w:pPr>
      <w:r>
        <w:rPr>
          <w:rFonts w:hint="cs"/>
          <w:rtl/>
        </w:rPr>
        <w:t xml:space="preserve">נתתי דעתי לכך שכתב האישום תוקן באופן מהותי, וכן לדברים שאמר אביו של הנאשם. </w:t>
      </w:r>
    </w:p>
    <w:p w14:paraId="7D75BEE7" w14:textId="77777777" w:rsidR="009F5436" w:rsidRDefault="009F5436">
      <w:pPr>
        <w:spacing w:line="360" w:lineRule="auto"/>
        <w:rPr>
          <w:rtl/>
        </w:rPr>
      </w:pPr>
    </w:p>
    <w:p w14:paraId="292995A9" w14:textId="77777777" w:rsidR="009F5436" w:rsidRDefault="00F77A3B">
      <w:pPr>
        <w:spacing w:line="360" w:lineRule="auto"/>
        <w:rPr>
          <w:b/>
          <w:bCs/>
          <w:u w:val="single"/>
          <w:rtl/>
        </w:rPr>
      </w:pPr>
      <w:r>
        <w:rPr>
          <w:rFonts w:hint="cs"/>
          <w:b/>
          <w:bCs/>
          <w:u w:val="single"/>
          <w:rtl/>
        </w:rPr>
        <w:t>לאחר ששמעתי את טיעוני ב"כ המאשימה ואת טיעוני הנאשם 1 , ובהתחשב בנסיבות, אני גוזר על הנאשם 1 את העונשים הבאים:</w:t>
      </w:r>
    </w:p>
    <w:p w14:paraId="3B5F440B" w14:textId="77777777" w:rsidR="009F5436" w:rsidRDefault="00F77A3B">
      <w:pPr>
        <w:pStyle w:val="2"/>
        <w:ind w:left="720" w:hanging="720"/>
        <w:rPr>
          <w:color w:val="000000"/>
          <w:szCs w:val="24"/>
          <w:rtl/>
        </w:rPr>
      </w:pPr>
      <w:r>
        <w:rPr>
          <w:rFonts w:hint="cs"/>
          <w:szCs w:val="24"/>
          <w:rtl/>
        </w:rPr>
        <w:lastRenderedPageBreak/>
        <w:t xml:space="preserve">א.         אני מטיל על הנאשם מאסר לתקופה של 12 חודשים, מהם  </w:t>
      </w:r>
      <w:r>
        <w:rPr>
          <w:rFonts w:hint="cs"/>
          <w:b/>
          <w:bCs/>
          <w:szCs w:val="24"/>
          <w:rtl/>
        </w:rPr>
        <w:t xml:space="preserve">6 </w:t>
      </w:r>
      <w:r>
        <w:rPr>
          <w:rFonts w:hint="cs"/>
          <w:szCs w:val="24"/>
          <w:rtl/>
        </w:rPr>
        <w:t xml:space="preserve">חודשים בפועל והיתרה על תנאי, למשך שנתיים החל מהיום, והתנאי שלא יעבור ויורשע על </w:t>
      </w:r>
      <w:r>
        <w:rPr>
          <w:rFonts w:hint="cs"/>
          <w:color w:val="000000"/>
          <w:szCs w:val="24"/>
          <w:rtl/>
        </w:rPr>
        <w:t xml:space="preserve">כל עבירה הקשורה בנשק. </w:t>
      </w:r>
    </w:p>
    <w:p w14:paraId="50C2370E" w14:textId="77777777" w:rsidR="009F5436" w:rsidRDefault="009F5436">
      <w:pPr>
        <w:spacing w:line="360" w:lineRule="auto"/>
        <w:ind w:left="720"/>
        <w:rPr>
          <w:rtl/>
        </w:rPr>
      </w:pPr>
    </w:p>
    <w:p w14:paraId="45C704DA" w14:textId="77777777" w:rsidR="009F5436" w:rsidRDefault="00F77A3B">
      <w:pPr>
        <w:pStyle w:val="a6"/>
        <w:spacing w:line="360" w:lineRule="auto"/>
        <w:ind w:left="720" w:hanging="720"/>
        <w:rPr>
          <w:rtl/>
        </w:rPr>
      </w:pPr>
      <w:r>
        <w:rPr>
          <w:rFonts w:hint="cs"/>
          <w:rtl/>
        </w:rPr>
        <w:t>ב.          אני דן את הנאשם לתשלום קנס בסך 2,000 ₪, או  20 ימי מאסר שיישא הנאשם בנוסף לכל מאסר אחר שהוטל עליו.</w:t>
      </w:r>
    </w:p>
    <w:p w14:paraId="7F120731" w14:textId="77777777" w:rsidR="009F5436" w:rsidRDefault="00F77A3B">
      <w:pPr>
        <w:pStyle w:val="a8"/>
        <w:rPr>
          <w:b w:val="0"/>
          <w:bCs w:val="0"/>
          <w:szCs w:val="24"/>
          <w:rtl/>
        </w:rPr>
      </w:pPr>
      <w:r>
        <w:rPr>
          <w:rFonts w:hint="cs"/>
          <w:b w:val="0"/>
          <w:bCs w:val="0"/>
          <w:szCs w:val="24"/>
          <w:rtl/>
        </w:rPr>
        <w:t>הקנס ישולם ב – 5 שיעורים חודשיים שווים ורצופים, תשלום ראשון תוך 30 יום מהיום. אי תשלום אחד מהשיעורים, יעמיד את היתרה לפירעון מיידי.</w:t>
      </w:r>
    </w:p>
    <w:p w14:paraId="71AAE77F" w14:textId="77777777" w:rsidR="009F5436" w:rsidRDefault="009F5436">
      <w:pPr>
        <w:pStyle w:val="a8"/>
        <w:rPr>
          <w:b w:val="0"/>
          <w:bCs w:val="0"/>
          <w:szCs w:val="24"/>
          <w:rtl/>
        </w:rPr>
      </w:pPr>
    </w:p>
    <w:p w14:paraId="447FE75A" w14:textId="77777777" w:rsidR="009F5436" w:rsidRDefault="00F77A3B">
      <w:pPr>
        <w:pStyle w:val="2"/>
        <w:ind w:left="720" w:hanging="720"/>
        <w:rPr>
          <w:rFonts w:cs="Times New Roman"/>
          <w:szCs w:val="24"/>
          <w:rtl/>
        </w:rPr>
      </w:pPr>
      <w:r>
        <w:rPr>
          <w:rFonts w:hint="cs"/>
          <w:szCs w:val="24"/>
          <w:rtl/>
        </w:rPr>
        <w:t>ג.         הנאשם ירצה את עבודות השירות בהתאם לחוות הדעת שהתקבלה.</w:t>
      </w:r>
    </w:p>
    <w:p w14:paraId="79DB370B" w14:textId="77777777" w:rsidR="009F5436" w:rsidRDefault="00F77A3B">
      <w:pPr>
        <w:pStyle w:val="2"/>
        <w:ind w:left="720" w:hanging="720"/>
        <w:rPr>
          <w:b/>
          <w:bCs/>
          <w:szCs w:val="24"/>
          <w:rtl/>
        </w:rPr>
      </w:pPr>
      <w:r>
        <w:rPr>
          <w:rFonts w:hint="cs"/>
          <w:szCs w:val="24"/>
          <w:rtl/>
        </w:rPr>
        <w:t xml:space="preserve">            תחילת עבודות השירות ביום </w:t>
      </w:r>
      <w:r>
        <w:rPr>
          <w:rFonts w:hint="cs"/>
          <w:b/>
          <w:bCs/>
          <w:szCs w:val="24"/>
          <w:rtl/>
        </w:rPr>
        <w:t>28.4.14.</w:t>
      </w:r>
    </w:p>
    <w:p w14:paraId="69DB888B" w14:textId="77777777" w:rsidR="009F5436" w:rsidRDefault="009F5436">
      <w:pPr>
        <w:pStyle w:val="2"/>
        <w:spacing w:line="240" w:lineRule="auto"/>
        <w:rPr>
          <w:b/>
          <w:bCs/>
          <w:szCs w:val="24"/>
          <w:u w:val="single"/>
        </w:rPr>
      </w:pPr>
    </w:p>
    <w:p w14:paraId="26123DE6" w14:textId="77777777" w:rsidR="009F5436" w:rsidRDefault="00F77A3B">
      <w:pPr>
        <w:spacing w:line="360" w:lineRule="auto"/>
        <w:rPr>
          <w:rtl/>
        </w:rPr>
      </w:pPr>
      <w:r>
        <w:rPr>
          <w:rFonts w:hint="cs"/>
          <w:rtl/>
        </w:rPr>
        <w:t>במידה ובתיק יש פיקדון, הפיקדון יקוזז כנגד קנס שהוטל. במידה וקיימת יתרה, היתרה תוחזר למפקיד.</w:t>
      </w:r>
    </w:p>
    <w:p w14:paraId="24DD6EA2" w14:textId="77777777" w:rsidR="009F5436" w:rsidRDefault="009F5436">
      <w:pPr>
        <w:pStyle w:val="2"/>
        <w:spacing w:line="240" w:lineRule="auto"/>
        <w:rPr>
          <w:szCs w:val="24"/>
          <w:u w:val="single"/>
          <w:rtl/>
        </w:rPr>
      </w:pPr>
    </w:p>
    <w:p w14:paraId="5DE9FAAA" w14:textId="77777777" w:rsidR="009F5436" w:rsidRDefault="00F77A3B">
      <w:pPr>
        <w:pStyle w:val="2"/>
        <w:rPr>
          <w:b/>
          <w:bCs/>
          <w:szCs w:val="24"/>
          <w:u w:val="single"/>
          <w:rtl/>
        </w:rPr>
      </w:pPr>
      <w:r>
        <w:rPr>
          <w:rFonts w:hint="cs"/>
          <w:b/>
          <w:bCs/>
          <w:szCs w:val="24"/>
          <w:u w:val="single"/>
          <w:rtl/>
        </w:rPr>
        <w:t>המזכירות תמציא העתק לממונה על עבודות שירות.</w:t>
      </w:r>
    </w:p>
    <w:p w14:paraId="74424656" w14:textId="77777777" w:rsidR="009F5436" w:rsidRDefault="009F5436">
      <w:pPr>
        <w:pStyle w:val="2"/>
        <w:spacing w:line="240" w:lineRule="auto"/>
        <w:rPr>
          <w:szCs w:val="24"/>
          <w:u w:val="single"/>
          <w:rtl/>
        </w:rPr>
      </w:pPr>
    </w:p>
    <w:p w14:paraId="2D9157BD" w14:textId="77777777" w:rsidR="009F5436" w:rsidRDefault="00F77A3B">
      <w:pPr>
        <w:spacing w:line="360" w:lineRule="auto"/>
        <w:rPr>
          <w:sz w:val="6"/>
          <w:szCs w:val="6"/>
          <w:rtl/>
        </w:rPr>
      </w:pPr>
      <w:r>
        <w:rPr>
          <w:rFonts w:hint="cs"/>
          <w:b/>
          <w:bCs/>
          <w:rtl/>
        </w:rPr>
        <w:t>זכות ערעור תוך 45 יום מהיום בבית משפט המחוזי בנצרת</w:t>
      </w:r>
      <w:r>
        <w:rPr>
          <w:sz w:val="6"/>
          <w:szCs w:val="6"/>
          <w:rtl/>
        </w:rPr>
        <w:t>&lt;#4#&gt;</w:t>
      </w:r>
    </w:p>
    <w:p w14:paraId="3BDFC94C" w14:textId="77777777" w:rsidR="009F5436" w:rsidRDefault="009F5436">
      <w:pPr>
        <w:jc w:val="right"/>
        <w:rPr>
          <w:rtl/>
        </w:rPr>
      </w:pPr>
    </w:p>
    <w:p w14:paraId="133A4812" w14:textId="77777777" w:rsidR="009F5436" w:rsidRDefault="00F77A3B">
      <w:pPr>
        <w:jc w:val="right"/>
        <w:rPr>
          <w:rtl/>
        </w:rPr>
      </w:pPr>
      <w:r>
        <w:rPr>
          <w:b/>
          <w:bCs/>
          <w:rtl/>
        </w:rPr>
        <w:t xml:space="preserve">ניתנה והודעה היום כ"ה אדר תשע"ד, 25/02/2014 במעמד הנוכחים. </w:t>
      </w:r>
    </w:p>
    <w:p w14:paraId="3DEB9DC0" w14:textId="77777777" w:rsidR="009F5436" w:rsidRDefault="009F543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F5436" w14:paraId="049FEC43" w14:textId="77777777">
        <w:trPr>
          <w:trHeight w:val="364"/>
          <w:jc w:val="right"/>
        </w:trPr>
        <w:tc>
          <w:tcPr>
            <w:tcW w:w="3708" w:type="dxa"/>
          </w:tcPr>
          <w:p w14:paraId="130FA5F8" w14:textId="77777777" w:rsidR="009F5436" w:rsidRDefault="009F5436">
            <w:pPr>
              <w:jc w:val="center"/>
              <w:rPr>
                <w:rFonts w:ascii="Times New Roman" w:eastAsia="Times New Roman" w:hAnsi="Times New Roman" w:cs="Times New Roman"/>
              </w:rPr>
            </w:pPr>
          </w:p>
          <w:p w14:paraId="5A5EDF0D" w14:textId="77777777" w:rsidR="009F5436" w:rsidRDefault="009F5436">
            <w:pPr>
              <w:jc w:val="center"/>
              <w:rPr>
                <w:rFonts w:ascii="Times New Roman" w:eastAsia="Times New Roman" w:hAnsi="Times New Roman" w:cs="Times New Roman"/>
                <w:rtl/>
              </w:rPr>
            </w:pPr>
          </w:p>
        </w:tc>
      </w:tr>
      <w:tr w:rsidR="009F5436" w14:paraId="1B544110" w14:textId="77777777">
        <w:trPr>
          <w:trHeight w:val="415"/>
          <w:jc w:val="right"/>
        </w:trPr>
        <w:tc>
          <w:tcPr>
            <w:tcW w:w="3708" w:type="dxa"/>
          </w:tcPr>
          <w:p w14:paraId="06378775" w14:textId="77777777" w:rsidR="009F5436" w:rsidRDefault="00F77A3B">
            <w:pPr>
              <w:jc w:val="center"/>
              <w:rPr>
                <w:rFonts w:ascii="Times New Roman" w:eastAsia="Times New Roman" w:hAnsi="Times New Roman"/>
                <w:b/>
                <w:bCs/>
                <w:rtl/>
              </w:rPr>
            </w:pPr>
            <w:r>
              <w:rPr>
                <w:rFonts w:ascii="Times New Roman" w:eastAsia="Times New Roman" w:hAnsi="Times New Roman" w:hint="cs"/>
                <w:b/>
                <w:bCs/>
                <w:rtl/>
              </w:rPr>
              <w:t>דורון פורת</w:t>
            </w:r>
            <w:r>
              <w:rPr>
                <w:rFonts w:ascii="Times New Roman" w:eastAsia="Times New Roman" w:hAnsi="Times New Roman" w:cs="Times New Roman" w:hint="cs"/>
                <w:rtl/>
              </w:rPr>
              <w:t>,</w:t>
            </w:r>
            <w:r>
              <w:rPr>
                <w:rFonts w:ascii="Times New Roman" w:eastAsia="Times New Roman" w:hAnsi="Times New Roman" w:hint="cs"/>
                <w:b/>
                <w:bCs/>
                <w:rtl/>
              </w:rPr>
              <w:t xml:space="preserve"> שופט </w:t>
            </w:r>
            <w:r>
              <w:rPr>
                <w:rFonts w:ascii="Times New Roman" w:eastAsia="Times New Roman" w:hAnsi="Times New Roman" w:cs="Times New Roman" w:hint="cs"/>
                <w:rtl/>
              </w:rPr>
              <w:br/>
            </w:r>
            <w:r>
              <w:rPr>
                <w:rFonts w:ascii="Times New Roman" w:eastAsia="Times New Roman" w:hAnsi="Times New Roman" w:hint="cs"/>
                <w:b/>
                <w:bCs/>
                <w:rtl/>
              </w:rPr>
              <w:t>סגן נשיא</w:t>
            </w:r>
          </w:p>
        </w:tc>
      </w:tr>
    </w:tbl>
    <w:p w14:paraId="0A50C713" w14:textId="77777777" w:rsidR="009F5436" w:rsidRPr="00F77A3B" w:rsidRDefault="00F77A3B">
      <w:pPr>
        <w:jc w:val="right"/>
        <w:rPr>
          <w:color w:val="FFFFFF"/>
          <w:sz w:val="2"/>
          <w:szCs w:val="2"/>
          <w:rtl/>
        </w:rPr>
      </w:pPr>
      <w:r w:rsidRPr="00F77A3B">
        <w:rPr>
          <w:color w:val="FFFFFF"/>
          <w:sz w:val="2"/>
          <w:szCs w:val="2"/>
          <w:rtl/>
        </w:rPr>
        <w:t>5129371</w:t>
      </w:r>
    </w:p>
    <w:p w14:paraId="57F1E996" w14:textId="77777777" w:rsidR="009F5436" w:rsidRPr="00F77A3B" w:rsidRDefault="00F77A3B">
      <w:pPr>
        <w:jc w:val="center"/>
        <w:rPr>
          <w:color w:val="FFFFFF"/>
          <w:sz w:val="2"/>
          <w:szCs w:val="2"/>
          <w:rtl/>
        </w:rPr>
      </w:pPr>
      <w:r w:rsidRPr="00F77A3B">
        <w:rPr>
          <w:color w:val="FFFFFF"/>
          <w:sz w:val="2"/>
          <w:szCs w:val="2"/>
          <w:rtl/>
        </w:rPr>
        <w:t>54678313</w:t>
      </w:r>
    </w:p>
    <w:p w14:paraId="769AF67B" w14:textId="77777777" w:rsidR="009F5436" w:rsidRDefault="009F5436">
      <w:pPr>
        <w:spacing w:line="360" w:lineRule="auto"/>
        <w:jc w:val="center"/>
        <w:rPr>
          <w:rtl/>
        </w:rPr>
      </w:pPr>
    </w:p>
    <w:p w14:paraId="31EEC877" w14:textId="77777777" w:rsidR="009F5436" w:rsidRDefault="00F77A3B">
      <w:pPr>
        <w:spacing w:line="360" w:lineRule="auto"/>
        <w:jc w:val="both"/>
        <w:rPr>
          <w:rtl/>
        </w:rPr>
      </w:pPr>
      <w:r>
        <w:rPr>
          <w:rtl/>
        </w:rPr>
        <w:t xml:space="preserve"> </w:t>
      </w:r>
    </w:p>
    <w:p w14:paraId="308D59C5" w14:textId="77777777" w:rsidR="009F5436" w:rsidRDefault="009F5436">
      <w:pPr>
        <w:spacing w:line="360" w:lineRule="auto"/>
        <w:jc w:val="both"/>
        <w:rPr>
          <w:rtl/>
        </w:rPr>
      </w:pPr>
      <w:bookmarkStart w:id="6" w:name="_GoBack"/>
      <w:bookmarkEnd w:id="6"/>
    </w:p>
    <w:p w14:paraId="39B99A8E" w14:textId="77777777" w:rsidR="009F5436" w:rsidRDefault="00F77A3B">
      <w:r>
        <w:rPr>
          <w:rtl/>
        </w:rPr>
        <w:t>הוקלד</w:t>
      </w:r>
      <w:r>
        <w:t xml:space="preserve"> </w:t>
      </w:r>
      <w:r>
        <w:rPr>
          <w:rtl/>
        </w:rPr>
        <w:t>על</w:t>
      </w:r>
      <w:r>
        <w:t xml:space="preserve"> </w:t>
      </w:r>
      <w:r>
        <w:rPr>
          <w:rtl/>
        </w:rPr>
        <w:t>ידי</w:t>
      </w:r>
      <w:r>
        <w:t xml:space="preserve"> </w:t>
      </w:r>
      <w:r>
        <w:rPr>
          <w:rtl/>
        </w:rPr>
        <w:t>מגי</w:t>
      </w:r>
      <w:r>
        <w:t xml:space="preserve"> </w:t>
      </w:r>
      <w:r>
        <w:rPr>
          <w:rtl/>
        </w:rPr>
        <w:t>חייט</w:t>
      </w:r>
    </w:p>
    <w:p w14:paraId="206B1813" w14:textId="77777777" w:rsidR="00F77A3B" w:rsidRPr="00F77A3B" w:rsidRDefault="00F77A3B" w:rsidP="00F77A3B">
      <w:pPr>
        <w:keepNext/>
        <w:rPr>
          <w:color w:val="000000"/>
          <w:sz w:val="22"/>
          <w:szCs w:val="22"/>
          <w:rtl/>
        </w:rPr>
      </w:pPr>
    </w:p>
    <w:p w14:paraId="47874640" w14:textId="77777777" w:rsidR="00F77A3B" w:rsidRPr="00F77A3B" w:rsidRDefault="00F77A3B" w:rsidP="00F77A3B">
      <w:pPr>
        <w:keepNext/>
        <w:rPr>
          <w:color w:val="000000"/>
          <w:sz w:val="22"/>
          <w:szCs w:val="22"/>
          <w:rtl/>
        </w:rPr>
      </w:pPr>
      <w:r w:rsidRPr="00F77A3B">
        <w:rPr>
          <w:color w:val="000000"/>
          <w:sz w:val="22"/>
          <w:szCs w:val="22"/>
          <w:rtl/>
        </w:rPr>
        <w:t>דורון פורת 54678313</w:t>
      </w:r>
    </w:p>
    <w:p w14:paraId="2B9EEBAE" w14:textId="77777777" w:rsidR="00F77A3B" w:rsidRDefault="00F77A3B" w:rsidP="00F77A3B">
      <w:r w:rsidRPr="00F77A3B">
        <w:rPr>
          <w:color w:val="000000"/>
          <w:rtl/>
        </w:rPr>
        <w:t>נוסח מסמך זה כפוף לשינויי ניסוח ועריכה</w:t>
      </w:r>
    </w:p>
    <w:p w14:paraId="0AC4314E" w14:textId="77777777" w:rsidR="00F77A3B" w:rsidRDefault="00F77A3B" w:rsidP="00F77A3B">
      <w:pPr>
        <w:rPr>
          <w:rtl/>
        </w:rPr>
      </w:pPr>
    </w:p>
    <w:p w14:paraId="23A42E91" w14:textId="77777777" w:rsidR="00F77A3B" w:rsidRDefault="00F77A3B" w:rsidP="00F77A3B">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6C9B311D" w14:textId="77777777" w:rsidR="009F5436" w:rsidRPr="00F77A3B" w:rsidRDefault="009F5436" w:rsidP="00F77A3B">
      <w:pPr>
        <w:jc w:val="center"/>
        <w:rPr>
          <w:color w:val="0000FF"/>
          <w:u w:val="single"/>
        </w:rPr>
      </w:pPr>
    </w:p>
    <w:sectPr w:rsidR="009F5436" w:rsidRPr="00F77A3B" w:rsidSect="00F77A3B">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2F224" w14:textId="77777777" w:rsidR="006E4019" w:rsidRPr="000E0071" w:rsidRDefault="006E4019">
      <w:pPr>
        <w:rPr>
          <w:rFonts w:cs="Arial"/>
          <w:szCs w:val="20"/>
        </w:rPr>
      </w:pPr>
      <w:r>
        <w:separator/>
      </w:r>
    </w:p>
  </w:endnote>
  <w:endnote w:type="continuationSeparator" w:id="0">
    <w:p w14:paraId="5E887421" w14:textId="77777777" w:rsidR="006E4019" w:rsidRPr="000E0071" w:rsidRDefault="006E401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1775F" w14:textId="77777777" w:rsidR="00F77A3B" w:rsidRDefault="00F77A3B" w:rsidP="00F77A3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59</w:t>
    </w:r>
    <w:r>
      <w:rPr>
        <w:rFonts w:ascii="FrankRuehl" w:hAnsi="FrankRuehl" w:cs="FrankRuehl"/>
        <w:rtl/>
      </w:rPr>
      <w:fldChar w:fldCharType="end"/>
    </w:r>
  </w:p>
  <w:p w14:paraId="16AD5327" w14:textId="77777777" w:rsidR="009F5436" w:rsidRPr="00F77A3B" w:rsidRDefault="00F77A3B" w:rsidP="00F77A3B">
    <w:pPr>
      <w:pStyle w:val="a4"/>
      <w:pBdr>
        <w:top w:val="single" w:sz="4" w:space="1" w:color="auto"/>
        <w:between w:val="single" w:sz="4" w:space="0" w:color="auto"/>
      </w:pBdr>
      <w:spacing w:after="60"/>
      <w:jc w:val="center"/>
      <w:rPr>
        <w:rFonts w:ascii="FrankRuehl" w:hAnsi="FrankRuehl" w:cs="FrankRuehl"/>
        <w:color w:val="000000"/>
      </w:rPr>
    </w:pPr>
    <w:r w:rsidRPr="00F77A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8CBE9" w14:textId="77777777" w:rsidR="00F77A3B" w:rsidRDefault="00F77A3B" w:rsidP="00F77A3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5EFF">
      <w:rPr>
        <w:rFonts w:ascii="FrankRuehl" w:hAnsi="FrankRuehl" w:cs="FrankRuehl"/>
        <w:noProof/>
        <w:rtl/>
      </w:rPr>
      <w:t>1</w:t>
    </w:r>
    <w:r>
      <w:rPr>
        <w:rFonts w:ascii="FrankRuehl" w:hAnsi="FrankRuehl" w:cs="FrankRuehl"/>
        <w:rtl/>
      </w:rPr>
      <w:fldChar w:fldCharType="end"/>
    </w:r>
  </w:p>
  <w:p w14:paraId="4373A739" w14:textId="77777777" w:rsidR="009F5436" w:rsidRPr="00F77A3B" w:rsidRDefault="00F77A3B" w:rsidP="00F77A3B">
    <w:pPr>
      <w:pStyle w:val="a4"/>
      <w:pBdr>
        <w:top w:val="single" w:sz="4" w:space="1" w:color="auto"/>
        <w:between w:val="single" w:sz="4" w:space="0" w:color="auto"/>
      </w:pBdr>
      <w:spacing w:after="60"/>
      <w:jc w:val="center"/>
      <w:rPr>
        <w:rFonts w:ascii="FrankRuehl" w:hAnsi="FrankRuehl" w:cs="FrankRuehl"/>
        <w:color w:val="000000"/>
      </w:rPr>
    </w:pPr>
    <w:r w:rsidRPr="00F77A3B">
      <w:rPr>
        <w:rFonts w:ascii="FrankRuehl" w:hAnsi="FrankRuehl" w:cs="FrankRuehl"/>
        <w:color w:val="000000"/>
      </w:rPr>
      <w:pict w14:anchorId="3A8D1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349A7" w14:textId="77777777" w:rsidR="006E4019" w:rsidRPr="000E0071" w:rsidRDefault="006E4019">
      <w:pPr>
        <w:rPr>
          <w:rFonts w:cs="Arial"/>
          <w:szCs w:val="20"/>
        </w:rPr>
      </w:pPr>
      <w:r>
        <w:separator/>
      </w:r>
    </w:p>
  </w:footnote>
  <w:footnote w:type="continuationSeparator" w:id="0">
    <w:p w14:paraId="5FE07843" w14:textId="77777777" w:rsidR="006E4019" w:rsidRPr="000E0071" w:rsidRDefault="006E401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10F91" w14:textId="77777777" w:rsidR="00F77A3B" w:rsidRPr="00F77A3B" w:rsidRDefault="00F77A3B" w:rsidP="00F77A3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53489-02-13</w:t>
    </w:r>
    <w:r>
      <w:rPr>
        <w:color w:val="000000"/>
        <w:sz w:val="22"/>
        <w:szCs w:val="22"/>
        <w:rtl/>
      </w:rPr>
      <w:tab/>
      <w:t xml:space="preserve"> מדינת ישראל נ' נסים יזבק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9D3B3" w14:textId="77777777" w:rsidR="00F77A3B" w:rsidRPr="00F77A3B" w:rsidRDefault="00F77A3B" w:rsidP="00F77A3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53489-02-13</w:t>
    </w:r>
    <w:r>
      <w:rPr>
        <w:color w:val="000000"/>
        <w:sz w:val="22"/>
        <w:szCs w:val="22"/>
        <w:rtl/>
      </w:rPr>
      <w:tab/>
      <w:t xml:space="preserve"> מדינת ישראל נ' נסים יזבק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5436"/>
    <w:rsid w:val="006E4019"/>
    <w:rsid w:val="008056B5"/>
    <w:rsid w:val="009F5436"/>
    <w:rsid w:val="00D419D5"/>
    <w:rsid w:val="00D75EFF"/>
    <w:rsid w:val="00F77A3B"/>
    <w:rsid w:val="00FA5C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AE692C"/>
  <w15:chartTrackingRefBased/>
  <w15:docId w15:val="{D3E570FB-3E69-4C52-896F-3A66651B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543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F5436"/>
    <w:pPr>
      <w:tabs>
        <w:tab w:val="center" w:pos="4153"/>
        <w:tab w:val="right" w:pos="8306"/>
      </w:tabs>
    </w:pPr>
  </w:style>
  <w:style w:type="paragraph" w:styleId="a4">
    <w:name w:val="footer"/>
    <w:basedOn w:val="a"/>
    <w:rsid w:val="009F5436"/>
    <w:pPr>
      <w:tabs>
        <w:tab w:val="center" w:pos="4153"/>
        <w:tab w:val="right" w:pos="8306"/>
      </w:tabs>
    </w:pPr>
  </w:style>
  <w:style w:type="character" w:styleId="a5">
    <w:name w:val="page number"/>
    <w:basedOn w:val="a0"/>
    <w:rsid w:val="009F5436"/>
  </w:style>
  <w:style w:type="paragraph" w:styleId="a6">
    <w:name w:val="Body Text"/>
    <w:basedOn w:val="a"/>
    <w:link w:val="a7"/>
    <w:rsid w:val="009F5436"/>
    <w:pPr>
      <w:spacing w:after="120"/>
    </w:pPr>
    <w:rPr>
      <w:rFonts w:ascii="Times New Roman" w:eastAsia="Times New Roman" w:hAnsi="Times New Roman"/>
      <w:noProof/>
    </w:rPr>
  </w:style>
  <w:style w:type="character" w:customStyle="1" w:styleId="a7">
    <w:name w:val="גוף טקסט תו"/>
    <w:basedOn w:val="a0"/>
    <w:link w:val="a6"/>
    <w:rsid w:val="009F5436"/>
    <w:rPr>
      <w:rFonts w:cs="David"/>
      <w:noProof/>
      <w:sz w:val="24"/>
      <w:szCs w:val="24"/>
      <w:lang w:val="en-US" w:eastAsia="en-US" w:bidi="he-IL"/>
    </w:rPr>
  </w:style>
  <w:style w:type="paragraph" w:styleId="a8">
    <w:name w:val="Body Text Indent"/>
    <w:basedOn w:val="a"/>
    <w:link w:val="a9"/>
    <w:rsid w:val="009F5436"/>
    <w:pPr>
      <w:snapToGrid w:val="0"/>
      <w:spacing w:line="360" w:lineRule="auto"/>
      <w:ind w:left="720"/>
      <w:jc w:val="both"/>
    </w:pPr>
    <w:rPr>
      <w:rFonts w:ascii="Times New Roman" w:eastAsia="Times New Roman" w:hAnsi="Times New Roman"/>
      <w:b/>
      <w:bCs/>
      <w:szCs w:val="28"/>
      <w:lang w:eastAsia="he-IL"/>
    </w:rPr>
  </w:style>
  <w:style w:type="character" w:customStyle="1" w:styleId="a9">
    <w:name w:val="כניסה בגוף טקסט תו"/>
    <w:basedOn w:val="a0"/>
    <w:link w:val="a8"/>
    <w:rsid w:val="009F5436"/>
    <w:rPr>
      <w:rFonts w:cs="David"/>
      <w:b/>
      <w:bCs/>
      <w:sz w:val="24"/>
      <w:szCs w:val="28"/>
      <w:lang w:val="en-US" w:eastAsia="he-IL" w:bidi="he-IL"/>
    </w:rPr>
  </w:style>
  <w:style w:type="paragraph" w:styleId="2">
    <w:name w:val="Body Text 2"/>
    <w:basedOn w:val="a"/>
    <w:link w:val="20"/>
    <w:rsid w:val="009F5436"/>
    <w:pPr>
      <w:snapToGrid w:val="0"/>
      <w:spacing w:line="360" w:lineRule="auto"/>
      <w:jc w:val="both"/>
    </w:pPr>
    <w:rPr>
      <w:rFonts w:ascii="Times New Roman" w:eastAsia="Times New Roman" w:hAnsi="Times New Roman"/>
      <w:szCs w:val="28"/>
      <w:lang w:eastAsia="he-IL"/>
    </w:rPr>
  </w:style>
  <w:style w:type="character" w:customStyle="1" w:styleId="20">
    <w:name w:val="גוף טקסט 2 תו"/>
    <w:basedOn w:val="a0"/>
    <w:link w:val="2"/>
    <w:rsid w:val="009F5436"/>
    <w:rPr>
      <w:rFonts w:cs="David"/>
      <w:sz w:val="24"/>
      <w:szCs w:val="28"/>
      <w:lang w:val="en-US" w:eastAsia="he-IL" w:bidi="he-IL"/>
    </w:rPr>
  </w:style>
  <w:style w:type="paragraph" w:customStyle="1" w:styleId="12">
    <w:name w:val="רגיל + ‏12 נק'"/>
    <w:aliases w:val="מיושר לשני הצדדים,מרווח בין שורות:  שורה וחצי"/>
    <w:basedOn w:val="a"/>
    <w:rsid w:val="009F5436"/>
    <w:rPr>
      <w:rFonts w:ascii="Times New Roman" w:eastAsia="Times New Roman" w:hAnsi="Times New Roman"/>
      <w:b/>
      <w:bCs/>
      <w:u w:val="single"/>
    </w:rPr>
  </w:style>
  <w:style w:type="character" w:styleId="aa">
    <w:name w:val="line number"/>
    <w:basedOn w:val="a0"/>
    <w:rsid w:val="009F5436"/>
  </w:style>
  <w:style w:type="character" w:styleId="Hyperlink">
    <w:name w:val="Hyperlink"/>
    <w:basedOn w:val="a0"/>
    <w:rsid w:val="00F77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31"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4097</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7995492</vt:i4>
      </vt:variant>
      <vt:variant>
        <vt:i4>15</vt:i4>
      </vt:variant>
      <vt:variant>
        <vt:i4>0</vt:i4>
      </vt:variant>
      <vt:variant>
        <vt:i4>5</vt:i4>
      </vt:variant>
      <vt:variant>
        <vt:lpwstr>http://www.nevo.co.il/law/70301</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53489</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נסים יזבק;מועאד זועבי </vt:lpwstr>
  </property>
  <property fmtid="{D5CDD505-2E9C-101B-9397-08002B2CF9AE}" pid="10" name="LAWYER">
    <vt:lpwstr>עוז דקל;סיוון כהן </vt:lpwstr>
  </property>
  <property fmtid="{D5CDD505-2E9C-101B-9397-08002B2CF9AE}" pid="11" name="JUDGE">
    <vt:lpwstr>דורון פורת</vt:lpwstr>
  </property>
  <property fmtid="{D5CDD505-2E9C-101B-9397-08002B2CF9AE}" pid="12" name="CITY">
    <vt:lpwstr>טב'</vt:lpwstr>
  </property>
  <property fmtid="{D5CDD505-2E9C-101B-9397-08002B2CF9AE}" pid="13" name="DATE">
    <vt:lpwstr>20140225</vt:lpwstr>
  </property>
  <property fmtid="{D5CDD505-2E9C-101B-9397-08002B2CF9AE}" pid="14" name="TYPE_N_DATE">
    <vt:lpwstr>38020140225</vt:lpwstr>
  </property>
  <property fmtid="{D5CDD505-2E9C-101B-9397-08002B2CF9AE}" pid="15" name="WORDNUMPAGES">
    <vt:lpwstr>3</vt:lpwstr>
  </property>
  <property fmtid="{D5CDD505-2E9C-101B-9397-08002B2CF9AE}" pid="16" name="TYPE_ABS_DATE">
    <vt:lpwstr>380020140225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70301/144.a;031</vt:lpwstr>
  </property>
</Properties>
</file>