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9"/>
        <w:gridCol w:w="3672"/>
      </w:tblGrid>
      <w:tr w:rsidR="000A6044" w:rsidRPr="00E61672" w14:paraId="48927C9A" w14:textId="77777777">
        <w:trPr>
          <w:trHeight w:hRule="exact" w:val="418"/>
          <w:jc w:val="center"/>
        </w:trPr>
        <w:tc>
          <w:tcPr>
            <w:tcW w:w="8721" w:type="dxa"/>
            <w:gridSpan w:val="2"/>
          </w:tcPr>
          <w:p w14:paraId="5F011BC0" w14:textId="77777777" w:rsidR="000A6044" w:rsidRPr="00E61672" w:rsidRDefault="00E61672">
            <w:pPr>
              <w:pStyle w:val="a3"/>
              <w:jc w:val="center"/>
              <w:rPr>
                <w:rFonts w:ascii="Tahoma" w:hAnsi="Tahoma" w:cs="Tahoma"/>
                <w:color w:val="000080"/>
                <w:rtl/>
              </w:rPr>
            </w:pPr>
            <w:bookmarkStart w:id="0" w:name="LastJudge"/>
            <w:r w:rsidRPr="00E61672">
              <w:rPr>
                <w:rFonts w:ascii="Tahoma" w:hAnsi="Tahoma" w:cs="Tahoma"/>
                <w:b/>
                <w:bCs/>
                <w:color w:val="000080"/>
                <w:rtl/>
              </w:rPr>
              <w:t>בית משפט השלום בכפר סבא</w:t>
            </w:r>
          </w:p>
        </w:tc>
      </w:tr>
      <w:tr w:rsidR="000A6044" w:rsidRPr="00E61672" w14:paraId="683CAB0D" w14:textId="77777777">
        <w:trPr>
          <w:trHeight w:val="337"/>
          <w:jc w:val="center"/>
        </w:trPr>
        <w:tc>
          <w:tcPr>
            <w:tcW w:w="5049" w:type="dxa"/>
          </w:tcPr>
          <w:p w14:paraId="36C2F058" w14:textId="77777777" w:rsidR="000A6044" w:rsidRPr="00E61672" w:rsidRDefault="00E61672">
            <w:pPr>
              <w:rPr>
                <w:rFonts w:cs="FrankRuehl"/>
                <w:sz w:val="28"/>
                <w:szCs w:val="28"/>
                <w:rtl/>
              </w:rPr>
            </w:pPr>
            <w:r w:rsidRPr="00E61672">
              <w:rPr>
                <w:rFonts w:cs="FrankRuehl"/>
                <w:sz w:val="28"/>
                <w:szCs w:val="28"/>
                <w:rtl/>
              </w:rPr>
              <w:t>ת"פ</w:t>
            </w:r>
            <w:r w:rsidRPr="00E61672">
              <w:rPr>
                <w:rFonts w:cs="FrankRuehl" w:hint="cs"/>
                <w:sz w:val="28"/>
                <w:szCs w:val="28"/>
                <w:rtl/>
              </w:rPr>
              <w:t xml:space="preserve"> </w:t>
            </w:r>
            <w:r w:rsidRPr="00E61672">
              <w:rPr>
                <w:rFonts w:cs="FrankRuehl"/>
                <w:sz w:val="28"/>
                <w:szCs w:val="28"/>
                <w:rtl/>
              </w:rPr>
              <w:t>3424-10-13</w:t>
            </w:r>
            <w:r w:rsidRPr="00E61672">
              <w:rPr>
                <w:rFonts w:cs="FrankRuehl" w:hint="cs"/>
                <w:sz w:val="28"/>
                <w:szCs w:val="28"/>
                <w:rtl/>
              </w:rPr>
              <w:t xml:space="preserve"> </w:t>
            </w:r>
            <w:r w:rsidRPr="00E61672">
              <w:rPr>
                <w:rFonts w:cs="FrankRuehl"/>
                <w:sz w:val="28"/>
                <w:szCs w:val="28"/>
                <w:rtl/>
              </w:rPr>
              <w:t>מדינת ישראל נ' עאזם</w:t>
            </w:r>
          </w:p>
          <w:p w14:paraId="6F8B35FC" w14:textId="77777777" w:rsidR="000A6044" w:rsidRPr="00E61672" w:rsidRDefault="000A6044">
            <w:pPr>
              <w:pStyle w:val="a3"/>
              <w:rPr>
                <w:rFonts w:cs="FrankRuehl"/>
                <w:sz w:val="28"/>
                <w:szCs w:val="28"/>
                <w:rtl/>
              </w:rPr>
            </w:pPr>
          </w:p>
        </w:tc>
        <w:tc>
          <w:tcPr>
            <w:tcW w:w="3672" w:type="dxa"/>
          </w:tcPr>
          <w:p w14:paraId="4AA2F277" w14:textId="77777777" w:rsidR="000A6044" w:rsidRPr="00E61672" w:rsidRDefault="00E61672">
            <w:pPr>
              <w:pStyle w:val="a3"/>
              <w:jc w:val="right"/>
              <w:rPr>
                <w:rFonts w:cs="FrankRuehl"/>
                <w:sz w:val="28"/>
                <w:szCs w:val="28"/>
                <w:rtl/>
              </w:rPr>
            </w:pPr>
            <w:r w:rsidRPr="00E61672">
              <w:rPr>
                <w:rFonts w:cs="FrankRuehl" w:hint="cs"/>
                <w:sz w:val="28"/>
                <w:szCs w:val="28"/>
                <w:rtl/>
              </w:rPr>
              <w:t>01 יוני 2014</w:t>
            </w:r>
          </w:p>
        </w:tc>
      </w:tr>
    </w:tbl>
    <w:p w14:paraId="7A7AFA2B" w14:textId="77777777" w:rsidR="000A6044" w:rsidRPr="00E61672" w:rsidRDefault="00E61672">
      <w:pPr>
        <w:pStyle w:val="a3"/>
        <w:rPr>
          <w:rtl/>
        </w:rPr>
      </w:pPr>
      <w:r w:rsidRPr="00E61672">
        <w:rPr>
          <w:rFonts w:hint="cs"/>
          <w:rtl/>
        </w:rPr>
        <w:t xml:space="preserve"> </w:t>
      </w:r>
    </w:p>
    <w:p w14:paraId="5ADC4BC4" w14:textId="77777777" w:rsidR="000A6044" w:rsidRPr="00E61672" w:rsidRDefault="00E61672">
      <w:pPr>
        <w:pStyle w:val="a3"/>
      </w:pPr>
      <w:r w:rsidRPr="00E61672">
        <w:rPr>
          <w:rFonts w:cs="Times New Roman" w:hint="cs"/>
          <w:b/>
          <w:bCs/>
          <w:sz w:val="26"/>
          <w:szCs w:val="28"/>
          <w:rtl/>
        </w:rPr>
        <w:t xml:space="preserve"> </w:t>
      </w:r>
    </w:p>
    <w:p w14:paraId="505379B1" w14:textId="77777777" w:rsidR="000A6044" w:rsidRPr="00E61672" w:rsidRDefault="000A604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A6044" w:rsidRPr="00E61672" w14:paraId="6A783ECB" w14:textId="77777777">
        <w:trPr>
          <w:trHeight w:val="295"/>
          <w:jc w:val="center"/>
        </w:trPr>
        <w:tc>
          <w:tcPr>
            <w:tcW w:w="923" w:type="dxa"/>
            <w:tcBorders>
              <w:top w:val="nil"/>
              <w:left w:val="nil"/>
              <w:bottom w:val="nil"/>
              <w:right w:val="nil"/>
            </w:tcBorders>
          </w:tcPr>
          <w:p w14:paraId="2D704CD3" w14:textId="77777777" w:rsidR="000A6044" w:rsidRPr="00E61672" w:rsidRDefault="00E61672">
            <w:pPr>
              <w:jc w:val="both"/>
              <w:rPr>
                <w:rFonts w:ascii="Arial" w:hAnsi="Arial"/>
                <w:sz w:val="26"/>
                <w:szCs w:val="26"/>
              </w:rPr>
            </w:pPr>
            <w:r w:rsidRPr="00E61672">
              <w:rPr>
                <w:rFonts w:ascii="Arial" w:hAnsi="Arial" w:hint="cs"/>
                <w:sz w:val="26"/>
                <w:szCs w:val="26"/>
                <w:rtl/>
              </w:rPr>
              <w:t>ל</w:t>
            </w:r>
            <w:r w:rsidRPr="00E61672">
              <w:rPr>
                <w:rFonts w:ascii="Arial" w:hAnsi="Arial"/>
                <w:sz w:val="26"/>
                <w:szCs w:val="26"/>
                <w:rtl/>
              </w:rPr>
              <w:t xml:space="preserve">פני </w:t>
            </w:r>
          </w:p>
        </w:tc>
        <w:tc>
          <w:tcPr>
            <w:tcW w:w="7897" w:type="dxa"/>
            <w:gridSpan w:val="2"/>
            <w:tcBorders>
              <w:top w:val="nil"/>
              <w:left w:val="nil"/>
              <w:bottom w:val="nil"/>
              <w:right w:val="nil"/>
            </w:tcBorders>
          </w:tcPr>
          <w:p w14:paraId="4840061B" w14:textId="77777777" w:rsidR="000A6044" w:rsidRPr="00E61672" w:rsidRDefault="00E61672">
            <w:pPr>
              <w:rPr>
                <w:rFonts w:ascii="Arial" w:hAnsi="Arial"/>
                <w:b/>
                <w:bCs/>
                <w:sz w:val="26"/>
                <w:szCs w:val="26"/>
                <w:rtl/>
              </w:rPr>
            </w:pPr>
            <w:r w:rsidRPr="00E61672">
              <w:rPr>
                <w:rFonts w:ascii="Arial" w:hAnsi="Arial" w:hint="cs"/>
                <w:b/>
                <w:bCs/>
                <w:sz w:val="26"/>
                <w:szCs w:val="26"/>
                <w:rtl/>
              </w:rPr>
              <w:t>כב' ה</w:t>
            </w:r>
            <w:r w:rsidRPr="00E61672">
              <w:rPr>
                <w:rFonts w:hint="cs"/>
                <w:rtl/>
              </w:rPr>
              <w:t>שופט</w:t>
            </w:r>
            <w:r w:rsidRPr="00E61672">
              <w:rPr>
                <w:rFonts w:ascii="Arial" w:hAnsi="Arial" w:hint="cs"/>
                <w:b/>
                <w:bCs/>
                <w:sz w:val="26"/>
                <w:szCs w:val="26"/>
                <w:rtl/>
              </w:rPr>
              <w:t xml:space="preserve">  </w:t>
            </w:r>
            <w:r w:rsidRPr="00E61672">
              <w:rPr>
                <w:rFonts w:hint="cs"/>
                <w:rtl/>
              </w:rPr>
              <w:t>מיכאל קרשן</w:t>
            </w:r>
          </w:p>
          <w:p w14:paraId="5B371046" w14:textId="77777777" w:rsidR="000A6044" w:rsidRPr="00E61672" w:rsidRDefault="000A6044">
            <w:pPr>
              <w:jc w:val="both"/>
              <w:rPr>
                <w:rFonts w:ascii="Arial" w:hAnsi="Arial"/>
                <w:sz w:val="26"/>
                <w:szCs w:val="26"/>
              </w:rPr>
            </w:pPr>
          </w:p>
        </w:tc>
      </w:tr>
      <w:tr w:rsidR="000A6044" w:rsidRPr="00E61672" w14:paraId="2BF8DB8B" w14:textId="77777777">
        <w:trPr>
          <w:trHeight w:val="355"/>
          <w:jc w:val="center"/>
        </w:trPr>
        <w:tc>
          <w:tcPr>
            <w:tcW w:w="923" w:type="dxa"/>
            <w:tcBorders>
              <w:top w:val="nil"/>
              <w:left w:val="nil"/>
              <w:bottom w:val="nil"/>
              <w:right w:val="nil"/>
            </w:tcBorders>
          </w:tcPr>
          <w:p w14:paraId="220DEB22" w14:textId="77777777" w:rsidR="000A6044" w:rsidRPr="00E61672" w:rsidRDefault="000A6044">
            <w:pPr>
              <w:jc w:val="both"/>
              <w:rPr>
                <w:rFonts w:ascii="Arial" w:hAnsi="Arial"/>
                <w:sz w:val="26"/>
                <w:szCs w:val="26"/>
                <w:rtl/>
              </w:rPr>
            </w:pPr>
            <w:bookmarkStart w:id="1" w:name="FirstAppellant"/>
          </w:p>
          <w:p w14:paraId="0B0234B9" w14:textId="77777777" w:rsidR="000A6044" w:rsidRPr="00E61672" w:rsidRDefault="00E61672">
            <w:pPr>
              <w:jc w:val="both"/>
              <w:rPr>
                <w:rFonts w:ascii="Arial" w:hAnsi="Arial"/>
                <w:sz w:val="26"/>
                <w:szCs w:val="26"/>
              </w:rPr>
            </w:pPr>
            <w:r w:rsidRPr="00E61672">
              <w:rPr>
                <w:rFonts w:ascii="Arial" w:hAnsi="Arial" w:hint="cs"/>
                <w:sz w:val="26"/>
                <w:szCs w:val="26"/>
                <w:rtl/>
              </w:rPr>
              <w:t>בעניין:</w:t>
            </w:r>
          </w:p>
        </w:tc>
        <w:tc>
          <w:tcPr>
            <w:tcW w:w="4126" w:type="dxa"/>
            <w:tcBorders>
              <w:top w:val="nil"/>
              <w:left w:val="nil"/>
              <w:bottom w:val="nil"/>
              <w:right w:val="nil"/>
            </w:tcBorders>
          </w:tcPr>
          <w:p w14:paraId="6EAD479D" w14:textId="77777777" w:rsidR="000A6044" w:rsidRPr="00E61672" w:rsidRDefault="000A6044">
            <w:pPr>
              <w:jc w:val="both"/>
              <w:rPr>
                <w:rFonts w:ascii="Arial" w:hAnsi="Arial"/>
                <w:sz w:val="26"/>
                <w:szCs w:val="26"/>
                <w:rtl/>
              </w:rPr>
            </w:pPr>
          </w:p>
          <w:p w14:paraId="08A14AE6" w14:textId="77777777" w:rsidR="000A6044" w:rsidRPr="00E61672" w:rsidRDefault="00E61672">
            <w:pPr>
              <w:rPr>
                <w:rFonts w:ascii="Arial" w:hAnsi="Arial"/>
                <w:sz w:val="26"/>
                <w:szCs w:val="26"/>
              </w:rPr>
            </w:pPr>
            <w:r w:rsidRPr="00E61672">
              <w:rPr>
                <w:rFonts w:ascii="Arial" w:hAnsi="Arial" w:hint="cs"/>
                <w:sz w:val="26"/>
                <w:szCs w:val="26"/>
                <w:rtl/>
              </w:rPr>
              <w:t>ה</w:t>
            </w:r>
            <w:r w:rsidRPr="00E61672">
              <w:rPr>
                <w:rFonts w:hint="cs"/>
                <w:rtl/>
              </w:rPr>
              <w:t>מאשימה</w:t>
            </w:r>
          </w:p>
        </w:tc>
        <w:tc>
          <w:tcPr>
            <w:tcW w:w="3771" w:type="dxa"/>
            <w:tcBorders>
              <w:top w:val="nil"/>
              <w:left w:val="nil"/>
              <w:bottom w:val="nil"/>
              <w:right w:val="nil"/>
            </w:tcBorders>
          </w:tcPr>
          <w:p w14:paraId="2EC30C95" w14:textId="77777777" w:rsidR="000A6044" w:rsidRPr="00E61672" w:rsidRDefault="000A6044">
            <w:pPr>
              <w:rPr>
                <w:rFonts w:ascii="Arial" w:hAnsi="Arial"/>
                <w:sz w:val="26"/>
                <w:szCs w:val="26"/>
                <w:rtl/>
              </w:rPr>
            </w:pPr>
          </w:p>
          <w:p w14:paraId="0BC67E5C" w14:textId="77777777" w:rsidR="000A6044" w:rsidRPr="00E61672" w:rsidRDefault="00E61672">
            <w:pPr>
              <w:rPr>
                <w:sz w:val="26"/>
                <w:szCs w:val="26"/>
              </w:rPr>
            </w:pPr>
            <w:r w:rsidRPr="00E61672">
              <w:rPr>
                <w:rFonts w:hint="cs"/>
                <w:rtl/>
              </w:rPr>
              <w:t>מדינת ישראל</w:t>
            </w:r>
          </w:p>
          <w:p w14:paraId="58EA34CF" w14:textId="77777777" w:rsidR="000A6044" w:rsidRPr="00E61672" w:rsidRDefault="000A6044">
            <w:pPr>
              <w:jc w:val="both"/>
              <w:rPr>
                <w:rFonts w:ascii="Arial" w:hAnsi="Arial"/>
                <w:sz w:val="26"/>
                <w:szCs w:val="26"/>
              </w:rPr>
            </w:pPr>
          </w:p>
        </w:tc>
      </w:tr>
      <w:bookmarkEnd w:id="1"/>
      <w:tr w:rsidR="000A6044" w:rsidRPr="00E61672" w14:paraId="6A97A985" w14:textId="77777777">
        <w:trPr>
          <w:trHeight w:val="355"/>
          <w:jc w:val="center"/>
        </w:trPr>
        <w:tc>
          <w:tcPr>
            <w:tcW w:w="923" w:type="dxa"/>
            <w:tcBorders>
              <w:top w:val="nil"/>
              <w:left w:val="nil"/>
              <w:bottom w:val="nil"/>
              <w:right w:val="nil"/>
            </w:tcBorders>
          </w:tcPr>
          <w:p w14:paraId="050B1E05" w14:textId="77777777" w:rsidR="000A6044" w:rsidRPr="00E61672" w:rsidRDefault="000A6044">
            <w:pPr>
              <w:jc w:val="both"/>
              <w:rPr>
                <w:rFonts w:ascii="Arial" w:hAnsi="Arial"/>
                <w:sz w:val="26"/>
                <w:szCs w:val="26"/>
                <w:rtl/>
              </w:rPr>
            </w:pPr>
          </w:p>
        </w:tc>
        <w:tc>
          <w:tcPr>
            <w:tcW w:w="4126" w:type="dxa"/>
            <w:tcBorders>
              <w:top w:val="nil"/>
              <w:left w:val="nil"/>
              <w:bottom w:val="nil"/>
              <w:right w:val="nil"/>
            </w:tcBorders>
          </w:tcPr>
          <w:p w14:paraId="168B53FA" w14:textId="77777777" w:rsidR="000A6044" w:rsidRPr="00E61672" w:rsidRDefault="000A6044">
            <w:pPr>
              <w:jc w:val="both"/>
              <w:rPr>
                <w:sz w:val="26"/>
                <w:szCs w:val="26"/>
                <w:rtl/>
              </w:rPr>
            </w:pPr>
          </w:p>
        </w:tc>
        <w:tc>
          <w:tcPr>
            <w:tcW w:w="3771" w:type="dxa"/>
            <w:tcBorders>
              <w:top w:val="nil"/>
              <w:left w:val="nil"/>
              <w:bottom w:val="nil"/>
              <w:right w:val="nil"/>
            </w:tcBorders>
          </w:tcPr>
          <w:p w14:paraId="7A214D19" w14:textId="77777777" w:rsidR="000A6044" w:rsidRPr="00E61672" w:rsidRDefault="000A6044">
            <w:pPr>
              <w:jc w:val="right"/>
              <w:rPr>
                <w:rFonts w:ascii="Arial" w:hAnsi="Arial"/>
                <w:sz w:val="26"/>
                <w:szCs w:val="26"/>
                <w:rtl/>
              </w:rPr>
            </w:pPr>
          </w:p>
        </w:tc>
      </w:tr>
      <w:tr w:rsidR="000A6044" w:rsidRPr="00E61672" w14:paraId="18555EC2" w14:textId="77777777">
        <w:trPr>
          <w:trHeight w:val="355"/>
          <w:jc w:val="center"/>
        </w:trPr>
        <w:tc>
          <w:tcPr>
            <w:tcW w:w="923" w:type="dxa"/>
            <w:tcBorders>
              <w:top w:val="nil"/>
              <w:left w:val="nil"/>
              <w:bottom w:val="nil"/>
              <w:right w:val="nil"/>
            </w:tcBorders>
          </w:tcPr>
          <w:p w14:paraId="574F53D1" w14:textId="77777777" w:rsidR="000A6044" w:rsidRPr="00E61672" w:rsidRDefault="000A6044">
            <w:pPr>
              <w:jc w:val="both"/>
              <w:rPr>
                <w:rFonts w:ascii="Arial" w:hAnsi="Arial"/>
                <w:sz w:val="26"/>
                <w:szCs w:val="26"/>
                <w:rtl/>
              </w:rPr>
            </w:pPr>
          </w:p>
        </w:tc>
        <w:tc>
          <w:tcPr>
            <w:tcW w:w="7897" w:type="dxa"/>
            <w:gridSpan w:val="2"/>
            <w:tcBorders>
              <w:top w:val="nil"/>
              <w:left w:val="nil"/>
              <w:bottom w:val="nil"/>
              <w:right w:val="nil"/>
            </w:tcBorders>
          </w:tcPr>
          <w:p w14:paraId="194F6679" w14:textId="77777777" w:rsidR="000A6044" w:rsidRPr="00E61672" w:rsidRDefault="000A6044">
            <w:pPr>
              <w:jc w:val="center"/>
              <w:rPr>
                <w:rFonts w:ascii="Arial" w:hAnsi="Arial"/>
                <w:b/>
                <w:bCs/>
                <w:sz w:val="26"/>
                <w:szCs w:val="26"/>
                <w:rtl/>
              </w:rPr>
            </w:pPr>
          </w:p>
          <w:p w14:paraId="161AF8DD" w14:textId="77777777" w:rsidR="000A6044" w:rsidRPr="00E61672" w:rsidRDefault="00E61672">
            <w:pPr>
              <w:jc w:val="center"/>
              <w:rPr>
                <w:rFonts w:ascii="Arial" w:hAnsi="Arial"/>
                <w:b/>
                <w:bCs/>
                <w:sz w:val="26"/>
                <w:szCs w:val="26"/>
                <w:rtl/>
              </w:rPr>
            </w:pPr>
            <w:r w:rsidRPr="00E61672">
              <w:rPr>
                <w:rFonts w:ascii="Arial" w:hAnsi="Arial"/>
                <w:b/>
                <w:bCs/>
                <w:sz w:val="26"/>
                <w:szCs w:val="26"/>
                <w:rtl/>
              </w:rPr>
              <w:t>נגד</w:t>
            </w:r>
          </w:p>
          <w:p w14:paraId="23CA0603" w14:textId="77777777" w:rsidR="000A6044" w:rsidRPr="00E61672" w:rsidRDefault="000A6044">
            <w:pPr>
              <w:jc w:val="both"/>
              <w:rPr>
                <w:rFonts w:ascii="Arial" w:hAnsi="Arial"/>
                <w:sz w:val="26"/>
                <w:szCs w:val="26"/>
              </w:rPr>
            </w:pPr>
          </w:p>
        </w:tc>
      </w:tr>
      <w:tr w:rsidR="000A6044" w:rsidRPr="00E61672" w14:paraId="50574685" w14:textId="77777777">
        <w:trPr>
          <w:trHeight w:val="355"/>
          <w:jc w:val="center"/>
        </w:trPr>
        <w:tc>
          <w:tcPr>
            <w:tcW w:w="923" w:type="dxa"/>
            <w:tcBorders>
              <w:top w:val="nil"/>
              <w:left w:val="nil"/>
              <w:bottom w:val="nil"/>
              <w:right w:val="nil"/>
            </w:tcBorders>
          </w:tcPr>
          <w:p w14:paraId="1E20FEC3" w14:textId="77777777" w:rsidR="000A6044" w:rsidRPr="00E61672" w:rsidRDefault="000A6044">
            <w:pPr>
              <w:jc w:val="both"/>
              <w:rPr>
                <w:rFonts w:ascii="Arial" w:hAnsi="Arial"/>
                <w:sz w:val="26"/>
                <w:szCs w:val="26"/>
                <w:rtl/>
              </w:rPr>
            </w:pPr>
          </w:p>
        </w:tc>
        <w:tc>
          <w:tcPr>
            <w:tcW w:w="4126" w:type="dxa"/>
            <w:tcBorders>
              <w:top w:val="nil"/>
              <w:left w:val="nil"/>
              <w:bottom w:val="nil"/>
              <w:right w:val="nil"/>
            </w:tcBorders>
          </w:tcPr>
          <w:p w14:paraId="72DA40D9" w14:textId="77777777" w:rsidR="000A6044" w:rsidRPr="00E61672" w:rsidRDefault="00E61672">
            <w:pPr>
              <w:jc w:val="both"/>
              <w:rPr>
                <w:sz w:val="26"/>
                <w:szCs w:val="26"/>
                <w:rtl/>
              </w:rPr>
            </w:pPr>
            <w:r w:rsidRPr="00E61672">
              <w:rPr>
                <w:rFonts w:ascii="Arial" w:hAnsi="Arial" w:hint="cs"/>
                <w:sz w:val="26"/>
                <w:szCs w:val="26"/>
                <w:rtl/>
              </w:rPr>
              <w:t>ה</w:t>
            </w:r>
            <w:r w:rsidRPr="00E61672">
              <w:rPr>
                <w:rFonts w:hint="cs"/>
                <w:rtl/>
              </w:rPr>
              <w:t>נאשם</w:t>
            </w:r>
          </w:p>
        </w:tc>
        <w:tc>
          <w:tcPr>
            <w:tcW w:w="3771" w:type="dxa"/>
            <w:tcBorders>
              <w:top w:val="nil"/>
              <w:left w:val="nil"/>
              <w:bottom w:val="nil"/>
              <w:right w:val="nil"/>
            </w:tcBorders>
          </w:tcPr>
          <w:p w14:paraId="39F6C602" w14:textId="77777777" w:rsidR="000A6044" w:rsidRPr="00E61672" w:rsidRDefault="00E61672">
            <w:pPr>
              <w:jc w:val="both"/>
            </w:pPr>
            <w:r w:rsidRPr="00E61672">
              <w:rPr>
                <w:rFonts w:hint="cs"/>
                <w:rtl/>
              </w:rPr>
              <w:t>וויסאם עאזם</w:t>
            </w:r>
          </w:p>
          <w:p w14:paraId="4B171A43" w14:textId="77777777" w:rsidR="000A6044" w:rsidRPr="00E61672" w:rsidRDefault="000A6044">
            <w:pPr>
              <w:jc w:val="right"/>
              <w:rPr>
                <w:rFonts w:ascii="Arial" w:hAnsi="Arial"/>
                <w:sz w:val="26"/>
                <w:szCs w:val="26"/>
              </w:rPr>
            </w:pPr>
          </w:p>
        </w:tc>
      </w:tr>
      <w:tr w:rsidR="000A6044" w:rsidRPr="00E61672" w14:paraId="11E64441" w14:textId="77777777">
        <w:trPr>
          <w:trHeight w:val="355"/>
          <w:jc w:val="center"/>
        </w:trPr>
        <w:tc>
          <w:tcPr>
            <w:tcW w:w="923" w:type="dxa"/>
            <w:tcBorders>
              <w:top w:val="nil"/>
              <w:left w:val="nil"/>
              <w:bottom w:val="nil"/>
              <w:right w:val="nil"/>
            </w:tcBorders>
          </w:tcPr>
          <w:p w14:paraId="3F392F6A" w14:textId="77777777" w:rsidR="000A6044" w:rsidRPr="00E61672" w:rsidRDefault="000A6044">
            <w:pPr>
              <w:jc w:val="both"/>
              <w:rPr>
                <w:rFonts w:ascii="Arial" w:hAnsi="Arial"/>
                <w:sz w:val="26"/>
                <w:szCs w:val="26"/>
                <w:rtl/>
              </w:rPr>
            </w:pPr>
            <w:bookmarkStart w:id="2" w:name="FirstLawyer"/>
          </w:p>
        </w:tc>
        <w:tc>
          <w:tcPr>
            <w:tcW w:w="4126" w:type="dxa"/>
            <w:tcBorders>
              <w:top w:val="nil"/>
              <w:left w:val="nil"/>
              <w:bottom w:val="nil"/>
              <w:right w:val="nil"/>
            </w:tcBorders>
          </w:tcPr>
          <w:p w14:paraId="0FDCB9D8" w14:textId="77777777" w:rsidR="000A6044" w:rsidRPr="00E61672" w:rsidRDefault="000A6044">
            <w:pPr>
              <w:jc w:val="both"/>
              <w:rPr>
                <w:sz w:val="26"/>
                <w:szCs w:val="26"/>
                <w:rtl/>
              </w:rPr>
            </w:pPr>
          </w:p>
          <w:p w14:paraId="21D2601F" w14:textId="77777777" w:rsidR="000A6044" w:rsidRPr="00E61672" w:rsidRDefault="00E61672">
            <w:pPr>
              <w:jc w:val="both"/>
              <w:rPr>
                <w:sz w:val="26"/>
                <w:szCs w:val="26"/>
                <w:rtl/>
              </w:rPr>
            </w:pPr>
            <w:r w:rsidRPr="00E61672">
              <w:rPr>
                <w:rFonts w:hint="cs"/>
                <w:sz w:val="26"/>
                <w:szCs w:val="26"/>
                <w:rtl/>
              </w:rPr>
              <w:t>נוכחים:</w:t>
            </w:r>
          </w:p>
          <w:p w14:paraId="1EBE5823" w14:textId="77777777" w:rsidR="000A6044" w:rsidRPr="00E61672" w:rsidRDefault="00E61672">
            <w:pPr>
              <w:jc w:val="both"/>
              <w:rPr>
                <w:sz w:val="26"/>
                <w:szCs w:val="26"/>
                <w:rtl/>
              </w:rPr>
            </w:pPr>
            <w:r w:rsidRPr="00E61672">
              <w:rPr>
                <w:rFonts w:hint="cs"/>
                <w:sz w:val="26"/>
                <w:szCs w:val="26"/>
                <w:rtl/>
              </w:rPr>
              <w:t xml:space="preserve">ב"כ המאשימה עו"ד פאדי אסעד </w:t>
            </w:r>
          </w:p>
          <w:p w14:paraId="0747E626" w14:textId="77777777" w:rsidR="000A6044" w:rsidRPr="00E61672" w:rsidRDefault="00E61672">
            <w:pPr>
              <w:jc w:val="both"/>
              <w:rPr>
                <w:sz w:val="26"/>
                <w:szCs w:val="26"/>
                <w:rtl/>
              </w:rPr>
            </w:pPr>
            <w:r w:rsidRPr="00E61672">
              <w:rPr>
                <w:rFonts w:hint="cs"/>
                <w:sz w:val="26"/>
                <w:szCs w:val="26"/>
                <w:rtl/>
              </w:rPr>
              <w:t>הנאשם בעצמו וב"כ עו"ד אוהד מגורי</w:t>
            </w:r>
          </w:p>
        </w:tc>
        <w:tc>
          <w:tcPr>
            <w:tcW w:w="3771" w:type="dxa"/>
            <w:tcBorders>
              <w:top w:val="nil"/>
              <w:left w:val="nil"/>
              <w:bottom w:val="nil"/>
              <w:right w:val="nil"/>
            </w:tcBorders>
          </w:tcPr>
          <w:p w14:paraId="6C54F274" w14:textId="77777777" w:rsidR="000A6044" w:rsidRPr="00E61672" w:rsidRDefault="000A6044">
            <w:pPr>
              <w:jc w:val="right"/>
              <w:rPr>
                <w:rFonts w:ascii="Arial" w:hAnsi="Arial"/>
                <w:sz w:val="26"/>
                <w:szCs w:val="26"/>
              </w:rPr>
            </w:pPr>
          </w:p>
        </w:tc>
      </w:tr>
    </w:tbl>
    <w:p w14:paraId="49D52BAF" w14:textId="77777777" w:rsidR="00673899" w:rsidRDefault="00673899">
      <w:pPr>
        <w:rPr>
          <w:rtl/>
        </w:rPr>
      </w:pPr>
      <w:bookmarkStart w:id="3" w:name="LawTable"/>
      <w:bookmarkEnd w:id="2"/>
      <w:bookmarkEnd w:id="3"/>
    </w:p>
    <w:p w14:paraId="11F9A9A6" w14:textId="77777777" w:rsidR="00673899" w:rsidRPr="00673899" w:rsidRDefault="00673899" w:rsidP="00673899">
      <w:pPr>
        <w:spacing w:after="120" w:line="240" w:lineRule="exact"/>
        <w:ind w:left="283" w:hanging="283"/>
        <w:jc w:val="both"/>
        <w:rPr>
          <w:rFonts w:ascii="FrankRuehl" w:hAnsi="FrankRuehl" w:cs="FrankRuehl"/>
          <w:rtl/>
        </w:rPr>
      </w:pPr>
      <w:r w:rsidRPr="00673899">
        <w:rPr>
          <w:rFonts w:ascii="FrankRuehl" w:hAnsi="FrankRuehl" w:cs="FrankRuehl"/>
          <w:rtl/>
        </w:rPr>
        <w:t xml:space="preserve">חקיקה שאוזכרה: </w:t>
      </w:r>
    </w:p>
    <w:p w14:paraId="31EE0D50" w14:textId="77777777" w:rsidR="00673899" w:rsidRPr="00673899" w:rsidRDefault="00673899" w:rsidP="00673899">
      <w:pPr>
        <w:spacing w:after="120" w:line="240" w:lineRule="exact"/>
        <w:ind w:left="283" w:hanging="283"/>
        <w:jc w:val="both"/>
        <w:rPr>
          <w:rFonts w:ascii="FrankRuehl" w:hAnsi="FrankRuehl" w:cs="FrankRuehl"/>
          <w:color w:val="0000FF"/>
          <w:u w:val="single"/>
          <w:rtl/>
        </w:rPr>
      </w:pPr>
      <w:hyperlink r:id="rId7" w:history="1">
        <w:r w:rsidRPr="00673899">
          <w:rPr>
            <w:rStyle w:val="Hyperlink"/>
            <w:rFonts w:ascii="FrankRuehl" w:hAnsi="FrankRuehl" w:cs="FrankRuehl"/>
            <w:rtl/>
          </w:rPr>
          <w:t>חוק העונשין, תשל"ז-1977</w:t>
        </w:r>
      </w:hyperlink>
      <w:r w:rsidRPr="00673899">
        <w:rPr>
          <w:rFonts w:ascii="FrankRuehl" w:hAnsi="FrankRuehl" w:cs="FrankRuehl"/>
          <w:color w:val="0000FF"/>
          <w:u w:val="single"/>
          <w:rtl/>
        </w:rPr>
        <w:t xml:space="preserve">: סע'  </w:t>
      </w:r>
      <w:hyperlink r:id="rId8" w:history="1">
        <w:r w:rsidRPr="00673899">
          <w:rPr>
            <w:rStyle w:val="Hyperlink"/>
            <w:rFonts w:ascii="FrankRuehl" w:hAnsi="FrankRuehl" w:cs="FrankRuehl"/>
          </w:rPr>
          <w:t>144(</w:t>
        </w:r>
        <w:r w:rsidRPr="00673899">
          <w:rPr>
            <w:rStyle w:val="Hyperlink"/>
            <w:rFonts w:ascii="FrankRuehl" w:hAnsi="FrankRuehl" w:cs="FrankRuehl"/>
            <w:rtl/>
          </w:rPr>
          <w:t>א</w:t>
        </w:r>
        <w:r w:rsidRPr="00673899">
          <w:rPr>
            <w:rStyle w:val="Hyperlink"/>
            <w:rFonts w:ascii="FrankRuehl" w:hAnsi="FrankRuehl" w:cs="FrankRuehl"/>
          </w:rPr>
          <w:t>)</w:t>
        </w:r>
      </w:hyperlink>
    </w:p>
    <w:p w14:paraId="14817EE5" w14:textId="77777777" w:rsidR="00673899" w:rsidRPr="00673899" w:rsidRDefault="00673899" w:rsidP="00673899">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A6044" w14:paraId="77DB6515" w14:textId="77777777">
        <w:trPr>
          <w:trHeight w:val="355"/>
          <w:jc w:val="center"/>
        </w:trPr>
        <w:tc>
          <w:tcPr>
            <w:tcW w:w="8820" w:type="dxa"/>
            <w:tcBorders>
              <w:top w:val="nil"/>
              <w:left w:val="nil"/>
              <w:bottom w:val="nil"/>
              <w:right w:val="nil"/>
            </w:tcBorders>
          </w:tcPr>
          <w:p w14:paraId="46EDDFF2" w14:textId="77777777" w:rsidR="00E61672" w:rsidRPr="00E61672" w:rsidRDefault="00E61672" w:rsidP="00E61672">
            <w:pPr>
              <w:jc w:val="center"/>
              <w:rPr>
                <w:rFonts w:ascii="Arial" w:hAnsi="Arial"/>
                <w:b/>
                <w:bCs/>
                <w:sz w:val="32"/>
                <w:szCs w:val="32"/>
                <w:u w:val="single"/>
                <w:rtl/>
              </w:rPr>
            </w:pPr>
            <w:bookmarkStart w:id="4" w:name="LawTable_End"/>
            <w:bookmarkStart w:id="5" w:name="PsakDin" w:colFirst="0" w:colLast="0"/>
            <w:bookmarkEnd w:id="0"/>
            <w:bookmarkEnd w:id="4"/>
            <w:r w:rsidRPr="00E61672">
              <w:rPr>
                <w:rFonts w:ascii="Arial" w:hAnsi="Arial"/>
                <w:b/>
                <w:bCs/>
                <w:sz w:val="32"/>
                <w:szCs w:val="32"/>
                <w:u w:val="single"/>
                <w:rtl/>
              </w:rPr>
              <w:t>גזר דין</w:t>
            </w:r>
          </w:p>
          <w:p w14:paraId="2EB52F11" w14:textId="77777777" w:rsidR="000A6044" w:rsidRPr="00E61672" w:rsidRDefault="000A6044" w:rsidP="00E61672">
            <w:pPr>
              <w:jc w:val="center"/>
              <w:rPr>
                <w:rFonts w:ascii="Arial" w:hAnsi="Arial"/>
                <w:bCs/>
                <w:sz w:val="32"/>
                <w:szCs w:val="32"/>
                <w:u w:val="single"/>
                <w:rtl/>
              </w:rPr>
            </w:pPr>
          </w:p>
        </w:tc>
      </w:tr>
      <w:bookmarkEnd w:id="5"/>
    </w:tbl>
    <w:p w14:paraId="36C1C287" w14:textId="77777777" w:rsidR="000A6044" w:rsidRDefault="000A6044">
      <w:pPr>
        <w:rPr>
          <w:rFonts w:ascii="Arial" w:hAnsi="Arial"/>
          <w:sz w:val="26"/>
          <w:szCs w:val="26"/>
          <w:rtl/>
        </w:rPr>
      </w:pPr>
    </w:p>
    <w:p w14:paraId="42507E19" w14:textId="77777777" w:rsidR="000A6044" w:rsidRDefault="00E61672">
      <w:pPr>
        <w:numPr>
          <w:ilvl w:val="0"/>
          <w:numId w:val="1"/>
        </w:numPr>
        <w:suppressAutoHyphens/>
        <w:spacing w:line="360" w:lineRule="auto"/>
        <w:ind w:left="206" w:firstLine="0"/>
        <w:jc w:val="both"/>
      </w:pPr>
      <w:bookmarkStart w:id="6" w:name="ABSTRACT_START"/>
      <w:bookmarkEnd w:id="6"/>
      <w:r>
        <w:rPr>
          <w:rFonts w:hint="cs"/>
          <w:rtl/>
        </w:rPr>
        <w:t xml:space="preserve">הרשעתי את הנאשם, וויסאם עאזם יליד 1975, על יסוד הודאתו במסגרת הסדר טיעון, בעובדות כתב אישום מתוקן במסגרת הסדר טיעון, בביצוע עבירה של החזקת נשק לפי </w:t>
      </w:r>
      <w:hyperlink r:id="rId9" w:history="1">
        <w:r w:rsidR="00673899" w:rsidRPr="00673899">
          <w:rPr>
            <w:rStyle w:val="Hyperlink"/>
            <w:rFonts w:hint="eastAsia"/>
            <w:rtl/>
          </w:rPr>
          <w:t>סעיף</w:t>
        </w:r>
        <w:r w:rsidR="00673899" w:rsidRPr="00673899">
          <w:rPr>
            <w:rStyle w:val="Hyperlink"/>
            <w:rtl/>
          </w:rPr>
          <w:t xml:space="preserve"> 144(א)</w:t>
        </w:r>
      </w:hyperlink>
      <w:r>
        <w:rPr>
          <w:rFonts w:hint="cs"/>
          <w:rtl/>
        </w:rPr>
        <w:t xml:space="preserve"> רישא וסיפא ל</w:t>
      </w:r>
      <w:hyperlink r:id="rId10" w:history="1">
        <w:r w:rsidRPr="00E61672">
          <w:rPr>
            <w:color w:val="0000FF"/>
            <w:u w:val="single"/>
            <w:rtl/>
          </w:rPr>
          <w:t>חוק העונשין</w:t>
        </w:r>
      </w:hyperlink>
      <w:r>
        <w:rPr>
          <w:rFonts w:hint="cs"/>
          <w:rtl/>
        </w:rPr>
        <w:t xml:space="preserve">, התשל"ז-1977. </w:t>
      </w:r>
    </w:p>
    <w:p w14:paraId="250262BF" w14:textId="77777777" w:rsidR="000A6044" w:rsidRDefault="000A6044">
      <w:pPr>
        <w:spacing w:line="360" w:lineRule="auto"/>
        <w:ind w:left="206" w:firstLine="514"/>
        <w:jc w:val="both"/>
      </w:pPr>
      <w:bookmarkStart w:id="7" w:name="ABSTRACT_END"/>
      <w:bookmarkEnd w:id="7"/>
    </w:p>
    <w:p w14:paraId="6792EECF" w14:textId="77777777" w:rsidR="000A6044" w:rsidRDefault="00E61672">
      <w:pPr>
        <w:numPr>
          <w:ilvl w:val="0"/>
          <w:numId w:val="1"/>
        </w:numPr>
        <w:suppressAutoHyphens/>
        <w:spacing w:line="360" w:lineRule="auto"/>
        <w:ind w:left="206" w:firstLine="0"/>
        <w:jc w:val="both"/>
        <w:rPr>
          <w:rtl/>
        </w:rPr>
      </w:pPr>
      <w:r>
        <w:rPr>
          <w:rFonts w:hint="cs"/>
          <w:rtl/>
        </w:rPr>
        <w:t xml:space="preserve">לפי עובדות כתב האישום המתוקן, מספר שנים טרם 28.9.2013 קיבל לידיו הנאשם אקדח מסוג ברטה </w:t>
      </w:r>
      <w:smartTag w:uri="urn:schemas-microsoft-com:office:smarttags" w:element="metricconverter">
        <w:smartTagPr>
          <w:attr w:name="ProductID" w:val="9 מ&quot;מ"/>
        </w:smartTagPr>
        <w:r>
          <w:rPr>
            <w:rFonts w:hint="cs"/>
            <w:rtl/>
          </w:rPr>
          <w:t>9 מ"מ</w:t>
        </w:r>
      </w:smartTag>
      <w:r>
        <w:rPr>
          <w:rFonts w:hint="cs"/>
          <w:rtl/>
        </w:rPr>
        <w:t xml:space="preserve"> שמספרו מחוק, ומחסנית תואמת טעונה במספר כדורים (להלן – "</w:t>
      </w:r>
      <w:r>
        <w:rPr>
          <w:rFonts w:hint="cs"/>
          <w:b/>
          <w:bCs/>
          <w:rtl/>
        </w:rPr>
        <w:t>האקדח</w:t>
      </w:r>
      <w:r>
        <w:rPr>
          <w:rFonts w:hint="cs"/>
          <w:rtl/>
        </w:rPr>
        <w:t xml:space="preserve">"). </w:t>
      </w:r>
    </w:p>
    <w:p w14:paraId="0AE06899" w14:textId="77777777" w:rsidR="000A6044" w:rsidRDefault="000A6044">
      <w:pPr>
        <w:spacing w:line="360" w:lineRule="auto"/>
        <w:ind w:left="206" w:firstLine="514"/>
        <w:jc w:val="both"/>
        <w:rPr>
          <w:rtl/>
        </w:rPr>
      </w:pPr>
    </w:p>
    <w:p w14:paraId="5E19708D" w14:textId="77777777" w:rsidR="000A6044" w:rsidRDefault="00E61672">
      <w:pPr>
        <w:spacing w:line="360" w:lineRule="auto"/>
        <w:ind w:left="206" w:firstLine="514"/>
        <w:jc w:val="both"/>
        <w:rPr>
          <w:rtl/>
        </w:rPr>
      </w:pPr>
      <w:r>
        <w:rPr>
          <w:rFonts w:hint="cs"/>
          <w:rtl/>
        </w:rPr>
        <w:t xml:space="preserve">הנאשם החזיק באקדח ובמחסנית כל אותן שנים עד ליום 28.9.2013, כאשר בחלק מן הזמן הסליקם בחורשה סמוכה לטייבה. ביום 28.9.2013 נהג הנאשם ברכב מסוג סובארו לגאסי מכיוון שכם לטול כרם, כשהוא מחזיק ברכב את האקדח והמחסנית. בהתקרבו למחסום בצומת ג'ית, על כביש 55, פרק הנאשם את האקדח, השליך מהרכב את כדורי האקדח והסליק את האקדח </w:t>
      </w:r>
      <w:r>
        <w:rPr>
          <w:rFonts w:hint="cs"/>
          <w:rtl/>
        </w:rPr>
        <w:lastRenderedPageBreak/>
        <w:t>והמחסנית הריקה בתא הכפפות. בהגיעו למחסום, נתגלו האקדח והמחסנית במהלך בדיקה וחיפוש ברכב.</w:t>
      </w:r>
    </w:p>
    <w:p w14:paraId="10FFA931" w14:textId="77777777" w:rsidR="000A6044" w:rsidRDefault="000A6044">
      <w:pPr>
        <w:spacing w:line="360" w:lineRule="auto"/>
        <w:ind w:left="206" w:firstLine="514"/>
        <w:jc w:val="both"/>
        <w:rPr>
          <w:rtl/>
        </w:rPr>
      </w:pPr>
    </w:p>
    <w:p w14:paraId="3B0A79B8" w14:textId="77777777" w:rsidR="000A6044" w:rsidRDefault="00E61672">
      <w:pPr>
        <w:numPr>
          <w:ilvl w:val="0"/>
          <w:numId w:val="1"/>
        </w:numPr>
        <w:suppressAutoHyphens/>
        <w:spacing w:line="360" w:lineRule="auto"/>
        <w:ind w:left="206" w:firstLine="0"/>
        <w:jc w:val="both"/>
        <w:rPr>
          <w:rtl/>
        </w:rPr>
      </w:pPr>
      <w:r>
        <w:rPr>
          <w:rFonts w:hint="cs"/>
          <w:rtl/>
        </w:rPr>
        <w:t xml:space="preserve">הצדדים התקשרו בהסכמה חלקית לעניין העונש, לפיה הגבילה עצמה המאשימה בעתירתה לעונש </w:t>
      </w:r>
      <w:r>
        <w:rPr>
          <w:rFonts w:hint="cs"/>
          <w:u w:val="single"/>
          <w:rtl/>
        </w:rPr>
        <w:t>לשישה עשר חודשי מאסר בפועל</w:t>
      </w:r>
      <w:r>
        <w:rPr>
          <w:rFonts w:hint="cs"/>
          <w:rtl/>
        </w:rPr>
        <w:t>, מאסר על-תנאי וקנס וההגנה תטען כרצונה.</w:t>
      </w:r>
    </w:p>
    <w:p w14:paraId="1BEC552C" w14:textId="77777777" w:rsidR="000A6044" w:rsidRDefault="000A6044">
      <w:pPr>
        <w:spacing w:line="360" w:lineRule="auto"/>
        <w:ind w:left="206" w:firstLine="514"/>
        <w:jc w:val="both"/>
        <w:rPr>
          <w:rtl/>
        </w:rPr>
      </w:pPr>
    </w:p>
    <w:p w14:paraId="548C3DD8" w14:textId="77777777" w:rsidR="000A6044" w:rsidRDefault="00E61672">
      <w:pPr>
        <w:numPr>
          <w:ilvl w:val="0"/>
          <w:numId w:val="1"/>
        </w:numPr>
        <w:suppressAutoHyphens/>
        <w:spacing w:line="360" w:lineRule="auto"/>
        <w:ind w:left="206" w:firstLine="0"/>
        <w:jc w:val="both"/>
        <w:rPr>
          <w:rtl/>
        </w:rPr>
      </w:pPr>
      <w:r>
        <w:rPr>
          <w:rFonts w:hint="cs"/>
          <w:rtl/>
        </w:rPr>
        <w:t>לנאשם ארבע הרשעות קודמות. בשנת 1994 הורשע בביצוע עבירת איומים; בשנת 1997 הורשע בעבירות מרמה וזיוף; בשנת 2002 הורשע בביצוע עבירות רכוש; בשנת 2002 הורשע הנאשם בבית המשפט המחוזי בתל-אביב בביצוע עבירות של החזקת נשק שלא כדין ורכישת נשק שלא כדין, ונדון, בין היתר, לעונש מאסר בפועל לתקופה של 28 חודשים.</w:t>
      </w:r>
    </w:p>
    <w:p w14:paraId="232D5E8A" w14:textId="77777777" w:rsidR="000A6044" w:rsidRDefault="000A6044">
      <w:pPr>
        <w:spacing w:line="360" w:lineRule="auto"/>
        <w:ind w:left="206" w:firstLine="514"/>
        <w:jc w:val="both"/>
        <w:rPr>
          <w:rtl/>
        </w:rPr>
      </w:pPr>
    </w:p>
    <w:p w14:paraId="1E908A29" w14:textId="77777777" w:rsidR="000A6044" w:rsidRDefault="00E61672">
      <w:pPr>
        <w:numPr>
          <w:ilvl w:val="0"/>
          <w:numId w:val="1"/>
        </w:numPr>
        <w:suppressAutoHyphens/>
        <w:spacing w:line="360" w:lineRule="auto"/>
        <w:ind w:left="206" w:firstLine="0"/>
        <w:jc w:val="both"/>
        <w:rPr>
          <w:rtl/>
        </w:rPr>
      </w:pPr>
      <w:r>
        <w:rPr>
          <w:rFonts w:hint="cs"/>
          <w:rtl/>
        </w:rPr>
        <w:t>במסגרת הטיעונים לעונש הגיש ב"כ הנאשם שלושה מסמכים: מחוו"ד פסיכיאטרית שנערכה אודות הנאשם באופן פרטי (נע/1) עולה כי הבודק סבור כי הנאשם החזיק בנשק מתוך שיקולים של קיוּמיות ולא מתוך עבריינות; המסמך נע/2 עניינו מצבו הנפשי של בנו של הנאשם, אשר היה עד לאירוע ירי על בית המשפחה בשנת 2010; באסופת המסמכים נע/3 ישנם מסמכים אודות מצבם הרפואי של אם הנאשם ואחיו וכן מסמכים אודות מצבו הכלכלי הרעוע של הנאשם.</w:t>
      </w:r>
    </w:p>
    <w:p w14:paraId="2A10F8F3" w14:textId="77777777" w:rsidR="000A6044" w:rsidRDefault="000A6044">
      <w:pPr>
        <w:spacing w:line="360" w:lineRule="auto"/>
        <w:ind w:left="206" w:firstLine="514"/>
        <w:jc w:val="both"/>
        <w:rPr>
          <w:rtl/>
        </w:rPr>
      </w:pPr>
    </w:p>
    <w:p w14:paraId="682B42A3" w14:textId="77777777" w:rsidR="000A6044" w:rsidRDefault="00E61672">
      <w:pPr>
        <w:ind w:left="206"/>
        <w:rPr>
          <w:b/>
          <w:bCs/>
          <w:u w:val="single"/>
          <w:rtl/>
        </w:rPr>
      </w:pPr>
      <w:r>
        <w:rPr>
          <w:rFonts w:hint="cs"/>
          <w:b/>
          <w:bCs/>
          <w:u w:val="single"/>
          <w:rtl/>
        </w:rPr>
        <w:t>דיון</w:t>
      </w:r>
    </w:p>
    <w:p w14:paraId="5EA8688A" w14:textId="77777777" w:rsidR="000A6044" w:rsidRDefault="00E61672">
      <w:pPr>
        <w:numPr>
          <w:ilvl w:val="0"/>
          <w:numId w:val="1"/>
        </w:numPr>
        <w:suppressAutoHyphens/>
        <w:spacing w:line="360" w:lineRule="auto"/>
        <w:ind w:left="206" w:firstLine="0"/>
        <w:jc w:val="both"/>
        <w:rPr>
          <w:rtl/>
        </w:rPr>
      </w:pPr>
      <w:r>
        <w:rPr>
          <w:rFonts w:hint="cs"/>
          <w:rtl/>
        </w:rPr>
        <w:t>עבירות הנשק הפכו למכת מדינה, ובאזורנו אף למכת אזור. פגיעתן של העבירות קשה. נשק לא מורשה שמוחזק על ידי פלוני, מחר ייעשה בו שימוש לרעה על ידי פלוני עצמו או על ידי אחרים.</w:t>
      </w:r>
    </w:p>
    <w:p w14:paraId="7DBF6399" w14:textId="77777777" w:rsidR="000A6044" w:rsidRDefault="000A6044">
      <w:pPr>
        <w:spacing w:line="360" w:lineRule="auto"/>
        <w:ind w:left="206" w:firstLine="514"/>
        <w:jc w:val="both"/>
      </w:pPr>
    </w:p>
    <w:p w14:paraId="325CF33F" w14:textId="77777777" w:rsidR="000A6044" w:rsidRDefault="00E61672">
      <w:pPr>
        <w:numPr>
          <w:ilvl w:val="0"/>
          <w:numId w:val="1"/>
        </w:numPr>
        <w:suppressAutoHyphens/>
        <w:spacing w:line="360" w:lineRule="auto"/>
        <w:ind w:left="206" w:firstLine="0"/>
        <w:jc w:val="both"/>
        <w:rPr>
          <w:rtl/>
        </w:rPr>
      </w:pPr>
      <w:r>
        <w:rPr>
          <w:rFonts w:hint="cs"/>
          <w:rtl/>
        </w:rPr>
        <w:t>בתי המשפט עמדו פעמים רבות על הסכנה הרבה הגלומה בהחזקת כלי ירייה על ידי מי שאינם מורשים לכך, סכנה שמצדיקה נקיטת יד קשה כלפי המורשעים בביצוע עבירה זו:</w:t>
      </w:r>
    </w:p>
    <w:p w14:paraId="32EC8BBC" w14:textId="77777777" w:rsidR="000A6044" w:rsidRDefault="000A6044">
      <w:pPr>
        <w:spacing w:line="360" w:lineRule="auto"/>
        <w:ind w:left="720"/>
        <w:jc w:val="both"/>
      </w:pPr>
    </w:p>
    <w:p w14:paraId="37B96897" w14:textId="77777777" w:rsidR="000A6044" w:rsidRDefault="00E61672">
      <w:pPr>
        <w:spacing w:line="360" w:lineRule="auto"/>
        <w:ind w:left="1440" w:right="1440"/>
        <w:jc w:val="both"/>
        <w:rPr>
          <w:rFonts w:cs="FrankRuehl"/>
          <w:rtl/>
        </w:rPr>
      </w:pPr>
      <w:r>
        <w:rPr>
          <w:rFonts w:cs="FrankRuehl" w:hint="cs"/>
          <w:rtl/>
        </w:rPr>
        <w:t>"הסכנה הטמונה בעבירה החמורה של החזקת נשק מצדיקה הטלת עונשי מאסר לריצוי בפועל גם על מי שזו עבירתו הראשונה. בבוא בית-המשפט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 [</w:t>
      </w:r>
      <w:hyperlink r:id="rId11" w:history="1">
        <w:r w:rsidRPr="00E61672">
          <w:rPr>
            <w:rFonts w:cs="FrankRuehl"/>
            <w:color w:val="0000FF"/>
            <w:u w:val="single"/>
            <w:rtl/>
          </w:rPr>
          <w:t>רע"פ 2718/04</w:t>
        </w:r>
      </w:hyperlink>
      <w:r>
        <w:rPr>
          <w:rFonts w:cs="FrankRuehl" w:hint="cs"/>
          <w:rtl/>
        </w:rPr>
        <w:t xml:space="preserve"> </w:t>
      </w:r>
      <w:r>
        <w:rPr>
          <w:rFonts w:cs="FrankRuehl" w:hint="cs"/>
          <w:b/>
          <w:bCs/>
          <w:rtl/>
        </w:rPr>
        <w:t>אבו דאחל נ' מדינת ישראל</w:t>
      </w:r>
      <w:r>
        <w:rPr>
          <w:rFonts w:cs="FrankRuehl" w:hint="cs"/>
          <w:rtl/>
        </w:rPr>
        <w:t xml:space="preserve"> (2004)]</w:t>
      </w:r>
    </w:p>
    <w:p w14:paraId="5EEE32A9" w14:textId="77777777" w:rsidR="000A6044" w:rsidRDefault="000A6044">
      <w:pPr>
        <w:spacing w:line="360" w:lineRule="auto"/>
        <w:ind w:left="720" w:right="900"/>
        <w:jc w:val="both"/>
        <w:rPr>
          <w:rFonts w:cs="FrankRuehl"/>
          <w:rtl/>
        </w:rPr>
      </w:pPr>
    </w:p>
    <w:p w14:paraId="731A5402" w14:textId="77777777" w:rsidR="000A6044" w:rsidRDefault="00E61672">
      <w:pPr>
        <w:spacing w:line="360" w:lineRule="auto"/>
        <w:ind w:left="540"/>
        <w:jc w:val="both"/>
        <w:rPr>
          <w:rtl/>
        </w:rPr>
      </w:pPr>
      <w:r>
        <w:rPr>
          <w:rFonts w:hint="cs"/>
          <w:rtl/>
        </w:rPr>
        <w:t>וכן –</w:t>
      </w:r>
    </w:p>
    <w:p w14:paraId="5415D007" w14:textId="77777777" w:rsidR="000A6044" w:rsidRDefault="00E61672">
      <w:pPr>
        <w:spacing w:line="360" w:lineRule="auto"/>
        <w:ind w:left="1440" w:right="1440"/>
        <w:jc w:val="both"/>
        <w:rPr>
          <w:rFonts w:cs="FrankRuehl"/>
          <w:rtl/>
        </w:rPr>
      </w:pPr>
      <w:r>
        <w:rPr>
          <w:rFonts w:cs="FrankRuehl" w:hint="cs"/>
          <w:rtl/>
        </w:rPr>
        <w:t xml:space="preserve">"... יש ליתן משקל בכל מקרה לסיכון הגלום בכך שנשק בעל פוטנציאל קטילה מוחזק מבלי שיש עליו ועל בעליו פיקוח מוסדר של הרשויות, כאשר </w:t>
      </w:r>
      <w:r>
        <w:rPr>
          <w:rFonts w:cs="FrankRuehl" w:hint="cs"/>
          <w:rtl/>
        </w:rPr>
        <w:lastRenderedPageBreak/>
        <w:t>המחזיק נתון תמיד לסיכון שיתפתה לעשות שימוש בנשק, ולו ברגעי לחץ ופחד." [</w:t>
      </w:r>
      <w:hyperlink r:id="rId12" w:history="1">
        <w:r w:rsidRPr="00E61672">
          <w:rPr>
            <w:rFonts w:cs="FrankRuehl"/>
            <w:color w:val="0000FF"/>
            <w:u w:val="single"/>
            <w:rtl/>
          </w:rPr>
          <w:t>ע"פ 3306/00</w:t>
        </w:r>
      </w:hyperlink>
      <w:r>
        <w:rPr>
          <w:rFonts w:cs="FrankRuehl" w:hint="cs"/>
          <w:rtl/>
        </w:rPr>
        <w:t xml:space="preserve"> </w:t>
      </w:r>
      <w:r>
        <w:rPr>
          <w:rFonts w:cs="FrankRuehl" w:hint="cs"/>
          <w:b/>
          <w:bCs/>
          <w:rtl/>
        </w:rPr>
        <w:t>אבוסנינה נ' מדינת ישראל</w:t>
      </w:r>
      <w:r>
        <w:rPr>
          <w:rFonts w:cs="FrankRuehl" w:hint="cs"/>
          <w:rtl/>
        </w:rPr>
        <w:t xml:space="preserve"> (2000)]</w:t>
      </w:r>
    </w:p>
    <w:p w14:paraId="63DA8DC2" w14:textId="77777777" w:rsidR="000A6044" w:rsidRDefault="000A6044">
      <w:pPr>
        <w:spacing w:line="360" w:lineRule="auto"/>
        <w:ind w:left="397"/>
        <w:jc w:val="both"/>
        <w:rPr>
          <w:rtl/>
        </w:rPr>
      </w:pPr>
    </w:p>
    <w:p w14:paraId="527D36EC" w14:textId="77777777" w:rsidR="000A6044" w:rsidRDefault="00E61672">
      <w:pPr>
        <w:spacing w:line="360" w:lineRule="auto"/>
        <w:ind w:left="540"/>
        <w:jc w:val="both"/>
        <w:rPr>
          <w:rtl/>
        </w:rPr>
      </w:pPr>
      <w:r>
        <w:rPr>
          <w:rFonts w:hint="cs"/>
          <w:rtl/>
        </w:rPr>
        <w:t>ועוד –</w:t>
      </w:r>
    </w:p>
    <w:p w14:paraId="28B0E7B5" w14:textId="77777777" w:rsidR="000A6044" w:rsidRDefault="000A6044">
      <w:pPr>
        <w:spacing w:line="360" w:lineRule="auto"/>
        <w:ind w:left="397"/>
        <w:jc w:val="both"/>
        <w:rPr>
          <w:rtl/>
        </w:rPr>
      </w:pPr>
    </w:p>
    <w:p w14:paraId="25B5DAC7" w14:textId="77777777" w:rsidR="000A6044" w:rsidRDefault="00E61672">
      <w:pPr>
        <w:spacing w:line="360" w:lineRule="auto"/>
        <w:ind w:left="1440" w:right="1440"/>
        <w:jc w:val="both"/>
        <w:rPr>
          <w:rFonts w:cs="FrankRuehl"/>
          <w:rtl/>
        </w:rPr>
      </w:pPr>
      <w:r>
        <w:rPr>
          <w:rFonts w:cs="FrankRuehl" w:hint="cs"/>
          <w:rtl/>
        </w:rPr>
        <w:t>"אין צורך לומר עד כמה מסוכנת לציבור התופעה של עבריינים המתהלכים ברחובות כשנשק חם בכיסם, ומכאן הצורך לנקוט בענישה שיש בה גם מסר של הרתעה לרבים" [</w:t>
      </w:r>
      <w:hyperlink r:id="rId13" w:history="1">
        <w:r w:rsidRPr="00E61672">
          <w:rPr>
            <w:rFonts w:cs="FrankRuehl"/>
            <w:color w:val="0000FF"/>
            <w:u w:val="single"/>
            <w:rtl/>
          </w:rPr>
          <w:t>ע"פ 2839/05</w:t>
        </w:r>
      </w:hyperlink>
      <w:r>
        <w:rPr>
          <w:rFonts w:cs="FrankRuehl" w:hint="cs"/>
          <w:rtl/>
        </w:rPr>
        <w:t xml:space="preserve"> </w:t>
      </w:r>
      <w:r>
        <w:rPr>
          <w:rFonts w:cs="FrankRuehl" w:hint="cs"/>
          <w:b/>
          <w:bCs/>
          <w:rtl/>
        </w:rPr>
        <w:t>עבד אל קאדר נ' מדינת ישראל</w:t>
      </w:r>
      <w:r>
        <w:rPr>
          <w:rFonts w:cs="FrankRuehl" w:hint="cs"/>
          <w:rtl/>
        </w:rPr>
        <w:t>, (2005)]</w:t>
      </w:r>
    </w:p>
    <w:p w14:paraId="4C96DDD5" w14:textId="77777777" w:rsidR="000A6044" w:rsidRDefault="000A6044">
      <w:pPr>
        <w:spacing w:line="360" w:lineRule="auto"/>
        <w:ind w:left="397"/>
        <w:jc w:val="both"/>
        <w:rPr>
          <w:rtl/>
        </w:rPr>
      </w:pPr>
    </w:p>
    <w:p w14:paraId="52C9108A" w14:textId="77777777" w:rsidR="000A6044" w:rsidRDefault="00E61672">
      <w:pPr>
        <w:numPr>
          <w:ilvl w:val="0"/>
          <w:numId w:val="1"/>
        </w:numPr>
        <w:suppressAutoHyphens/>
        <w:spacing w:line="360" w:lineRule="auto"/>
        <w:ind w:left="206" w:firstLine="0"/>
        <w:jc w:val="both"/>
        <w:rPr>
          <w:rtl/>
        </w:rPr>
      </w:pPr>
      <w:r>
        <w:rPr>
          <w:rFonts w:hint="cs"/>
          <w:rtl/>
        </w:rPr>
        <w:t xml:space="preserve">המציאות הביטחונית השוררת בישראל וזמינותם של כלי הנשק החמים, מצדיקה אף היא החמרה בענישה [ראו והשוו </w:t>
      </w:r>
      <w:hyperlink r:id="rId14" w:history="1">
        <w:r w:rsidRPr="00E61672">
          <w:rPr>
            <w:color w:val="0000FF"/>
            <w:u w:val="single"/>
            <w:rtl/>
          </w:rPr>
          <w:t>ע"פ 1332/04 מדינת ישראל נ' פס, פ"ד נח</w:t>
        </w:r>
      </w:hyperlink>
      <w:r>
        <w:rPr>
          <w:rFonts w:hint="cs"/>
          <w:rtl/>
        </w:rPr>
        <w:t xml:space="preserve">(5) 541 (2004)]. יתרה מכך, באזור השרון ישנה "מכת אזור", של החזקת כלי נשק רבים בידי אנשים בלתי מורשים, וגם עניין זה מצדיק החמרה בענישה. </w:t>
      </w:r>
    </w:p>
    <w:p w14:paraId="068C6803" w14:textId="77777777" w:rsidR="000A6044" w:rsidRDefault="000A6044">
      <w:pPr>
        <w:spacing w:line="360" w:lineRule="auto"/>
        <w:ind w:left="206" w:firstLine="514"/>
        <w:jc w:val="both"/>
        <w:rPr>
          <w:rtl/>
        </w:rPr>
      </w:pPr>
    </w:p>
    <w:p w14:paraId="537EE174" w14:textId="77777777" w:rsidR="000A6044" w:rsidRDefault="00E61672">
      <w:pPr>
        <w:numPr>
          <w:ilvl w:val="0"/>
          <w:numId w:val="1"/>
        </w:numPr>
        <w:suppressAutoHyphens/>
        <w:spacing w:line="360" w:lineRule="auto"/>
        <w:ind w:left="206" w:firstLine="0"/>
        <w:jc w:val="both"/>
        <w:rPr>
          <w:rtl/>
        </w:rPr>
      </w:pPr>
      <w:r>
        <w:rPr>
          <w:rFonts w:hint="cs"/>
          <w:rtl/>
        </w:rPr>
        <w:t>משכבר נקבע הכלל לפיו במצב הדברים הרגיל יש לאסור את המבצעים עבירה זו, גם אם מדובר בעבירה ראשונה, מאחורי סורג ובריח, ואילו אורך התקופה כרוך בנסיבות הספציפיות של העושה והמעשה [</w:t>
      </w:r>
      <w:hyperlink r:id="rId15" w:history="1">
        <w:r w:rsidRPr="00E61672">
          <w:rPr>
            <w:color w:val="0000FF"/>
            <w:u w:val="single"/>
            <w:rtl/>
          </w:rPr>
          <w:t>ע"פ 5220/09</w:t>
        </w:r>
      </w:hyperlink>
      <w:r>
        <w:rPr>
          <w:rFonts w:hint="cs"/>
          <w:rtl/>
        </w:rPr>
        <w:t xml:space="preserve"> </w:t>
      </w:r>
      <w:r>
        <w:rPr>
          <w:rFonts w:hint="cs"/>
          <w:b/>
          <w:bCs/>
          <w:rtl/>
        </w:rPr>
        <w:t>עוואודה נ' מדינת ישראל</w:t>
      </w:r>
      <w:r>
        <w:rPr>
          <w:rFonts w:hint="cs"/>
          <w:rtl/>
        </w:rPr>
        <w:t xml:space="preserve"> (2009)].</w:t>
      </w:r>
    </w:p>
    <w:p w14:paraId="459BF8FB" w14:textId="77777777" w:rsidR="000A6044" w:rsidRDefault="000A6044">
      <w:pPr>
        <w:pStyle w:val="ListParagraph"/>
      </w:pPr>
    </w:p>
    <w:p w14:paraId="0BAB86DC" w14:textId="77777777" w:rsidR="000A6044" w:rsidRDefault="000A6044">
      <w:pPr>
        <w:spacing w:line="360" w:lineRule="auto"/>
        <w:ind w:left="206" w:firstLine="514"/>
        <w:jc w:val="both"/>
        <w:rPr>
          <w:rtl/>
        </w:rPr>
      </w:pPr>
    </w:p>
    <w:p w14:paraId="4E6158F3" w14:textId="77777777" w:rsidR="000A6044" w:rsidRDefault="00E61672">
      <w:pPr>
        <w:numPr>
          <w:ilvl w:val="0"/>
          <w:numId w:val="1"/>
        </w:numPr>
        <w:suppressAutoHyphens/>
        <w:spacing w:line="360" w:lineRule="auto"/>
        <w:ind w:left="206" w:firstLine="0"/>
        <w:jc w:val="both"/>
        <w:rPr>
          <w:rtl/>
        </w:rPr>
      </w:pPr>
      <w:r>
        <w:rPr>
          <w:rFonts w:hint="cs"/>
          <w:rtl/>
        </w:rPr>
        <w:t xml:space="preserve">הנאשם החזיק במשך מספר שנים אקדח שמספרו מחוק ועמו מחסנית תואמת מלאה בכדורים. הנאשם טען כי החזיק באקדח לצורך הגנה עצמית, בשל אירוע ירי שהתרחש בשנת 2010. אין לקבל טענה זו, ראשית משום שאזרחי המדינה אינם רשאים בשום מקרה להחזיק בכלי יריה ללא הרשאה, ושנית משום שהאקדח נתפס ברשות הנאשם שלוש שנים מאוחר יותר. לא מדובר אפוא בתגובה ספונטנית לאירוע טראומתי אלא בדפוס התנהגות קבוע. </w:t>
      </w:r>
    </w:p>
    <w:p w14:paraId="079E3082" w14:textId="77777777" w:rsidR="000A6044" w:rsidRDefault="000A6044">
      <w:pPr>
        <w:spacing w:line="360" w:lineRule="auto"/>
        <w:ind w:left="206" w:firstLine="514"/>
        <w:jc w:val="both"/>
        <w:rPr>
          <w:rtl/>
        </w:rPr>
      </w:pPr>
    </w:p>
    <w:p w14:paraId="5AB7909D" w14:textId="77777777" w:rsidR="000A6044" w:rsidRDefault="00E61672">
      <w:pPr>
        <w:numPr>
          <w:ilvl w:val="0"/>
          <w:numId w:val="1"/>
        </w:numPr>
        <w:suppressAutoHyphens/>
        <w:spacing w:line="360" w:lineRule="auto"/>
        <w:ind w:left="206" w:firstLine="0"/>
        <w:jc w:val="both"/>
        <w:rPr>
          <w:rtl/>
        </w:rPr>
      </w:pPr>
      <w:r>
        <w:rPr>
          <w:rFonts w:hint="cs"/>
          <w:rtl/>
        </w:rPr>
        <w:t xml:space="preserve">בשים לב למכלול נסיבות המעשה, ובין היתר ההחזקה הממושכת באקדח, במחסנית ובכדורים, ולרמת הענישה הנוהגת בתחום זה, הנני סבור כי מתחם העונש ההולם במקרה זה הוא בין 10 ל-24 חודשי מאסר בפועל. </w:t>
      </w:r>
    </w:p>
    <w:p w14:paraId="4F33C960" w14:textId="77777777" w:rsidR="000A6044" w:rsidRDefault="000A6044">
      <w:pPr>
        <w:spacing w:line="360" w:lineRule="auto"/>
        <w:ind w:left="206" w:firstLine="514"/>
        <w:jc w:val="both"/>
        <w:rPr>
          <w:rtl/>
        </w:rPr>
      </w:pPr>
    </w:p>
    <w:p w14:paraId="10C148C3" w14:textId="77777777" w:rsidR="000A6044" w:rsidRDefault="00E61672">
      <w:pPr>
        <w:numPr>
          <w:ilvl w:val="0"/>
          <w:numId w:val="1"/>
        </w:numPr>
        <w:suppressAutoHyphens/>
        <w:spacing w:line="360" w:lineRule="auto"/>
        <w:ind w:left="206" w:firstLine="0"/>
        <w:jc w:val="both"/>
      </w:pPr>
      <w:r>
        <w:rPr>
          <w:rFonts w:hint="cs"/>
          <w:rtl/>
        </w:rPr>
        <w:t xml:space="preserve">במסגרת ההכרעה איזה </w:t>
      </w:r>
      <w:bookmarkStart w:id="8" w:name="_GoBack"/>
      <w:bookmarkEnd w:id="8"/>
      <w:r>
        <w:rPr>
          <w:rFonts w:hint="cs"/>
          <w:rtl/>
        </w:rPr>
        <w:t>עונש יושת על הנאשם אתן מקום לנסיבותיו האישיות כפי שתוארו על ידי בא כוחו, להודאתו מבלי שניהל משפט, למצבו הכלכלי ולמצבם של בני משפחתו. בצד זה, עליי לתת משקל לעובדה כי הנאשם כבר הורשע בעבר בעבירה זהה וריצה עונש מאסר ממושך אשר לא הרתיעו מלשוב ולהחזיק בנשק.</w:t>
      </w:r>
    </w:p>
    <w:p w14:paraId="62110EFE" w14:textId="77777777" w:rsidR="000A6044" w:rsidRDefault="000A6044">
      <w:pPr>
        <w:spacing w:line="360" w:lineRule="auto"/>
        <w:ind w:left="720" w:hanging="720"/>
        <w:jc w:val="both"/>
        <w:rPr>
          <w:rtl/>
        </w:rPr>
      </w:pPr>
    </w:p>
    <w:p w14:paraId="43792248" w14:textId="77777777" w:rsidR="000A6044" w:rsidRDefault="00E61672">
      <w:pPr>
        <w:numPr>
          <w:ilvl w:val="0"/>
          <w:numId w:val="1"/>
        </w:numPr>
        <w:suppressAutoHyphens/>
        <w:spacing w:line="360" w:lineRule="auto"/>
        <w:ind w:left="206" w:firstLine="0"/>
        <w:jc w:val="both"/>
        <w:rPr>
          <w:rtl/>
        </w:rPr>
      </w:pPr>
      <w:r>
        <w:rPr>
          <w:rFonts w:hint="cs"/>
          <w:rtl/>
        </w:rPr>
        <w:t>לאחר ששקלתי את מלוא הנסיבות לחומרה ולקולה, עיינתי בגזרי הדין שהוגשו לי על ידי ב"כ הצדדים, הדרכתי עצמי מפסיקת בית המשפט העליון וממגמת ההחמרה המובהקת בעבירות הנשק העולה ממנה, ונתתי דעתי לטווח הענישה המוסכם, הריני גוזר על הנאשם את העונשים הבאים:</w:t>
      </w:r>
    </w:p>
    <w:p w14:paraId="1924EF3D" w14:textId="77777777" w:rsidR="000A6044" w:rsidRDefault="000A6044">
      <w:pPr>
        <w:spacing w:line="360" w:lineRule="auto"/>
        <w:ind w:left="206"/>
        <w:jc w:val="both"/>
        <w:rPr>
          <w:rtl/>
        </w:rPr>
      </w:pPr>
    </w:p>
    <w:p w14:paraId="38FAAAC9" w14:textId="77777777" w:rsidR="000A6044" w:rsidRDefault="00E61672">
      <w:pPr>
        <w:spacing w:line="360" w:lineRule="auto"/>
        <w:ind w:left="1236" w:hanging="516"/>
        <w:jc w:val="both"/>
        <w:rPr>
          <w:rtl/>
        </w:rPr>
      </w:pPr>
      <w:r>
        <w:rPr>
          <w:rFonts w:hint="cs"/>
          <w:rtl/>
        </w:rPr>
        <w:t xml:space="preserve">א. </w:t>
      </w:r>
      <w:r>
        <w:rPr>
          <w:rFonts w:hint="cs"/>
          <w:rtl/>
        </w:rPr>
        <w:tab/>
        <w:t>14 חודשי מאסר לריצוי בפועל, בניכוי ימי מעצרו של הנאשם מיום 28.9.2013 ועד ליום 28.11.2013</w:t>
      </w:r>
    </w:p>
    <w:p w14:paraId="0376C0A2" w14:textId="77777777" w:rsidR="000A6044" w:rsidRDefault="000A6044">
      <w:pPr>
        <w:spacing w:line="360" w:lineRule="auto"/>
        <w:ind w:left="1236" w:hanging="516"/>
        <w:jc w:val="both"/>
        <w:rPr>
          <w:rtl/>
        </w:rPr>
      </w:pPr>
    </w:p>
    <w:p w14:paraId="7DC8B1A2" w14:textId="77777777" w:rsidR="000A6044" w:rsidRDefault="00E61672">
      <w:pPr>
        <w:spacing w:line="360" w:lineRule="auto"/>
        <w:ind w:left="1236" w:hanging="516"/>
        <w:jc w:val="both"/>
        <w:rPr>
          <w:rtl/>
        </w:rPr>
      </w:pPr>
      <w:r>
        <w:rPr>
          <w:rFonts w:hint="cs"/>
          <w:rtl/>
        </w:rPr>
        <w:t xml:space="preserve">ב. </w:t>
      </w:r>
      <w:r>
        <w:rPr>
          <w:rFonts w:hint="cs"/>
          <w:rtl/>
        </w:rPr>
        <w:tab/>
        <w:t>9 חודשי מאסר על-תנאי למשך שלוש שנים, שלא יעבור עבירת נשק, או עבירה שנעברה תוך שימוש בנשק.</w:t>
      </w:r>
    </w:p>
    <w:p w14:paraId="17538931" w14:textId="77777777" w:rsidR="000A6044" w:rsidRDefault="000A6044">
      <w:pPr>
        <w:spacing w:line="360" w:lineRule="auto"/>
        <w:ind w:left="1236" w:hanging="516"/>
        <w:jc w:val="both"/>
        <w:rPr>
          <w:rtl/>
        </w:rPr>
      </w:pPr>
    </w:p>
    <w:p w14:paraId="7AC2E1A8" w14:textId="77777777" w:rsidR="000A6044" w:rsidRDefault="000A6044">
      <w:pPr>
        <w:rPr>
          <w:sz w:val="26"/>
          <w:szCs w:val="26"/>
          <w:rtl/>
        </w:rPr>
      </w:pPr>
    </w:p>
    <w:p w14:paraId="2157E777" w14:textId="77777777" w:rsidR="000A6044" w:rsidRDefault="00E61672">
      <w:pPr>
        <w:spacing w:line="360" w:lineRule="auto"/>
        <w:ind w:left="720"/>
        <w:jc w:val="both"/>
        <w:rPr>
          <w:b/>
          <w:bCs/>
          <w:rtl/>
        </w:rPr>
      </w:pPr>
      <w:r>
        <w:rPr>
          <w:rFonts w:hint="cs"/>
          <w:b/>
          <w:bCs/>
          <w:rtl/>
        </w:rPr>
        <w:t>נוכח העובדה כי הנאשם נשלח לרצות עונש מאסר לא קצר, ובשל מצבו הכלכלי, החלטתי להימנע במקרה זה מלחייבו בקנס.</w:t>
      </w:r>
    </w:p>
    <w:p w14:paraId="44577667" w14:textId="77777777" w:rsidR="000A6044" w:rsidRDefault="000A6044">
      <w:pPr>
        <w:rPr>
          <w:sz w:val="26"/>
          <w:szCs w:val="26"/>
          <w:rtl/>
        </w:rPr>
      </w:pPr>
    </w:p>
    <w:p w14:paraId="6A6633C5" w14:textId="77777777" w:rsidR="000A6044" w:rsidRDefault="000A6044">
      <w:pPr>
        <w:rPr>
          <w:sz w:val="26"/>
          <w:szCs w:val="26"/>
          <w:rtl/>
        </w:rPr>
      </w:pPr>
    </w:p>
    <w:p w14:paraId="6DDCEB0C" w14:textId="77777777" w:rsidR="000A6044" w:rsidRDefault="00E61672">
      <w:pPr>
        <w:rPr>
          <w:b/>
          <w:bCs/>
          <w:sz w:val="26"/>
          <w:szCs w:val="26"/>
          <w:rtl/>
        </w:rPr>
      </w:pPr>
      <w:r>
        <w:rPr>
          <w:rFonts w:hint="cs"/>
          <w:b/>
          <w:bCs/>
          <w:sz w:val="26"/>
          <w:szCs w:val="26"/>
          <w:rtl/>
        </w:rPr>
        <w:t>זכות ערעור לבית המשפט המחוזי תוך 45 יום.</w:t>
      </w:r>
    </w:p>
    <w:p w14:paraId="4F322D6F" w14:textId="77777777" w:rsidR="000A6044" w:rsidRDefault="000A6044">
      <w:pPr>
        <w:rPr>
          <w:b/>
          <w:bCs/>
          <w:sz w:val="26"/>
          <w:szCs w:val="26"/>
          <w:rtl/>
        </w:rPr>
      </w:pPr>
    </w:p>
    <w:p w14:paraId="5305E1C0" w14:textId="77777777" w:rsidR="000A6044" w:rsidRPr="00E61672" w:rsidRDefault="00E61672">
      <w:pPr>
        <w:rPr>
          <w:b/>
          <w:bCs/>
          <w:color w:val="FFFFFF"/>
          <w:sz w:val="2"/>
          <w:szCs w:val="2"/>
          <w:rtl/>
        </w:rPr>
      </w:pPr>
      <w:r w:rsidRPr="00E61672">
        <w:rPr>
          <w:b/>
          <w:bCs/>
          <w:color w:val="FFFFFF"/>
          <w:sz w:val="2"/>
          <w:szCs w:val="2"/>
          <w:rtl/>
        </w:rPr>
        <w:t>5129371</w:t>
      </w:r>
    </w:p>
    <w:p w14:paraId="23B26834" w14:textId="77777777" w:rsidR="000A6044" w:rsidRDefault="00E61672">
      <w:pPr>
        <w:jc w:val="center"/>
      </w:pPr>
      <w:r w:rsidRPr="00E61672">
        <w:rPr>
          <w:b/>
          <w:bCs/>
          <w:color w:val="FFFFFF"/>
          <w:sz w:val="2"/>
          <w:szCs w:val="2"/>
          <w:rtl/>
        </w:rPr>
        <w:t>54678313</w:t>
      </w:r>
      <w:r>
        <w:rPr>
          <w:b/>
          <w:bCs/>
          <w:rtl/>
        </w:rPr>
        <w:t xml:space="preserve">ניתן היום ג' סיוון תשע"ד, 01/06/2014 במעמד הנוכחים. </w:t>
      </w:r>
      <w:r>
        <w:rPr>
          <w:rFonts w:ascii="Arial" w:hAnsi="Arial" w:hint="cs"/>
          <w:sz w:val="28"/>
          <w:szCs w:val="28"/>
          <w:rtl/>
        </w:rPr>
        <w:t xml:space="preserve">                                                                         </w:t>
      </w:r>
    </w:p>
    <w:p w14:paraId="0E546A7C" w14:textId="77777777" w:rsidR="000A6044" w:rsidRDefault="000A6044">
      <w:pPr>
        <w:jc w:val="center"/>
        <w:rPr>
          <w:rFonts w:ascii="Arial" w:hAnsi="Arial"/>
          <w:sz w:val="28"/>
          <w:szCs w:val="28"/>
          <w:rtl/>
        </w:rPr>
      </w:pPr>
    </w:p>
    <w:p w14:paraId="5785D77C" w14:textId="77777777" w:rsidR="000A6044" w:rsidRDefault="000A6044">
      <w:pPr>
        <w:rPr>
          <w:sz w:val="28"/>
          <w:szCs w:val="28"/>
          <w:rtl/>
        </w:rPr>
      </w:pPr>
    </w:p>
    <w:p w14:paraId="44A891FA" w14:textId="77777777" w:rsidR="000A6044" w:rsidRDefault="000A6044">
      <w:pPr>
        <w:pStyle w:val="a3"/>
        <w:jc w:val="center"/>
        <w:rPr>
          <w:rtl/>
        </w:rPr>
      </w:pPr>
    </w:p>
    <w:p w14:paraId="11F50D2C" w14:textId="77777777" w:rsidR="000A6044" w:rsidRDefault="000A6044">
      <w:pPr>
        <w:rPr>
          <w:rFonts w:ascii="Arial" w:hAnsi="Arial" w:cs="FrankRuehl"/>
          <w:sz w:val="28"/>
          <w:szCs w:val="28"/>
        </w:rPr>
      </w:pPr>
    </w:p>
    <w:p w14:paraId="0107134D" w14:textId="77777777" w:rsidR="00E61672" w:rsidRPr="00E61672" w:rsidRDefault="00E61672" w:rsidP="00E61672">
      <w:pPr>
        <w:keepNext/>
        <w:rPr>
          <w:rFonts w:ascii="David" w:hAnsi="David"/>
          <w:color w:val="000000"/>
          <w:sz w:val="22"/>
          <w:szCs w:val="22"/>
          <w:rtl/>
        </w:rPr>
      </w:pPr>
    </w:p>
    <w:p w14:paraId="077C1AF0" w14:textId="77777777" w:rsidR="00E61672" w:rsidRPr="00E61672" w:rsidRDefault="00E61672" w:rsidP="00E61672">
      <w:pPr>
        <w:keepNext/>
        <w:rPr>
          <w:rFonts w:ascii="David" w:hAnsi="David"/>
          <w:color w:val="000000"/>
          <w:sz w:val="22"/>
          <w:szCs w:val="22"/>
          <w:rtl/>
        </w:rPr>
      </w:pPr>
      <w:r w:rsidRPr="00E61672">
        <w:rPr>
          <w:rFonts w:ascii="David" w:hAnsi="David"/>
          <w:color w:val="000000"/>
          <w:sz w:val="22"/>
          <w:szCs w:val="22"/>
          <w:rtl/>
        </w:rPr>
        <w:t>מיכאל קרשן 54678313</w:t>
      </w:r>
    </w:p>
    <w:p w14:paraId="3F2211E0" w14:textId="77777777" w:rsidR="00E61672" w:rsidRDefault="00E61672" w:rsidP="00E61672">
      <w:r w:rsidRPr="00E61672">
        <w:rPr>
          <w:color w:val="000000"/>
          <w:rtl/>
        </w:rPr>
        <w:t>נוסח מסמך זה כפוף לשינויי ניסוח ועריכה</w:t>
      </w:r>
    </w:p>
    <w:p w14:paraId="1914958F" w14:textId="77777777" w:rsidR="00E61672" w:rsidRDefault="00E61672" w:rsidP="00E61672">
      <w:pPr>
        <w:rPr>
          <w:rtl/>
        </w:rPr>
      </w:pPr>
    </w:p>
    <w:p w14:paraId="45BA3C35" w14:textId="77777777" w:rsidR="00E61672" w:rsidRDefault="00E61672" w:rsidP="00E61672">
      <w:pPr>
        <w:jc w:val="center"/>
        <w:rPr>
          <w:color w:val="0000FF"/>
          <w:u w:val="single"/>
        </w:rPr>
      </w:pPr>
      <w:hyperlink r:id="rId16" w:history="1">
        <w:r>
          <w:rPr>
            <w:color w:val="0000FF"/>
            <w:u w:val="single"/>
            <w:rtl/>
          </w:rPr>
          <w:t>בעניין עריכה ושינויים במסמכי פסיקה, חקיקה ועוד באתר נבו – הקש כאן</w:t>
        </w:r>
      </w:hyperlink>
    </w:p>
    <w:p w14:paraId="14A48C02" w14:textId="77777777" w:rsidR="000A6044" w:rsidRPr="00E61672" w:rsidRDefault="000A6044" w:rsidP="00E61672">
      <w:pPr>
        <w:jc w:val="center"/>
        <w:rPr>
          <w:color w:val="0000FF"/>
          <w:u w:val="single"/>
        </w:rPr>
      </w:pPr>
    </w:p>
    <w:sectPr w:rsidR="000A6044" w:rsidRPr="00E61672" w:rsidSect="00E61672">
      <w:headerReference w:type="even" r:id="rId17"/>
      <w:headerReference w:type="default" r:id="rId18"/>
      <w:footerReference w:type="even" r:id="rId19"/>
      <w:footerReference w:type="default" r:id="rId2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DB6EE0" w14:textId="77777777" w:rsidR="009156C2" w:rsidRPr="00D15661" w:rsidRDefault="009156C2">
      <w:pPr>
        <w:rPr>
          <w:rFonts w:cs="Arial"/>
          <w:szCs w:val="20"/>
        </w:rPr>
      </w:pPr>
      <w:r>
        <w:separator/>
      </w:r>
    </w:p>
  </w:endnote>
  <w:endnote w:type="continuationSeparator" w:id="0">
    <w:p w14:paraId="5CF0B77F" w14:textId="77777777" w:rsidR="009156C2" w:rsidRPr="00D15661" w:rsidRDefault="009156C2">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C6C1C" w14:textId="77777777" w:rsidR="00E61672" w:rsidRDefault="00E61672" w:rsidP="00E6167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0CC4F48" w14:textId="77777777" w:rsidR="000A6044" w:rsidRPr="00E61672" w:rsidRDefault="00E61672" w:rsidP="00E61672">
    <w:pPr>
      <w:pStyle w:val="a4"/>
      <w:pBdr>
        <w:top w:val="single" w:sz="4" w:space="1" w:color="auto"/>
        <w:between w:val="single" w:sz="4" w:space="0" w:color="auto"/>
      </w:pBdr>
      <w:spacing w:after="60"/>
      <w:jc w:val="center"/>
      <w:rPr>
        <w:rFonts w:ascii="FrankRuehl" w:hAnsi="FrankRuehl" w:cs="FrankRuehl"/>
        <w:color w:val="000000"/>
      </w:rPr>
    </w:pPr>
    <w:r w:rsidRPr="00E6167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E6DA0" w14:textId="77777777" w:rsidR="00E61672" w:rsidRDefault="00E61672" w:rsidP="00E6167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64FBD">
      <w:rPr>
        <w:rFonts w:ascii="FrankRuehl" w:hAnsi="FrankRuehl" w:cs="FrankRuehl"/>
        <w:noProof/>
        <w:rtl/>
      </w:rPr>
      <w:t>1</w:t>
    </w:r>
    <w:r>
      <w:rPr>
        <w:rFonts w:ascii="FrankRuehl" w:hAnsi="FrankRuehl" w:cs="FrankRuehl"/>
        <w:rtl/>
      </w:rPr>
      <w:fldChar w:fldCharType="end"/>
    </w:r>
  </w:p>
  <w:p w14:paraId="30D06ACB" w14:textId="77777777" w:rsidR="000A6044" w:rsidRPr="00E61672" w:rsidRDefault="00E61672" w:rsidP="00E61672">
    <w:pPr>
      <w:pStyle w:val="a4"/>
      <w:pBdr>
        <w:top w:val="single" w:sz="4" w:space="1" w:color="auto"/>
        <w:between w:val="single" w:sz="4" w:space="0" w:color="auto"/>
      </w:pBdr>
      <w:spacing w:after="60"/>
      <w:jc w:val="center"/>
      <w:rPr>
        <w:rFonts w:ascii="FrankRuehl" w:hAnsi="FrankRuehl" w:cs="FrankRuehl"/>
        <w:color w:val="000000"/>
      </w:rPr>
    </w:pPr>
    <w:r w:rsidRPr="00E61672">
      <w:rPr>
        <w:rFonts w:ascii="FrankRuehl" w:hAnsi="FrankRuehl" w:cs="FrankRuehl"/>
        <w:color w:val="000000"/>
      </w:rPr>
      <w:pict w14:anchorId="23503E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CEAEE7" w14:textId="77777777" w:rsidR="009156C2" w:rsidRPr="00D15661" w:rsidRDefault="009156C2">
      <w:pPr>
        <w:rPr>
          <w:rFonts w:cs="Arial"/>
          <w:szCs w:val="20"/>
        </w:rPr>
      </w:pPr>
      <w:r>
        <w:separator/>
      </w:r>
    </w:p>
  </w:footnote>
  <w:footnote w:type="continuationSeparator" w:id="0">
    <w:p w14:paraId="0D81CEAF" w14:textId="77777777" w:rsidR="009156C2" w:rsidRPr="00D15661" w:rsidRDefault="009156C2">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BBCE1" w14:textId="77777777" w:rsidR="00E61672" w:rsidRPr="00E61672" w:rsidRDefault="00E61672" w:rsidP="00E6167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3424-10-13</w:t>
    </w:r>
    <w:r>
      <w:rPr>
        <w:rFonts w:ascii="David" w:hAnsi="David"/>
        <w:color w:val="000000"/>
        <w:sz w:val="22"/>
        <w:szCs w:val="22"/>
        <w:rtl/>
      </w:rPr>
      <w:tab/>
      <w:t xml:space="preserve"> מדינת ישראל נ' וויסאם עאזם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BB13BF" w14:textId="77777777" w:rsidR="00E61672" w:rsidRPr="00E61672" w:rsidRDefault="00E61672" w:rsidP="00E6167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3424-10-13</w:t>
    </w:r>
    <w:r>
      <w:rPr>
        <w:rFonts w:ascii="David" w:hAnsi="David"/>
        <w:color w:val="000000"/>
        <w:sz w:val="22"/>
        <w:szCs w:val="22"/>
        <w:rtl/>
      </w:rPr>
      <w:tab/>
      <w:t xml:space="preserve"> מדינת ישראל נ' וויסאם עאזם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1"/>
    <w:lvl w:ilvl="0">
      <w:start w:val="1"/>
      <w:numFmt w:val="decimal"/>
      <w:lvlText w:val="%1."/>
      <w:lvlJc w:val="left"/>
      <w:pPr>
        <w:tabs>
          <w:tab w:val="num" w:pos="0"/>
        </w:tabs>
        <w:ind w:left="720" w:hanging="360"/>
      </w:pPr>
    </w:lvl>
  </w:abstractNum>
  <w:num w:numId="1" w16cid:durableId="114046467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A6044"/>
    <w:rsid w:val="00077E5A"/>
    <w:rsid w:val="000A6044"/>
    <w:rsid w:val="00664FBD"/>
    <w:rsid w:val="00673899"/>
    <w:rsid w:val="00904D7C"/>
    <w:rsid w:val="009156C2"/>
    <w:rsid w:val="00E616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31A2A563"/>
  <w15:chartTrackingRefBased/>
  <w15:docId w15:val="{C2233A0A-A984-4ABA-8959-00D52017D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A6044"/>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A6044"/>
    <w:pPr>
      <w:tabs>
        <w:tab w:val="center" w:pos="4153"/>
        <w:tab w:val="right" w:pos="8306"/>
      </w:tabs>
    </w:pPr>
  </w:style>
  <w:style w:type="paragraph" w:styleId="a4">
    <w:name w:val="footer"/>
    <w:basedOn w:val="a"/>
    <w:rsid w:val="000A6044"/>
    <w:pPr>
      <w:tabs>
        <w:tab w:val="center" w:pos="4153"/>
        <w:tab w:val="right" w:pos="8306"/>
      </w:tabs>
    </w:pPr>
  </w:style>
  <w:style w:type="character" w:styleId="a5">
    <w:name w:val="page number"/>
    <w:basedOn w:val="a0"/>
    <w:rsid w:val="000A6044"/>
  </w:style>
  <w:style w:type="paragraph" w:customStyle="1" w:styleId="ListParagraph">
    <w:name w:val="List Paragraph"/>
    <w:basedOn w:val="a"/>
    <w:rsid w:val="000A6044"/>
    <w:pPr>
      <w:suppressAutoHyphens/>
      <w:ind w:left="720"/>
    </w:pPr>
    <w:rPr>
      <w:rFonts w:ascii="Arial (W1)" w:hAnsi="Arial (W1)"/>
      <w:lang w:eastAsia="he-IL"/>
    </w:rPr>
  </w:style>
  <w:style w:type="character" w:styleId="Hyperlink">
    <w:name w:val="Hyperlink"/>
    <w:basedOn w:val="a0"/>
    <w:rsid w:val="000A60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5859902"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nevo.co.il/law/70301" TargetMode="External"/><Relationship Id="rId12" Type="http://schemas.openxmlformats.org/officeDocument/2006/relationships/hyperlink" Target="http://www.nevo.co.il/case/5887827"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5852404" TargetMode="External"/><Relationship Id="rId5" Type="http://schemas.openxmlformats.org/officeDocument/2006/relationships/footnotes" Target="footnotes.xml"/><Relationship Id="rId15" Type="http://schemas.openxmlformats.org/officeDocument/2006/relationships/hyperlink" Target="http://www.nevo.co.il/case/6000182" TargetMode="External"/><Relationship Id="rId10" Type="http://schemas.openxmlformats.org/officeDocument/2006/relationships/hyperlink" Target="http://www.nevo.co.il/law/70301"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inks/psika/?link=&#1506;&#1508;%201332/04&amp;Pvol=&#1504;&#1495;"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957</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5736</CharactersWithSpaces>
  <SharedDoc>false</SharedDoc>
  <HLinks>
    <vt:vector size="60" baseType="variant">
      <vt:variant>
        <vt:i4>393283</vt:i4>
      </vt:variant>
      <vt:variant>
        <vt:i4>27</vt:i4>
      </vt:variant>
      <vt:variant>
        <vt:i4>0</vt:i4>
      </vt:variant>
      <vt:variant>
        <vt:i4>5</vt:i4>
      </vt:variant>
      <vt:variant>
        <vt:lpwstr>http://www.nevo.co.il/advertisements/nevo-100.doc</vt:lpwstr>
      </vt:variant>
      <vt:variant>
        <vt:lpwstr/>
      </vt:variant>
      <vt:variant>
        <vt:i4>3473532</vt:i4>
      </vt:variant>
      <vt:variant>
        <vt:i4>24</vt:i4>
      </vt:variant>
      <vt:variant>
        <vt:i4>0</vt:i4>
      </vt:variant>
      <vt:variant>
        <vt:i4>5</vt:i4>
      </vt:variant>
      <vt:variant>
        <vt:lpwstr>http://www.nevo.co.il/case/6000182</vt:lpwstr>
      </vt:variant>
      <vt:variant>
        <vt:lpwstr/>
      </vt:variant>
      <vt:variant>
        <vt:i4>1638496</vt:i4>
      </vt:variant>
      <vt:variant>
        <vt:i4>21</vt:i4>
      </vt:variant>
      <vt:variant>
        <vt:i4>0</vt:i4>
      </vt:variant>
      <vt:variant>
        <vt:i4>5</vt:i4>
      </vt:variant>
      <vt:variant>
        <vt:lpwstr>http://www.nevo.co.il/links/psika/?link=עפ 1332/04&amp;Pvol=נח</vt:lpwstr>
      </vt:variant>
      <vt:variant>
        <vt:lpwstr/>
      </vt:variant>
      <vt:variant>
        <vt:i4>3866741</vt:i4>
      </vt:variant>
      <vt:variant>
        <vt:i4>18</vt:i4>
      </vt:variant>
      <vt:variant>
        <vt:i4>0</vt:i4>
      </vt:variant>
      <vt:variant>
        <vt:i4>5</vt:i4>
      </vt:variant>
      <vt:variant>
        <vt:lpwstr>http://www.nevo.co.il/case/5859902</vt:lpwstr>
      </vt:variant>
      <vt:variant>
        <vt:lpwstr/>
      </vt:variant>
      <vt:variant>
        <vt:i4>3276921</vt:i4>
      </vt:variant>
      <vt:variant>
        <vt:i4>15</vt:i4>
      </vt:variant>
      <vt:variant>
        <vt:i4>0</vt:i4>
      </vt:variant>
      <vt:variant>
        <vt:i4>5</vt:i4>
      </vt:variant>
      <vt:variant>
        <vt:lpwstr>http://www.nevo.co.il/case/5887827</vt:lpwstr>
      </vt:variant>
      <vt:variant>
        <vt:lpwstr/>
      </vt:variant>
      <vt:variant>
        <vt:i4>3145854</vt:i4>
      </vt:variant>
      <vt:variant>
        <vt:i4>12</vt:i4>
      </vt:variant>
      <vt:variant>
        <vt:i4>0</vt:i4>
      </vt:variant>
      <vt:variant>
        <vt:i4>5</vt:i4>
      </vt:variant>
      <vt:variant>
        <vt:lpwstr>http://www.nevo.co.il/case/5852404</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2025-01-19T17:33:00Z</dcterms:created>
  <dcterms:modified xsi:type="dcterms:W3CDTF">2025-01-19T17:33:00Z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3424</vt:lpwstr>
  </property>
  <property fmtid="{D5CDD505-2E9C-101B-9397-08002B2CF9AE}" pid="6" name="NEWPARTB">
    <vt:lpwstr>10</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וויסאם עאזם</vt:lpwstr>
  </property>
  <property fmtid="{D5CDD505-2E9C-101B-9397-08002B2CF9AE}" pid="10" name="LAWYER">
    <vt:lpwstr>פאדי אסעד;אוהד מגורי</vt:lpwstr>
  </property>
  <property fmtid="{D5CDD505-2E9C-101B-9397-08002B2CF9AE}" pid="11" name="JUDGE">
    <vt:lpwstr>מיכאל קרשן</vt:lpwstr>
  </property>
  <property fmtid="{D5CDD505-2E9C-101B-9397-08002B2CF9AE}" pid="12" name="CITY">
    <vt:lpwstr>כ"ס</vt:lpwstr>
  </property>
  <property fmtid="{D5CDD505-2E9C-101B-9397-08002B2CF9AE}" pid="13" name="DATE">
    <vt:lpwstr>20140601</vt:lpwstr>
  </property>
  <property fmtid="{D5CDD505-2E9C-101B-9397-08002B2CF9AE}" pid="14" name="TYPE_N_DATE">
    <vt:lpwstr>38020140601</vt:lpwstr>
  </property>
  <property fmtid="{D5CDD505-2E9C-101B-9397-08002B2CF9AE}" pid="15" name="CASESLISTTMP1">
    <vt:lpwstr>5852404;5887827;5859902;6000182</vt:lpwstr>
  </property>
  <property fmtid="{D5CDD505-2E9C-101B-9397-08002B2CF9AE}" pid="16" name="CASENOTES1">
    <vt:lpwstr>ProcID=133;209&amp;PartA=1332&amp;PartC=04</vt:lpwstr>
  </property>
  <property fmtid="{D5CDD505-2E9C-101B-9397-08002B2CF9AE}" pid="17" name="WORDNUMPAGES">
    <vt:lpwstr>4</vt:lpwstr>
  </property>
  <property fmtid="{D5CDD505-2E9C-101B-9397-08002B2CF9AE}" pid="18" name="TYPE_ABS_DATE">
    <vt:lpwstr>380020140601</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70301/144.a</vt:lpwstr>
  </property>
</Properties>
</file>