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F851EF" w:rsidRPr="00F4571A" w14:paraId="3588FAB6" w14:textId="77777777">
        <w:trPr>
          <w:trHeight w:hRule="exact" w:val="418"/>
          <w:jc w:val="center"/>
        </w:trPr>
        <w:tc>
          <w:tcPr>
            <w:tcW w:w="8721" w:type="dxa"/>
            <w:gridSpan w:val="2"/>
          </w:tcPr>
          <w:p w14:paraId="03858D43" w14:textId="77777777" w:rsidR="00F851EF" w:rsidRPr="00F4571A" w:rsidRDefault="00F4571A">
            <w:pPr>
              <w:pStyle w:val="a3"/>
              <w:jc w:val="center"/>
              <w:rPr>
                <w:rFonts w:ascii="Tahoma" w:hAnsi="Tahoma" w:cs="Tahoma"/>
                <w:color w:val="000080"/>
                <w:rtl/>
              </w:rPr>
            </w:pPr>
            <w:bookmarkStart w:id="0" w:name="LastJudge"/>
            <w:r w:rsidRPr="00F4571A">
              <w:rPr>
                <w:rFonts w:ascii="Tahoma" w:hAnsi="Tahoma" w:cs="Tahoma"/>
                <w:b/>
                <w:bCs/>
                <w:color w:val="000080"/>
                <w:rtl/>
              </w:rPr>
              <w:t>בית משפט השלום בכפר סבא</w:t>
            </w:r>
          </w:p>
        </w:tc>
      </w:tr>
      <w:tr w:rsidR="00F851EF" w:rsidRPr="00F4571A" w14:paraId="23BFA584" w14:textId="77777777">
        <w:trPr>
          <w:trHeight w:val="337"/>
          <w:jc w:val="center"/>
        </w:trPr>
        <w:tc>
          <w:tcPr>
            <w:tcW w:w="5063" w:type="dxa"/>
          </w:tcPr>
          <w:p w14:paraId="6306FADF" w14:textId="77777777" w:rsidR="00F851EF" w:rsidRPr="00F4571A" w:rsidRDefault="00F4571A">
            <w:pPr>
              <w:rPr>
                <w:rFonts w:cs="FrankRuehl"/>
                <w:sz w:val="28"/>
                <w:szCs w:val="28"/>
                <w:rtl/>
              </w:rPr>
            </w:pPr>
            <w:r w:rsidRPr="00F4571A">
              <w:rPr>
                <w:rFonts w:cs="FrankRuehl"/>
                <w:sz w:val="28"/>
                <w:szCs w:val="28"/>
                <w:rtl/>
              </w:rPr>
              <w:t>ת"פ</w:t>
            </w:r>
            <w:r w:rsidRPr="00F4571A">
              <w:rPr>
                <w:rFonts w:cs="FrankRuehl" w:hint="cs"/>
                <w:sz w:val="28"/>
                <w:szCs w:val="28"/>
                <w:rtl/>
              </w:rPr>
              <w:t xml:space="preserve"> </w:t>
            </w:r>
            <w:r w:rsidRPr="00F4571A">
              <w:rPr>
                <w:rFonts w:cs="FrankRuehl"/>
                <w:sz w:val="28"/>
                <w:szCs w:val="28"/>
                <w:rtl/>
              </w:rPr>
              <w:t>17618-11-13</w:t>
            </w:r>
            <w:r w:rsidRPr="00F4571A">
              <w:rPr>
                <w:rFonts w:cs="FrankRuehl" w:hint="cs"/>
                <w:sz w:val="28"/>
                <w:szCs w:val="28"/>
                <w:rtl/>
              </w:rPr>
              <w:t xml:space="preserve"> </w:t>
            </w:r>
            <w:r w:rsidRPr="00F4571A">
              <w:rPr>
                <w:rFonts w:cs="FrankRuehl"/>
                <w:sz w:val="28"/>
                <w:szCs w:val="28"/>
                <w:rtl/>
              </w:rPr>
              <w:t>מדינת ישראל נ' אלהואשלה(עציר)</w:t>
            </w:r>
          </w:p>
          <w:p w14:paraId="1DD3264A" w14:textId="77777777" w:rsidR="00F851EF" w:rsidRPr="00F4571A" w:rsidRDefault="00F851EF">
            <w:pPr>
              <w:pStyle w:val="a3"/>
              <w:rPr>
                <w:rFonts w:cs="FrankRuehl"/>
                <w:sz w:val="28"/>
                <w:szCs w:val="28"/>
                <w:rtl/>
              </w:rPr>
            </w:pPr>
          </w:p>
        </w:tc>
        <w:tc>
          <w:tcPr>
            <w:tcW w:w="3658" w:type="dxa"/>
          </w:tcPr>
          <w:p w14:paraId="4870A03A" w14:textId="77777777" w:rsidR="00F851EF" w:rsidRPr="00F4571A" w:rsidRDefault="00F851EF">
            <w:pPr>
              <w:pStyle w:val="a3"/>
              <w:jc w:val="right"/>
              <w:rPr>
                <w:rFonts w:cs="FrankRuehl"/>
                <w:sz w:val="28"/>
                <w:szCs w:val="28"/>
                <w:rtl/>
              </w:rPr>
            </w:pPr>
          </w:p>
        </w:tc>
      </w:tr>
    </w:tbl>
    <w:p w14:paraId="0A3D87A2" w14:textId="77777777" w:rsidR="00F851EF" w:rsidRPr="00F4571A" w:rsidRDefault="00F4571A">
      <w:pPr>
        <w:pStyle w:val="a3"/>
        <w:rPr>
          <w:rtl/>
        </w:rPr>
      </w:pPr>
      <w:r w:rsidRPr="00F4571A">
        <w:rPr>
          <w:rFonts w:hint="cs"/>
          <w:rtl/>
        </w:rPr>
        <w:t xml:space="preserve"> </w:t>
      </w:r>
    </w:p>
    <w:p w14:paraId="7588FAAF" w14:textId="77777777" w:rsidR="00F851EF" w:rsidRPr="00F4571A" w:rsidRDefault="00F4571A">
      <w:pPr>
        <w:jc w:val="right"/>
      </w:pPr>
      <w:r w:rsidRPr="00F4571A">
        <w:rPr>
          <w:rFonts w:hint="cs"/>
          <w:rtl/>
        </w:rPr>
        <w:t>12 במרץ 2014</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851EF" w:rsidRPr="00F4571A" w14:paraId="177E770F" w14:textId="77777777">
        <w:trPr>
          <w:trHeight w:val="295"/>
          <w:jc w:val="center"/>
        </w:trPr>
        <w:tc>
          <w:tcPr>
            <w:tcW w:w="923" w:type="dxa"/>
            <w:tcBorders>
              <w:top w:val="nil"/>
              <w:left w:val="nil"/>
              <w:bottom w:val="nil"/>
              <w:right w:val="nil"/>
            </w:tcBorders>
          </w:tcPr>
          <w:p w14:paraId="23060B8E" w14:textId="77777777" w:rsidR="00F851EF" w:rsidRPr="00F4571A" w:rsidRDefault="00F4571A">
            <w:pPr>
              <w:jc w:val="both"/>
              <w:rPr>
                <w:rFonts w:ascii="Arial" w:hAnsi="Arial"/>
                <w:sz w:val="28"/>
                <w:szCs w:val="28"/>
              </w:rPr>
            </w:pPr>
            <w:r w:rsidRPr="00F4571A">
              <w:rPr>
                <w:rFonts w:ascii="Arial" w:hAnsi="Arial" w:hint="cs"/>
                <w:sz w:val="28"/>
                <w:szCs w:val="28"/>
                <w:rtl/>
              </w:rPr>
              <w:t>ב</w:t>
            </w:r>
            <w:r w:rsidRPr="00F4571A">
              <w:rPr>
                <w:rFonts w:ascii="Arial" w:hAnsi="Arial"/>
                <w:sz w:val="28"/>
                <w:szCs w:val="28"/>
                <w:rtl/>
              </w:rPr>
              <w:t xml:space="preserve">פני </w:t>
            </w:r>
          </w:p>
        </w:tc>
        <w:tc>
          <w:tcPr>
            <w:tcW w:w="7897" w:type="dxa"/>
            <w:gridSpan w:val="2"/>
            <w:tcBorders>
              <w:top w:val="nil"/>
              <w:left w:val="nil"/>
              <w:bottom w:val="nil"/>
              <w:right w:val="nil"/>
            </w:tcBorders>
          </w:tcPr>
          <w:p w14:paraId="39F6035A" w14:textId="77777777" w:rsidR="00F851EF" w:rsidRPr="00F4571A" w:rsidRDefault="00F4571A">
            <w:pPr>
              <w:rPr>
                <w:rFonts w:ascii="Arial" w:hAnsi="Arial"/>
                <w:b/>
                <w:bCs/>
                <w:rtl/>
              </w:rPr>
            </w:pPr>
            <w:r w:rsidRPr="00F4571A">
              <w:rPr>
                <w:rFonts w:ascii="Arial" w:hAnsi="Arial" w:hint="cs"/>
                <w:b/>
                <w:bCs/>
                <w:rtl/>
              </w:rPr>
              <w:t>כב' ה</w:t>
            </w:r>
            <w:r w:rsidRPr="00F4571A">
              <w:rPr>
                <w:rFonts w:hint="cs"/>
                <w:rtl/>
              </w:rPr>
              <w:t>שופטת</w:t>
            </w:r>
            <w:r w:rsidRPr="00F4571A">
              <w:rPr>
                <w:rFonts w:ascii="Arial" w:hAnsi="Arial" w:hint="cs"/>
                <w:b/>
                <w:bCs/>
                <w:rtl/>
              </w:rPr>
              <w:t xml:space="preserve">  </w:t>
            </w:r>
            <w:r w:rsidRPr="00F4571A">
              <w:rPr>
                <w:rFonts w:hint="cs"/>
                <w:rtl/>
              </w:rPr>
              <w:t>נאוה בכור</w:t>
            </w:r>
          </w:p>
          <w:p w14:paraId="2DEB7973" w14:textId="77777777" w:rsidR="00F851EF" w:rsidRPr="00F4571A" w:rsidRDefault="00F851EF">
            <w:pPr>
              <w:rPr>
                <w:rtl/>
              </w:rPr>
            </w:pPr>
          </w:p>
          <w:p w14:paraId="3D9EFDE1" w14:textId="77777777" w:rsidR="00F851EF" w:rsidRPr="00F4571A" w:rsidRDefault="00F851EF">
            <w:pPr>
              <w:jc w:val="both"/>
              <w:rPr>
                <w:rFonts w:ascii="Arial" w:hAnsi="Arial"/>
                <w:sz w:val="28"/>
                <w:szCs w:val="28"/>
              </w:rPr>
            </w:pPr>
          </w:p>
        </w:tc>
      </w:tr>
      <w:tr w:rsidR="00F851EF" w:rsidRPr="00F4571A" w14:paraId="76E0632E" w14:textId="77777777">
        <w:trPr>
          <w:trHeight w:val="355"/>
          <w:jc w:val="center"/>
        </w:trPr>
        <w:tc>
          <w:tcPr>
            <w:tcW w:w="923" w:type="dxa"/>
            <w:tcBorders>
              <w:top w:val="nil"/>
              <w:left w:val="nil"/>
              <w:bottom w:val="nil"/>
              <w:right w:val="nil"/>
            </w:tcBorders>
          </w:tcPr>
          <w:p w14:paraId="69AA3783" w14:textId="77777777" w:rsidR="00F851EF" w:rsidRPr="00F4571A" w:rsidRDefault="00F4571A">
            <w:pPr>
              <w:jc w:val="both"/>
              <w:rPr>
                <w:rFonts w:ascii="Arial" w:hAnsi="Arial"/>
                <w:sz w:val="28"/>
                <w:szCs w:val="28"/>
              </w:rPr>
            </w:pPr>
            <w:bookmarkStart w:id="1" w:name="FirstAppellant"/>
            <w:r w:rsidRPr="00F4571A">
              <w:rPr>
                <w:rFonts w:ascii="Arial" w:hAnsi="Arial" w:hint="cs"/>
                <w:sz w:val="28"/>
                <w:szCs w:val="28"/>
                <w:rtl/>
              </w:rPr>
              <w:t>בעניין:</w:t>
            </w:r>
          </w:p>
        </w:tc>
        <w:tc>
          <w:tcPr>
            <w:tcW w:w="4126" w:type="dxa"/>
            <w:tcBorders>
              <w:top w:val="nil"/>
              <w:left w:val="nil"/>
              <w:bottom w:val="nil"/>
              <w:right w:val="nil"/>
            </w:tcBorders>
          </w:tcPr>
          <w:p w14:paraId="42209E37" w14:textId="77777777" w:rsidR="00F851EF" w:rsidRPr="00F4571A" w:rsidRDefault="00F4571A">
            <w:r w:rsidRPr="00F4571A">
              <w:rPr>
                <w:rFonts w:hint="cs"/>
                <w:rtl/>
              </w:rPr>
              <w:t>מדינת ישראל</w:t>
            </w:r>
          </w:p>
        </w:tc>
        <w:tc>
          <w:tcPr>
            <w:tcW w:w="3771" w:type="dxa"/>
            <w:tcBorders>
              <w:top w:val="nil"/>
              <w:left w:val="nil"/>
              <w:bottom w:val="nil"/>
              <w:right w:val="nil"/>
            </w:tcBorders>
          </w:tcPr>
          <w:p w14:paraId="786286F5" w14:textId="77777777" w:rsidR="00F851EF" w:rsidRPr="00F4571A" w:rsidRDefault="00F851EF">
            <w:pPr>
              <w:jc w:val="both"/>
              <w:rPr>
                <w:rFonts w:ascii="Arial" w:hAnsi="Arial"/>
                <w:sz w:val="28"/>
                <w:szCs w:val="28"/>
              </w:rPr>
            </w:pPr>
          </w:p>
        </w:tc>
      </w:tr>
      <w:bookmarkEnd w:id="1"/>
      <w:tr w:rsidR="00F851EF" w:rsidRPr="00F4571A" w14:paraId="6AAEF4E5" w14:textId="77777777">
        <w:trPr>
          <w:trHeight w:val="355"/>
          <w:jc w:val="center"/>
        </w:trPr>
        <w:tc>
          <w:tcPr>
            <w:tcW w:w="923" w:type="dxa"/>
            <w:tcBorders>
              <w:top w:val="nil"/>
              <w:left w:val="nil"/>
              <w:bottom w:val="nil"/>
              <w:right w:val="nil"/>
            </w:tcBorders>
          </w:tcPr>
          <w:p w14:paraId="1949D76C" w14:textId="77777777" w:rsidR="00F851EF" w:rsidRPr="00F4571A" w:rsidRDefault="00F851EF">
            <w:pPr>
              <w:jc w:val="both"/>
              <w:rPr>
                <w:rFonts w:ascii="Arial" w:hAnsi="Arial"/>
                <w:sz w:val="28"/>
                <w:szCs w:val="28"/>
                <w:rtl/>
              </w:rPr>
            </w:pPr>
          </w:p>
        </w:tc>
        <w:tc>
          <w:tcPr>
            <w:tcW w:w="4126" w:type="dxa"/>
            <w:tcBorders>
              <w:top w:val="nil"/>
              <w:left w:val="nil"/>
              <w:bottom w:val="nil"/>
              <w:right w:val="nil"/>
            </w:tcBorders>
          </w:tcPr>
          <w:p w14:paraId="40D9F984" w14:textId="77777777" w:rsidR="00F851EF" w:rsidRPr="00F4571A" w:rsidRDefault="00F851EF">
            <w:pPr>
              <w:jc w:val="both"/>
              <w:rPr>
                <w:rtl/>
              </w:rPr>
            </w:pPr>
          </w:p>
        </w:tc>
        <w:tc>
          <w:tcPr>
            <w:tcW w:w="3771" w:type="dxa"/>
            <w:tcBorders>
              <w:top w:val="nil"/>
              <w:left w:val="nil"/>
              <w:bottom w:val="nil"/>
              <w:right w:val="nil"/>
            </w:tcBorders>
          </w:tcPr>
          <w:p w14:paraId="05460809" w14:textId="77777777" w:rsidR="00F851EF" w:rsidRPr="00F4571A" w:rsidRDefault="00F4571A">
            <w:pPr>
              <w:jc w:val="right"/>
              <w:rPr>
                <w:rFonts w:ascii="Arial" w:hAnsi="Arial"/>
                <w:sz w:val="28"/>
                <w:szCs w:val="28"/>
                <w:rtl/>
              </w:rPr>
            </w:pPr>
            <w:r w:rsidRPr="00F4571A">
              <w:rPr>
                <w:rFonts w:ascii="Arial" w:hAnsi="Arial" w:hint="cs"/>
                <w:sz w:val="28"/>
                <w:szCs w:val="28"/>
                <w:rtl/>
              </w:rPr>
              <w:t>ה</w:t>
            </w:r>
            <w:r w:rsidRPr="00F4571A">
              <w:rPr>
                <w:rFonts w:hint="cs"/>
                <w:rtl/>
              </w:rPr>
              <w:t>מאשימה</w:t>
            </w:r>
          </w:p>
        </w:tc>
      </w:tr>
      <w:tr w:rsidR="00F851EF" w:rsidRPr="00F4571A" w14:paraId="06B51363" w14:textId="77777777">
        <w:trPr>
          <w:trHeight w:val="355"/>
          <w:jc w:val="center"/>
        </w:trPr>
        <w:tc>
          <w:tcPr>
            <w:tcW w:w="923" w:type="dxa"/>
            <w:tcBorders>
              <w:top w:val="nil"/>
              <w:left w:val="nil"/>
              <w:bottom w:val="nil"/>
              <w:right w:val="nil"/>
            </w:tcBorders>
          </w:tcPr>
          <w:p w14:paraId="54F5D4CD" w14:textId="77777777" w:rsidR="00F851EF" w:rsidRPr="00F4571A" w:rsidRDefault="00F851EF">
            <w:pPr>
              <w:jc w:val="both"/>
              <w:rPr>
                <w:rFonts w:ascii="Arial" w:hAnsi="Arial"/>
                <w:sz w:val="28"/>
                <w:szCs w:val="28"/>
                <w:rtl/>
              </w:rPr>
            </w:pPr>
          </w:p>
        </w:tc>
        <w:tc>
          <w:tcPr>
            <w:tcW w:w="7897" w:type="dxa"/>
            <w:gridSpan w:val="2"/>
            <w:tcBorders>
              <w:top w:val="nil"/>
              <w:left w:val="nil"/>
              <w:bottom w:val="nil"/>
              <w:right w:val="nil"/>
            </w:tcBorders>
          </w:tcPr>
          <w:p w14:paraId="75F18D9E" w14:textId="77777777" w:rsidR="00F851EF" w:rsidRPr="00F4571A" w:rsidRDefault="00F851EF">
            <w:pPr>
              <w:jc w:val="center"/>
              <w:rPr>
                <w:rFonts w:ascii="Arial" w:hAnsi="Arial"/>
                <w:b/>
                <w:bCs/>
                <w:sz w:val="28"/>
                <w:szCs w:val="28"/>
                <w:rtl/>
              </w:rPr>
            </w:pPr>
          </w:p>
          <w:p w14:paraId="4ED2DBBC" w14:textId="77777777" w:rsidR="00F851EF" w:rsidRPr="00F4571A" w:rsidRDefault="00F4571A">
            <w:pPr>
              <w:jc w:val="center"/>
              <w:rPr>
                <w:rFonts w:ascii="Arial" w:hAnsi="Arial"/>
                <w:b/>
                <w:bCs/>
                <w:sz w:val="28"/>
                <w:szCs w:val="28"/>
                <w:rtl/>
              </w:rPr>
            </w:pPr>
            <w:r w:rsidRPr="00F4571A">
              <w:rPr>
                <w:rFonts w:ascii="Arial" w:hAnsi="Arial"/>
                <w:b/>
                <w:bCs/>
                <w:sz w:val="28"/>
                <w:szCs w:val="28"/>
                <w:rtl/>
              </w:rPr>
              <w:t>נגד</w:t>
            </w:r>
          </w:p>
          <w:p w14:paraId="0A44A686" w14:textId="77777777" w:rsidR="00F851EF" w:rsidRPr="00F4571A" w:rsidRDefault="00F851EF">
            <w:pPr>
              <w:jc w:val="both"/>
              <w:rPr>
                <w:rFonts w:ascii="Arial" w:hAnsi="Arial"/>
                <w:sz w:val="28"/>
                <w:szCs w:val="28"/>
              </w:rPr>
            </w:pPr>
          </w:p>
        </w:tc>
      </w:tr>
      <w:tr w:rsidR="00F851EF" w:rsidRPr="00F4571A" w14:paraId="19D65CB4" w14:textId="77777777">
        <w:trPr>
          <w:trHeight w:val="355"/>
          <w:jc w:val="center"/>
        </w:trPr>
        <w:tc>
          <w:tcPr>
            <w:tcW w:w="923" w:type="dxa"/>
            <w:tcBorders>
              <w:top w:val="nil"/>
              <w:left w:val="nil"/>
              <w:bottom w:val="nil"/>
              <w:right w:val="nil"/>
            </w:tcBorders>
          </w:tcPr>
          <w:p w14:paraId="6BB572FC" w14:textId="77777777" w:rsidR="00F851EF" w:rsidRPr="00F4571A" w:rsidRDefault="00F851EF">
            <w:pPr>
              <w:rPr>
                <w:rFonts w:ascii="Arial" w:hAnsi="Arial"/>
                <w:sz w:val="28"/>
                <w:szCs w:val="28"/>
                <w:rtl/>
              </w:rPr>
            </w:pPr>
          </w:p>
        </w:tc>
        <w:tc>
          <w:tcPr>
            <w:tcW w:w="4126" w:type="dxa"/>
            <w:tcBorders>
              <w:top w:val="nil"/>
              <w:left w:val="nil"/>
              <w:bottom w:val="nil"/>
              <w:right w:val="nil"/>
            </w:tcBorders>
          </w:tcPr>
          <w:p w14:paraId="2B092C54" w14:textId="77777777" w:rsidR="00F851EF" w:rsidRPr="00F4571A" w:rsidRDefault="00F4571A">
            <w:pPr>
              <w:rPr>
                <w:rtl/>
              </w:rPr>
            </w:pPr>
            <w:r w:rsidRPr="00F4571A">
              <w:rPr>
                <w:rFonts w:hint="cs"/>
                <w:rtl/>
              </w:rPr>
              <w:t>סדר אלהואשלה (עציר)</w:t>
            </w:r>
          </w:p>
        </w:tc>
        <w:tc>
          <w:tcPr>
            <w:tcW w:w="3771" w:type="dxa"/>
            <w:tcBorders>
              <w:top w:val="nil"/>
              <w:left w:val="nil"/>
              <w:bottom w:val="nil"/>
              <w:right w:val="nil"/>
            </w:tcBorders>
          </w:tcPr>
          <w:p w14:paraId="19F652E2" w14:textId="77777777" w:rsidR="00F851EF" w:rsidRPr="00F4571A" w:rsidRDefault="00F851EF">
            <w:pPr>
              <w:jc w:val="right"/>
              <w:rPr>
                <w:rFonts w:ascii="Arial" w:hAnsi="Arial"/>
                <w:sz w:val="28"/>
                <w:szCs w:val="28"/>
              </w:rPr>
            </w:pPr>
          </w:p>
        </w:tc>
      </w:tr>
      <w:tr w:rsidR="00F851EF" w:rsidRPr="00F4571A" w14:paraId="164B3BD6" w14:textId="77777777">
        <w:trPr>
          <w:trHeight w:val="355"/>
          <w:jc w:val="center"/>
        </w:trPr>
        <w:tc>
          <w:tcPr>
            <w:tcW w:w="923" w:type="dxa"/>
            <w:tcBorders>
              <w:top w:val="nil"/>
              <w:left w:val="nil"/>
              <w:bottom w:val="nil"/>
              <w:right w:val="nil"/>
            </w:tcBorders>
          </w:tcPr>
          <w:p w14:paraId="4FAF2C7F" w14:textId="77777777" w:rsidR="00F851EF" w:rsidRPr="00F4571A" w:rsidRDefault="00F851EF">
            <w:pPr>
              <w:jc w:val="both"/>
              <w:rPr>
                <w:rFonts w:ascii="Arial" w:hAnsi="Arial"/>
                <w:sz w:val="28"/>
                <w:szCs w:val="28"/>
                <w:rtl/>
              </w:rPr>
            </w:pPr>
          </w:p>
        </w:tc>
        <w:tc>
          <w:tcPr>
            <w:tcW w:w="4126" w:type="dxa"/>
            <w:tcBorders>
              <w:top w:val="nil"/>
              <w:left w:val="nil"/>
              <w:bottom w:val="nil"/>
              <w:right w:val="nil"/>
            </w:tcBorders>
          </w:tcPr>
          <w:p w14:paraId="0E4AEC71" w14:textId="77777777" w:rsidR="00F851EF" w:rsidRPr="00F4571A" w:rsidRDefault="00F851EF">
            <w:pPr>
              <w:jc w:val="both"/>
              <w:rPr>
                <w:rtl/>
              </w:rPr>
            </w:pPr>
          </w:p>
          <w:p w14:paraId="6B5D5888" w14:textId="77777777" w:rsidR="00F851EF" w:rsidRPr="00F4571A" w:rsidRDefault="00F851EF">
            <w:pPr>
              <w:jc w:val="both"/>
              <w:rPr>
                <w:rtl/>
              </w:rPr>
            </w:pPr>
          </w:p>
          <w:p w14:paraId="771A3D0F" w14:textId="77777777" w:rsidR="00F851EF" w:rsidRPr="00F4571A" w:rsidRDefault="00F851EF">
            <w:pPr>
              <w:jc w:val="both"/>
              <w:rPr>
                <w:rtl/>
              </w:rPr>
            </w:pPr>
          </w:p>
        </w:tc>
        <w:tc>
          <w:tcPr>
            <w:tcW w:w="3771" w:type="dxa"/>
            <w:tcBorders>
              <w:top w:val="nil"/>
              <w:left w:val="nil"/>
              <w:bottom w:val="nil"/>
              <w:right w:val="nil"/>
            </w:tcBorders>
          </w:tcPr>
          <w:p w14:paraId="44A558C4" w14:textId="77777777" w:rsidR="00F851EF" w:rsidRPr="00F4571A" w:rsidRDefault="00F4571A">
            <w:pPr>
              <w:jc w:val="right"/>
              <w:rPr>
                <w:rFonts w:ascii="Arial" w:hAnsi="Arial"/>
                <w:sz w:val="28"/>
                <w:szCs w:val="28"/>
              </w:rPr>
            </w:pPr>
            <w:r w:rsidRPr="00F4571A">
              <w:rPr>
                <w:rFonts w:ascii="Arial" w:hAnsi="Arial" w:hint="cs"/>
                <w:sz w:val="28"/>
                <w:szCs w:val="28"/>
                <w:rtl/>
              </w:rPr>
              <w:t>ה</w:t>
            </w:r>
            <w:r w:rsidRPr="00F4571A">
              <w:rPr>
                <w:rFonts w:hint="cs"/>
                <w:rtl/>
              </w:rPr>
              <w:t>נאשם</w:t>
            </w:r>
          </w:p>
        </w:tc>
      </w:tr>
    </w:tbl>
    <w:p w14:paraId="5F43320B" w14:textId="77777777" w:rsidR="00F851EF" w:rsidRPr="00F4571A" w:rsidRDefault="00F4571A">
      <w:pPr>
        <w:rPr>
          <w:rtl/>
        </w:rPr>
      </w:pPr>
      <w:r w:rsidRPr="00F4571A">
        <w:rPr>
          <w:rFonts w:hint="cs"/>
          <w:rtl/>
        </w:rPr>
        <w:t>נוכחים:</w:t>
      </w:r>
    </w:p>
    <w:p w14:paraId="2FE3BDC4" w14:textId="77777777" w:rsidR="00F851EF" w:rsidRPr="00F4571A" w:rsidRDefault="00F4571A">
      <w:pPr>
        <w:rPr>
          <w:rtl/>
        </w:rPr>
      </w:pPr>
      <w:bookmarkStart w:id="2" w:name="FirstLawyer"/>
      <w:r w:rsidRPr="00F4571A">
        <w:rPr>
          <w:rFonts w:hint="cs"/>
          <w:rtl/>
        </w:rPr>
        <w:t>ב"כ</w:t>
      </w:r>
      <w:bookmarkEnd w:id="2"/>
      <w:r w:rsidRPr="00F4571A">
        <w:rPr>
          <w:rFonts w:hint="cs"/>
          <w:rtl/>
        </w:rPr>
        <w:t xml:space="preserve"> המאשימה עו"ד איריס פיקר</w:t>
      </w:r>
    </w:p>
    <w:p w14:paraId="4EF3E603" w14:textId="77777777" w:rsidR="00CE39A1" w:rsidRDefault="00F4571A">
      <w:pPr>
        <w:rPr>
          <w:rtl/>
        </w:rPr>
      </w:pPr>
      <w:r w:rsidRPr="00F4571A">
        <w:rPr>
          <w:rFonts w:hint="cs"/>
          <w:rtl/>
        </w:rPr>
        <w:t xml:space="preserve">הנאשם </w:t>
      </w:r>
      <w:r w:rsidRPr="00F4571A">
        <w:rPr>
          <w:rtl/>
        </w:rPr>
        <w:t>–</w:t>
      </w:r>
      <w:r w:rsidRPr="00F4571A">
        <w:rPr>
          <w:rFonts w:hint="cs"/>
          <w:rtl/>
        </w:rPr>
        <w:t xml:space="preserve"> הובא </w:t>
      </w:r>
      <w:r w:rsidRPr="00F4571A">
        <w:rPr>
          <w:rtl/>
        </w:rPr>
        <w:t>–</w:t>
      </w:r>
      <w:r w:rsidRPr="00F4571A">
        <w:rPr>
          <w:rFonts w:hint="cs"/>
          <w:rtl/>
        </w:rPr>
        <w:t xml:space="preserve"> וע"י ב"כ עו"ד אלון דוידוב</w:t>
      </w:r>
      <w:bookmarkStart w:id="3" w:name="LawTable"/>
      <w:bookmarkEnd w:id="3"/>
    </w:p>
    <w:p w14:paraId="7DCBEACF" w14:textId="77777777" w:rsidR="00CE39A1" w:rsidRPr="00CE39A1" w:rsidRDefault="00CE39A1" w:rsidP="00CE39A1">
      <w:pPr>
        <w:spacing w:after="120" w:line="240" w:lineRule="exact"/>
        <w:ind w:left="283" w:hanging="283"/>
        <w:jc w:val="both"/>
        <w:rPr>
          <w:rFonts w:ascii="FrankRuehl" w:hAnsi="FrankRuehl" w:cs="FrankRuehl"/>
          <w:rtl/>
        </w:rPr>
      </w:pPr>
    </w:p>
    <w:p w14:paraId="12FC12B8" w14:textId="77777777" w:rsidR="00CE39A1" w:rsidRPr="00CE39A1" w:rsidRDefault="00CE39A1" w:rsidP="00CE39A1">
      <w:pPr>
        <w:spacing w:after="120" w:line="240" w:lineRule="exact"/>
        <w:ind w:left="283" w:hanging="283"/>
        <w:jc w:val="both"/>
        <w:rPr>
          <w:rFonts w:ascii="FrankRuehl" w:hAnsi="FrankRuehl" w:cs="FrankRuehl"/>
          <w:rtl/>
        </w:rPr>
      </w:pPr>
      <w:r w:rsidRPr="00CE39A1">
        <w:rPr>
          <w:rFonts w:ascii="FrankRuehl" w:hAnsi="FrankRuehl" w:cs="FrankRuehl"/>
          <w:rtl/>
        </w:rPr>
        <w:t xml:space="preserve">חקיקה שאוזכרה: </w:t>
      </w:r>
    </w:p>
    <w:p w14:paraId="6B66D8B6" w14:textId="77777777" w:rsidR="00CE39A1" w:rsidRPr="00CE39A1" w:rsidRDefault="00CE39A1" w:rsidP="00CE39A1">
      <w:pPr>
        <w:spacing w:after="120" w:line="240" w:lineRule="exact"/>
        <w:ind w:left="283" w:hanging="283"/>
        <w:jc w:val="both"/>
        <w:rPr>
          <w:rFonts w:ascii="FrankRuehl" w:hAnsi="FrankRuehl" w:cs="FrankRuehl"/>
          <w:rtl/>
        </w:rPr>
      </w:pPr>
      <w:hyperlink r:id="rId6" w:history="1">
        <w:r w:rsidRPr="00CE39A1">
          <w:rPr>
            <w:rFonts w:ascii="FrankRuehl" w:hAnsi="FrankRuehl" w:cs="FrankRuehl"/>
            <w:color w:val="0000FF"/>
            <w:u w:val="single"/>
            <w:rtl/>
          </w:rPr>
          <w:t>חוק העונשין, תשל"ז-1977</w:t>
        </w:r>
      </w:hyperlink>
      <w:r w:rsidRPr="00CE39A1">
        <w:rPr>
          <w:rFonts w:ascii="FrankRuehl" w:hAnsi="FrankRuehl" w:cs="FrankRuehl"/>
          <w:rtl/>
        </w:rPr>
        <w:t xml:space="preserve">: סע'  </w:t>
      </w:r>
      <w:hyperlink r:id="rId7" w:history="1">
        <w:r w:rsidRPr="00CE39A1">
          <w:rPr>
            <w:rFonts w:ascii="FrankRuehl" w:hAnsi="FrankRuehl" w:cs="FrankRuehl"/>
            <w:color w:val="0000FF"/>
            <w:u w:val="single"/>
            <w:rtl/>
          </w:rPr>
          <w:t>40ג (א)</w:t>
        </w:r>
      </w:hyperlink>
      <w:r w:rsidRPr="00CE39A1">
        <w:rPr>
          <w:rFonts w:ascii="FrankRuehl" w:hAnsi="FrankRuehl" w:cs="FrankRuehl"/>
          <w:rtl/>
        </w:rPr>
        <w:t xml:space="preserve">, </w:t>
      </w:r>
      <w:hyperlink r:id="rId8" w:history="1">
        <w:r w:rsidRPr="00CE39A1">
          <w:rPr>
            <w:rFonts w:ascii="FrankRuehl" w:hAnsi="FrankRuehl" w:cs="FrankRuehl"/>
            <w:color w:val="0000FF"/>
            <w:u w:val="single"/>
            <w:rtl/>
          </w:rPr>
          <w:t>40ט(א)</w:t>
        </w:r>
      </w:hyperlink>
      <w:r w:rsidRPr="00CE39A1">
        <w:rPr>
          <w:rFonts w:ascii="FrankRuehl" w:hAnsi="FrankRuehl" w:cs="FrankRuehl"/>
          <w:rtl/>
        </w:rPr>
        <w:t xml:space="preserve">, </w:t>
      </w:r>
      <w:hyperlink r:id="rId9" w:history="1">
        <w:r w:rsidRPr="00CE39A1">
          <w:rPr>
            <w:rFonts w:ascii="FrankRuehl" w:hAnsi="FrankRuehl" w:cs="FrankRuehl"/>
            <w:color w:val="0000FF"/>
            <w:u w:val="single"/>
            <w:rtl/>
          </w:rPr>
          <w:t>144(א)</w:t>
        </w:r>
      </w:hyperlink>
    </w:p>
    <w:p w14:paraId="63949CF9" w14:textId="77777777" w:rsidR="00CE39A1" w:rsidRPr="00CE39A1" w:rsidRDefault="00CE39A1" w:rsidP="00CE39A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51EF" w:rsidRPr="00F4571A" w14:paraId="6998EED8" w14:textId="77777777">
        <w:trPr>
          <w:trHeight w:val="355"/>
          <w:jc w:val="center"/>
        </w:trPr>
        <w:tc>
          <w:tcPr>
            <w:tcW w:w="8820" w:type="dxa"/>
            <w:tcBorders>
              <w:top w:val="nil"/>
              <w:left w:val="nil"/>
              <w:bottom w:val="nil"/>
              <w:right w:val="nil"/>
            </w:tcBorders>
          </w:tcPr>
          <w:p w14:paraId="5756FB29" w14:textId="77777777" w:rsidR="00F4571A" w:rsidRPr="00F4571A" w:rsidRDefault="00F4571A" w:rsidP="00F4571A">
            <w:pPr>
              <w:jc w:val="center"/>
              <w:rPr>
                <w:rFonts w:ascii="Arial" w:hAnsi="Arial"/>
                <w:b/>
                <w:bCs/>
                <w:sz w:val="32"/>
                <w:szCs w:val="32"/>
                <w:rtl/>
              </w:rPr>
            </w:pPr>
            <w:bookmarkStart w:id="4" w:name="LawTable_End"/>
            <w:bookmarkStart w:id="5" w:name="PsakDin" w:colFirst="0" w:colLast="0"/>
            <w:bookmarkEnd w:id="0"/>
            <w:bookmarkEnd w:id="4"/>
          </w:p>
          <w:p w14:paraId="3EEE33A7" w14:textId="77777777" w:rsidR="00F4571A" w:rsidRPr="00F4571A" w:rsidRDefault="00F4571A" w:rsidP="00F4571A">
            <w:pPr>
              <w:jc w:val="center"/>
              <w:rPr>
                <w:rFonts w:ascii="Arial" w:hAnsi="Arial"/>
                <w:b/>
                <w:bCs/>
                <w:sz w:val="32"/>
                <w:szCs w:val="32"/>
                <w:rtl/>
              </w:rPr>
            </w:pPr>
            <w:r w:rsidRPr="00F4571A">
              <w:rPr>
                <w:rFonts w:ascii="Arial" w:hAnsi="Arial"/>
                <w:b/>
                <w:bCs/>
                <w:sz w:val="32"/>
                <w:szCs w:val="32"/>
                <w:rtl/>
              </w:rPr>
              <w:t>גזר דין</w:t>
            </w:r>
          </w:p>
          <w:p w14:paraId="53406CC0" w14:textId="77777777" w:rsidR="00F851EF" w:rsidRPr="00F4571A" w:rsidRDefault="00F851EF" w:rsidP="00F4571A">
            <w:pPr>
              <w:jc w:val="center"/>
              <w:rPr>
                <w:rFonts w:ascii="Arial" w:hAnsi="Arial"/>
                <w:bCs/>
                <w:sz w:val="32"/>
                <w:szCs w:val="32"/>
                <w:rtl/>
              </w:rPr>
            </w:pPr>
          </w:p>
        </w:tc>
      </w:tr>
      <w:bookmarkEnd w:id="5"/>
    </w:tbl>
    <w:p w14:paraId="2B0FC04B" w14:textId="77777777" w:rsidR="00F851EF" w:rsidRDefault="00F851EF">
      <w:pPr>
        <w:rPr>
          <w:rFonts w:ascii="Arial" w:hAnsi="Arial"/>
          <w:rtl/>
        </w:rPr>
      </w:pPr>
    </w:p>
    <w:p w14:paraId="1650BF56" w14:textId="77777777" w:rsidR="00F851EF" w:rsidRDefault="00F4571A">
      <w:pPr>
        <w:spacing w:line="360" w:lineRule="auto"/>
        <w:ind w:left="720" w:hanging="720"/>
        <w:jc w:val="both"/>
        <w:rPr>
          <w:rFonts w:ascii="Arial" w:hAnsi="Arial"/>
          <w:rtl/>
        </w:rPr>
      </w:pPr>
      <w:r>
        <w:rPr>
          <w:rFonts w:ascii="Arial" w:hAnsi="Arial" w:hint="cs"/>
          <w:b/>
          <w:bCs/>
          <w:rtl/>
        </w:rPr>
        <w:t>1.</w:t>
      </w:r>
      <w:bookmarkStart w:id="6" w:name="ABSTRACT_START"/>
      <w:bookmarkEnd w:id="6"/>
      <w:r>
        <w:rPr>
          <w:rFonts w:ascii="Arial" w:hAnsi="Arial" w:hint="cs"/>
          <w:rtl/>
        </w:rPr>
        <w:tab/>
        <w:t xml:space="preserve">הנאשם הורשע על פי הודאתו בכתב אישום מתוקן בעבירות של </w:t>
      </w:r>
      <w:r>
        <w:rPr>
          <w:rFonts w:ascii="Arial" w:hAnsi="Arial" w:hint="cs"/>
          <w:u w:val="single"/>
          <w:rtl/>
        </w:rPr>
        <w:t>החזקת נשק, אביזר לנשק</w:t>
      </w:r>
      <w:r>
        <w:rPr>
          <w:rFonts w:ascii="Arial" w:hAnsi="Arial" w:hint="cs"/>
          <w:rtl/>
        </w:rPr>
        <w:t xml:space="preserve"> </w:t>
      </w:r>
      <w:r>
        <w:rPr>
          <w:rFonts w:ascii="Arial" w:hAnsi="Arial" w:hint="cs"/>
          <w:u w:val="single"/>
          <w:rtl/>
        </w:rPr>
        <w:t>ותחמושת שלא כדין</w:t>
      </w:r>
      <w:r>
        <w:rPr>
          <w:rFonts w:ascii="Arial" w:hAnsi="Arial" w:hint="cs"/>
          <w:rtl/>
        </w:rPr>
        <w:t xml:space="preserve"> לפי </w:t>
      </w:r>
      <w:hyperlink r:id="rId10" w:history="1">
        <w:r w:rsidR="00CE39A1" w:rsidRPr="00CE39A1">
          <w:rPr>
            <w:rFonts w:ascii="Arial" w:hAnsi="Arial"/>
            <w:color w:val="0000FF"/>
            <w:u w:val="single"/>
            <w:rtl/>
          </w:rPr>
          <w:t>סעיף 144(א)</w:t>
        </w:r>
      </w:hyperlink>
      <w:r>
        <w:rPr>
          <w:rFonts w:ascii="Arial" w:hAnsi="Arial" w:hint="cs"/>
          <w:rtl/>
        </w:rPr>
        <w:t xml:space="preserve"> רישא וסיפא ל</w:t>
      </w:r>
      <w:hyperlink r:id="rId11" w:history="1">
        <w:r w:rsidRPr="00F4571A">
          <w:rPr>
            <w:rFonts w:ascii="Arial" w:hAnsi="Arial"/>
            <w:color w:val="0000FF"/>
            <w:u w:val="single"/>
            <w:rtl/>
          </w:rPr>
          <w:t>חוק העונשין</w:t>
        </w:r>
      </w:hyperlink>
      <w:r>
        <w:rPr>
          <w:rFonts w:ascii="Arial" w:hAnsi="Arial" w:hint="cs"/>
          <w:rtl/>
        </w:rPr>
        <w:t>, תשל"ז-1977 (להלן: "החוק").</w:t>
      </w:r>
    </w:p>
    <w:p w14:paraId="32C901A9" w14:textId="77777777" w:rsidR="00F851EF" w:rsidRDefault="00F851EF">
      <w:pPr>
        <w:spacing w:line="360" w:lineRule="auto"/>
        <w:ind w:left="720"/>
        <w:jc w:val="both"/>
        <w:rPr>
          <w:rtl/>
        </w:rPr>
      </w:pPr>
      <w:bookmarkStart w:id="7" w:name="ABSTRACT_END"/>
      <w:bookmarkEnd w:id="7"/>
    </w:p>
    <w:p w14:paraId="64518BCE" w14:textId="77777777" w:rsidR="00F851EF" w:rsidRDefault="00F4571A">
      <w:pPr>
        <w:spacing w:line="360" w:lineRule="auto"/>
        <w:ind w:left="720"/>
        <w:jc w:val="both"/>
        <w:rPr>
          <w:rtl/>
        </w:rPr>
      </w:pPr>
      <w:r>
        <w:rPr>
          <w:rFonts w:hint="cs"/>
          <w:rtl/>
        </w:rPr>
        <w:t xml:space="preserve">על פי המפורט בכתב האישום, ביום </w:t>
      </w:r>
      <w:r>
        <w:rPr>
          <w:rFonts w:hint="cs"/>
          <w:b/>
          <w:bCs/>
          <w:rtl/>
        </w:rPr>
        <w:t>28.10.13</w:t>
      </w:r>
      <w:r>
        <w:rPr>
          <w:rFonts w:hint="cs"/>
          <w:rtl/>
        </w:rPr>
        <w:t xml:space="preserve"> בשעה 17:50 החזיק הנאשם בביתו בטירה, מוסלק מתחת למיטה זוגית בחדר השינה, נשק דמוי תת מקלע מאולתר בקוטר 9 מ"מ ולצדו מחסנית טעונה בעשרה כדורים תואמים בקוטר 9 מ"מ. </w:t>
      </w:r>
    </w:p>
    <w:p w14:paraId="276D4EC1" w14:textId="77777777" w:rsidR="00F851EF" w:rsidRDefault="00F4571A">
      <w:pPr>
        <w:spacing w:line="360" w:lineRule="auto"/>
        <w:ind w:firstLine="720"/>
        <w:jc w:val="both"/>
        <w:rPr>
          <w:rtl/>
        </w:rPr>
      </w:pPr>
      <w:r>
        <w:rPr>
          <w:rFonts w:hint="cs"/>
          <w:rtl/>
        </w:rPr>
        <w:t xml:space="preserve">כמו כן החזיק בתוך קת הנשק 14 כדורים תואמים בקוטר 9 מ"מ. </w:t>
      </w:r>
    </w:p>
    <w:p w14:paraId="277311B0" w14:textId="77777777" w:rsidR="00F851EF" w:rsidRDefault="00F851EF">
      <w:pPr>
        <w:spacing w:line="360" w:lineRule="auto"/>
        <w:jc w:val="both"/>
        <w:rPr>
          <w:rtl/>
        </w:rPr>
      </w:pPr>
    </w:p>
    <w:p w14:paraId="047A6309" w14:textId="77777777" w:rsidR="00F851EF" w:rsidRDefault="00F4571A">
      <w:pPr>
        <w:spacing w:line="360" w:lineRule="auto"/>
        <w:ind w:left="720" w:hanging="720"/>
        <w:jc w:val="both"/>
        <w:rPr>
          <w:rtl/>
        </w:rPr>
      </w:pPr>
      <w:r>
        <w:rPr>
          <w:rFonts w:hint="cs"/>
          <w:b/>
          <w:bCs/>
          <w:rtl/>
        </w:rPr>
        <w:t>2</w:t>
      </w:r>
      <w:r>
        <w:rPr>
          <w:rFonts w:hint="cs"/>
          <w:rtl/>
        </w:rPr>
        <w:t>.</w:t>
      </w:r>
      <w:r>
        <w:rPr>
          <w:rFonts w:hint="cs"/>
          <w:rtl/>
        </w:rPr>
        <w:tab/>
        <w:t>הצדדים הגיעו להסדר טיעון לפיו הנאשם יודה בכתב האישום ויורשע בגינו. לעניין העונש- יטענו בצדדים באופן חופשי.</w:t>
      </w:r>
    </w:p>
    <w:p w14:paraId="6635F86E" w14:textId="77777777" w:rsidR="00F851EF" w:rsidRDefault="00F851EF">
      <w:pPr>
        <w:spacing w:line="360" w:lineRule="auto"/>
        <w:ind w:left="720" w:hanging="720"/>
        <w:jc w:val="both"/>
        <w:rPr>
          <w:rtl/>
        </w:rPr>
      </w:pPr>
    </w:p>
    <w:p w14:paraId="3F887B96" w14:textId="77777777" w:rsidR="00F851EF" w:rsidRDefault="00F4571A">
      <w:pPr>
        <w:spacing w:line="360" w:lineRule="auto"/>
        <w:ind w:left="720" w:hanging="720"/>
        <w:jc w:val="both"/>
        <w:rPr>
          <w:rtl/>
        </w:rPr>
      </w:pPr>
      <w:r>
        <w:rPr>
          <w:rFonts w:hint="cs"/>
          <w:b/>
          <w:bCs/>
          <w:rtl/>
        </w:rPr>
        <w:lastRenderedPageBreak/>
        <w:t>3</w:t>
      </w:r>
      <w:r>
        <w:rPr>
          <w:rFonts w:hint="cs"/>
          <w:rtl/>
        </w:rPr>
        <w:t>.</w:t>
      </w:r>
      <w:r>
        <w:rPr>
          <w:rFonts w:hint="cs"/>
          <w:rtl/>
        </w:rPr>
        <w:tab/>
        <w:t xml:space="preserve">בטיעוניו לעונש טען </w:t>
      </w:r>
      <w:r>
        <w:rPr>
          <w:rFonts w:hint="cs"/>
          <w:u w:val="single"/>
          <w:rtl/>
        </w:rPr>
        <w:t>ב"כ המאשימה</w:t>
      </w:r>
      <w:r>
        <w:rPr>
          <w:rFonts w:hint="cs"/>
          <w:rtl/>
        </w:rPr>
        <w:t xml:space="preserve"> כי מדובר במסיטואציה בה הנשק היה מוכן לשימוש בכל עת, באופן המעיד על חומרת העבירה ורמת המסוכנות הנשקפת מהנאשם. מדובר בתת מקלע עם מחסנית טעונה, מוכן לשימוש.</w:t>
      </w:r>
    </w:p>
    <w:p w14:paraId="71FA0B59" w14:textId="77777777" w:rsidR="00F851EF" w:rsidRDefault="00F4571A">
      <w:pPr>
        <w:spacing w:line="360" w:lineRule="auto"/>
        <w:ind w:left="720"/>
        <w:jc w:val="both"/>
        <w:rPr>
          <w:rtl/>
        </w:rPr>
      </w:pPr>
      <w:r>
        <w:rPr>
          <w:rFonts w:hint="cs"/>
          <w:rtl/>
        </w:rPr>
        <w:t xml:space="preserve">בחקירתו ציין הנאשם כי מצא את הנשק ולא יודע למי הוא שייך, ולא מסרו למשטרה כדי שלא יצטרך לשלם את מחירו לבעלים. </w:t>
      </w:r>
    </w:p>
    <w:p w14:paraId="209237B7" w14:textId="77777777" w:rsidR="00F851EF" w:rsidRDefault="00F4571A">
      <w:pPr>
        <w:spacing w:line="360" w:lineRule="auto"/>
        <w:ind w:left="720"/>
        <w:jc w:val="both"/>
        <w:rPr>
          <w:rtl/>
        </w:rPr>
      </w:pPr>
      <w:r>
        <w:rPr>
          <w:rFonts w:hint="cs"/>
          <w:rtl/>
        </w:rPr>
        <w:t xml:space="preserve">מדובר בהתנהגות לא סבירה, ובניגוד לחוק, ויש לזקוף זאת לחובתו. </w:t>
      </w:r>
    </w:p>
    <w:p w14:paraId="24702DFD" w14:textId="77777777" w:rsidR="00F851EF" w:rsidRDefault="00F4571A">
      <w:pPr>
        <w:spacing w:line="360" w:lineRule="auto"/>
        <w:ind w:left="720" w:hanging="720"/>
        <w:jc w:val="both"/>
        <w:rPr>
          <w:rtl/>
        </w:rPr>
      </w:pPr>
      <w:r>
        <w:rPr>
          <w:rFonts w:hint="cs"/>
          <w:rtl/>
        </w:rPr>
        <w:tab/>
      </w:r>
    </w:p>
    <w:p w14:paraId="7EA119D3" w14:textId="77777777" w:rsidR="00F851EF" w:rsidRDefault="00F4571A">
      <w:pPr>
        <w:spacing w:line="360" w:lineRule="auto"/>
        <w:ind w:left="720"/>
        <w:jc w:val="both"/>
        <w:rPr>
          <w:rtl/>
        </w:rPr>
      </w:pPr>
      <w:r>
        <w:rPr>
          <w:rFonts w:hint="cs"/>
          <w:rtl/>
        </w:rPr>
        <w:t xml:space="preserve">עבירות הנשק הינן עבירות חמורות כשהפסיקה העדיפה את האינטרס הציבורי בעניינן על פני כל אינטרס אחר, נשק המוחזק שלא כדין הושג בפשע - והסבירות גבוהה כי השימוש בו גם יהיה למטרות פשע. </w:t>
      </w:r>
    </w:p>
    <w:p w14:paraId="0568A878" w14:textId="77777777" w:rsidR="00F851EF" w:rsidRDefault="00F4571A">
      <w:pPr>
        <w:spacing w:line="360" w:lineRule="auto"/>
        <w:ind w:left="720"/>
        <w:jc w:val="both"/>
        <w:rPr>
          <w:rtl/>
        </w:rPr>
      </w:pPr>
      <w:r>
        <w:rPr>
          <w:rFonts w:hint="cs"/>
          <w:rtl/>
        </w:rPr>
        <w:t>הנאשם מסר כי החזיק בנשק במשך 20 ימים, ובמהלך תקופה זו לא השכיל לעשות חשבון נפש, ועל כן לא מדובר בעבירה ספונטנית.</w:t>
      </w:r>
    </w:p>
    <w:p w14:paraId="1B13BDF7" w14:textId="77777777" w:rsidR="00F851EF" w:rsidRDefault="00F851EF">
      <w:pPr>
        <w:spacing w:line="360" w:lineRule="auto"/>
        <w:ind w:left="720"/>
        <w:jc w:val="both"/>
        <w:rPr>
          <w:rtl/>
        </w:rPr>
      </w:pPr>
    </w:p>
    <w:p w14:paraId="5F6B7350" w14:textId="77777777" w:rsidR="00F851EF" w:rsidRDefault="00F4571A">
      <w:pPr>
        <w:spacing w:line="360" w:lineRule="auto"/>
        <w:ind w:left="720"/>
        <w:jc w:val="both"/>
        <w:rPr>
          <w:rtl/>
        </w:rPr>
      </w:pPr>
      <w:r>
        <w:rPr>
          <w:rFonts w:hint="cs"/>
          <w:rtl/>
        </w:rPr>
        <w:t xml:space="preserve">מרישומו הפלילי של הנאשם עולה כי לחובתו מאסר מותנה בגין החזקת סכין, שאינו חל בנסיבות אלה, אולם חרף העובדה שיודע שהתנאי עדיין קיים לאחר שניתן לו בשנת 2011 וחל עדיין בשנת 2013- עלה הנאשם מדרגה, וביצע עבירה חמורה אף יותר. </w:t>
      </w:r>
    </w:p>
    <w:p w14:paraId="3833A1F3" w14:textId="77777777" w:rsidR="00F851EF" w:rsidRDefault="00F851EF">
      <w:pPr>
        <w:spacing w:line="360" w:lineRule="auto"/>
        <w:ind w:left="720"/>
        <w:jc w:val="both"/>
        <w:rPr>
          <w:rtl/>
        </w:rPr>
      </w:pPr>
    </w:p>
    <w:p w14:paraId="2FD8B19C" w14:textId="77777777" w:rsidR="00F851EF" w:rsidRDefault="00F4571A">
      <w:pPr>
        <w:spacing w:line="360" w:lineRule="auto"/>
        <w:ind w:left="720"/>
        <w:jc w:val="both"/>
        <w:rPr>
          <w:rtl/>
        </w:rPr>
      </w:pPr>
      <w:r>
        <w:rPr>
          <w:rFonts w:hint="cs"/>
          <w:rtl/>
        </w:rPr>
        <w:t>מתחם העונש ההולם נע בין 8-16 חודשי מאסר בפועל.</w:t>
      </w:r>
    </w:p>
    <w:p w14:paraId="27226858" w14:textId="77777777" w:rsidR="00F851EF" w:rsidRDefault="00F4571A">
      <w:pPr>
        <w:spacing w:line="360" w:lineRule="auto"/>
        <w:ind w:left="720"/>
        <w:jc w:val="both"/>
        <w:rPr>
          <w:rtl/>
        </w:rPr>
      </w:pPr>
      <w:r>
        <w:rPr>
          <w:rFonts w:hint="cs"/>
          <w:rtl/>
        </w:rPr>
        <w:t xml:space="preserve">מדיניות הענישה בעבירות נשק הינה להרתיע את מבצעי העבירות ואת העבריינים בכוח, הואיל והן מסכנות את העבריין ומשפחתו וגם את הציבור כולו. הוגשה פסיקה רלבנטית. </w:t>
      </w:r>
    </w:p>
    <w:p w14:paraId="6E09B40F" w14:textId="77777777" w:rsidR="00F851EF" w:rsidRDefault="00F851EF">
      <w:pPr>
        <w:spacing w:line="360" w:lineRule="auto"/>
        <w:ind w:left="720"/>
        <w:jc w:val="both"/>
        <w:rPr>
          <w:rtl/>
        </w:rPr>
      </w:pPr>
    </w:p>
    <w:p w14:paraId="054D9738" w14:textId="77777777" w:rsidR="00F851EF" w:rsidRDefault="00F4571A">
      <w:pPr>
        <w:spacing w:line="360" w:lineRule="auto"/>
        <w:ind w:left="720"/>
        <w:jc w:val="both"/>
        <w:rPr>
          <w:rtl/>
        </w:rPr>
      </w:pPr>
      <w:r>
        <w:rPr>
          <w:rFonts w:hint="cs"/>
          <w:rtl/>
        </w:rPr>
        <w:t xml:space="preserve">נשקלו גם נסיבותיו האישות של הנאשם, שהודה וחסך זמן שיפוטי, הוא בעל הרשעה אחת בלבד, אך אלו אינן מצדיקות סטייה ממתחם הענישה ההולם והמקובל. </w:t>
      </w:r>
    </w:p>
    <w:p w14:paraId="0CAEE4E3" w14:textId="77777777" w:rsidR="00F851EF" w:rsidRDefault="00F851EF">
      <w:pPr>
        <w:spacing w:line="360" w:lineRule="auto"/>
        <w:ind w:left="720"/>
        <w:jc w:val="both"/>
        <w:rPr>
          <w:rtl/>
        </w:rPr>
      </w:pPr>
    </w:p>
    <w:p w14:paraId="2C8F8C04" w14:textId="77777777" w:rsidR="00F851EF" w:rsidRDefault="00F4571A">
      <w:pPr>
        <w:spacing w:line="360" w:lineRule="auto"/>
        <w:ind w:left="720"/>
        <w:jc w:val="both"/>
        <w:rPr>
          <w:rtl/>
        </w:rPr>
      </w:pPr>
      <w:r>
        <w:rPr>
          <w:rFonts w:hint="cs"/>
          <w:rtl/>
        </w:rPr>
        <w:t>לאור האמור, ראוי להחמיר בענישה בעבירות מסוג זה, לאור חומרתה ושכיחותה, ובית המשפט מתבקש להשית עונש מאסר ברף הבינוני של המתחם, לצד מע"ת וקנס.</w:t>
      </w:r>
    </w:p>
    <w:p w14:paraId="19FB4E19" w14:textId="77777777" w:rsidR="00F851EF" w:rsidRDefault="00F851EF">
      <w:pPr>
        <w:spacing w:line="360" w:lineRule="auto"/>
        <w:ind w:left="720"/>
        <w:jc w:val="both"/>
        <w:rPr>
          <w:rtl/>
        </w:rPr>
      </w:pPr>
    </w:p>
    <w:p w14:paraId="58EFC3FC" w14:textId="77777777" w:rsidR="00F851EF" w:rsidRDefault="00F4571A">
      <w:pPr>
        <w:spacing w:line="360" w:lineRule="auto"/>
        <w:ind w:left="720"/>
        <w:jc w:val="both"/>
        <w:rPr>
          <w:rtl/>
        </w:rPr>
      </w:pPr>
      <w:r>
        <w:rPr>
          <w:rFonts w:hint="cs"/>
          <w:u w:val="single"/>
          <w:rtl/>
        </w:rPr>
        <w:t>ב"כ הנאשם</w:t>
      </w:r>
      <w:r>
        <w:rPr>
          <w:rFonts w:hint="cs"/>
          <w:rtl/>
        </w:rPr>
        <w:t xml:space="preserve"> טען לעונש כי הרשעתו של הנאשם בגין החזקת סכין הינה משנת 2008, ובמהלך הזמן שחלף לא נפתחו תיקים נוספים. </w:t>
      </w:r>
    </w:p>
    <w:p w14:paraId="013E8F84" w14:textId="77777777" w:rsidR="00F851EF" w:rsidRDefault="00F4571A">
      <w:pPr>
        <w:spacing w:line="360" w:lineRule="auto"/>
        <w:ind w:left="720"/>
        <w:jc w:val="both"/>
        <w:rPr>
          <w:rtl/>
        </w:rPr>
      </w:pPr>
      <w:r>
        <w:rPr>
          <w:rFonts w:hint="cs"/>
          <w:rtl/>
        </w:rPr>
        <w:t>המחסנית טעונה אומנם בכדורים - אולם היא נפרדת מנשק תת המקלע, והנשק עצמו לא טעון. הנאשם נשוי ואב לשלושה ילדים קטינים בגילאי 3, 4 ו-5.</w:t>
      </w:r>
    </w:p>
    <w:p w14:paraId="58145CD2" w14:textId="77777777" w:rsidR="00F851EF" w:rsidRDefault="00F4571A">
      <w:pPr>
        <w:spacing w:line="360" w:lineRule="auto"/>
        <w:ind w:left="720"/>
        <w:jc w:val="both"/>
        <w:rPr>
          <w:rtl/>
        </w:rPr>
      </w:pPr>
      <w:r>
        <w:rPr>
          <w:rFonts w:hint="cs"/>
          <w:rtl/>
        </w:rPr>
        <w:t xml:space="preserve">מתחם הענישה בנסיבות אלה נע בין אפס ל-9 חודשי מאסר בפועל, כאשר נסיבות מקרה זה עומדות באמצע המתחם, עד 6 חודשים ולא יותר. הוגשה פסיקה. </w:t>
      </w:r>
    </w:p>
    <w:p w14:paraId="2039C207" w14:textId="77777777" w:rsidR="00F851EF" w:rsidRDefault="00F851EF">
      <w:pPr>
        <w:spacing w:line="360" w:lineRule="auto"/>
        <w:ind w:left="720"/>
        <w:jc w:val="both"/>
        <w:rPr>
          <w:rtl/>
        </w:rPr>
      </w:pPr>
    </w:p>
    <w:p w14:paraId="62D54E66" w14:textId="77777777" w:rsidR="00F851EF" w:rsidRDefault="00F4571A">
      <w:pPr>
        <w:spacing w:line="360" w:lineRule="auto"/>
        <w:ind w:left="720"/>
        <w:jc w:val="both"/>
        <w:rPr>
          <w:rtl/>
        </w:rPr>
      </w:pPr>
      <w:r>
        <w:rPr>
          <w:rFonts w:hint="cs"/>
          <w:rtl/>
        </w:rPr>
        <w:lastRenderedPageBreak/>
        <w:t xml:space="preserve">בענייננו מדובר בנסיבות קלות, בהן רק נתפס נשק - שלא נעשה בו שימוש, ואין מדובר בנאשם עם עבר פלילי מכביד בבחינת "שור מועד", שלא ריצה מאסר קודם. </w:t>
      </w:r>
    </w:p>
    <w:p w14:paraId="2C2D8050" w14:textId="77777777" w:rsidR="00F851EF" w:rsidRDefault="00F4571A">
      <w:pPr>
        <w:spacing w:line="360" w:lineRule="auto"/>
        <w:ind w:left="720"/>
        <w:jc w:val="both"/>
        <w:rPr>
          <w:rtl/>
        </w:rPr>
      </w:pPr>
      <w:r>
        <w:rPr>
          <w:rFonts w:hint="cs"/>
          <w:rtl/>
        </w:rPr>
        <w:t>לאור האמור, מתבקש בית המשפט לגזור ענישה שלא תעלה על 6 חודשי מאסר בפועל.</w:t>
      </w:r>
    </w:p>
    <w:p w14:paraId="68A04E0F" w14:textId="77777777" w:rsidR="00F851EF" w:rsidRDefault="00F851EF">
      <w:pPr>
        <w:spacing w:line="360" w:lineRule="auto"/>
        <w:jc w:val="both"/>
        <w:rPr>
          <w:rtl/>
        </w:rPr>
      </w:pPr>
    </w:p>
    <w:p w14:paraId="68DF7CD9" w14:textId="77777777" w:rsidR="00F851EF" w:rsidRDefault="00F4571A">
      <w:pPr>
        <w:spacing w:line="360" w:lineRule="auto"/>
        <w:ind w:left="720"/>
        <w:jc w:val="both"/>
        <w:rPr>
          <w:rtl/>
        </w:rPr>
      </w:pPr>
      <w:r>
        <w:rPr>
          <w:rFonts w:hint="cs"/>
          <w:u w:val="single"/>
          <w:rtl/>
        </w:rPr>
        <w:t>הנאשם</w:t>
      </w:r>
      <w:r>
        <w:rPr>
          <w:rFonts w:hint="cs"/>
          <w:rtl/>
        </w:rPr>
        <w:t xml:space="preserve"> הוסיף כי הוא מצטער. </w:t>
      </w:r>
    </w:p>
    <w:p w14:paraId="60C58425" w14:textId="77777777" w:rsidR="00F851EF" w:rsidRDefault="00F851EF">
      <w:pPr>
        <w:spacing w:line="360" w:lineRule="auto"/>
        <w:jc w:val="both"/>
        <w:rPr>
          <w:rtl/>
        </w:rPr>
      </w:pPr>
    </w:p>
    <w:p w14:paraId="146B6E30" w14:textId="77777777" w:rsidR="00F851EF" w:rsidRDefault="00F851EF">
      <w:pPr>
        <w:spacing w:line="360" w:lineRule="auto"/>
        <w:jc w:val="both"/>
        <w:rPr>
          <w:rtl/>
        </w:rPr>
      </w:pPr>
    </w:p>
    <w:p w14:paraId="786EECBE" w14:textId="77777777" w:rsidR="00F851EF" w:rsidRDefault="00F4571A">
      <w:pPr>
        <w:rPr>
          <w:b/>
          <w:bCs/>
          <w:rtl/>
        </w:rPr>
      </w:pPr>
      <w:r>
        <w:rPr>
          <w:rFonts w:hint="cs"/>
          <w:b/>
          <w:bCs/>
          <w:rtl/>
        </w:rPr>
        <w:t>4.</w:t>
      </w:r>
      <w:r>
        <w:rPr>
          <w:rFonts w:hint="cs"/>
          <w:b/>
          <w:bCs/>
          <w:rtl/>
        </w:rPr>
        <w:tab/>
      </w:r>
      <w:r>
        <w:rPr>
          <w:rFonts w:hint="cs"/>
          <w:b/>
          <w:bCs/>
          <w:u w:val="single"/>
          <w:rtl/>
        </w:rPr>
        <w:t>הכרעה</w:t>
      </w:r>
    </w:p>
    <w:p w14:paraId="527D35E6" w14:textId="77777777" w:rsidR="00F851EF" w:rsidRDefault="00F4571A">
      <w:pPr>
        <w:spacing w:line="360" w:lineRule="auto"/>
        <w:ind w:left="720"/>
        <w:jc w:val="both"/>
        <w:rPr>
          <w:rtl/>
        </w:rPr>
      </w:pPr>
      <w:r>
        <w:rPr>
          <w:rFonts w:hint="cs"/>
          <w:rtl/>
        </w:rPr>
        <w:t xml:space="preserve">לאחר שנדרשתי למכלול השיקולים בתיק, לנסיבותיו האישות של הנאשם ולטיעוני הצדדים, הגעתי למסקנה כי בנסיבות אלה מצויים מעשיו של הנאשם </w:t>
      </w:r>
      <w:r>
        <w:rPr>
          <w:rFonts w:hint="cs"/>
          <w:u w:val="single"/>
          <w:rtl/>
        </w:rPr>
        <w:t>ברף הבינוני</w:t>
      </w:r>
      <w:r>
        <w:rPr>
          <w:rFonts w:hint="cs"/>
          <w:rtl/>
        </w:rPr>
        <w:t xml:space="preserve"> של מתחם הענישה. </w:t>
      </w:r>
    </w:p>
    <w:p w14:paraId="2889A294" w14:textId="77777777" w:rsidR="00F851EF" w:rsidRDefault="00F851EF">
      <w:pPr>
        <w:ind w:left="720"/>
        <w:jc w:val="both"/>
        <w:rPr>
          <w:rtl/>
        </w:rPr>
      </w:pPr>
    </w:p>
    <w:p w14:paraId="432EE26E" w14:textId="77777777" w:rsidR="00F851EF" w:rsidRDefault="00F4571A">
      <w:pPr>
        <w:spacing w:line="360" w:lineRule="auto"/>
        <w:ind w:left="720"/>
        <w:jc w:val="both"/>
        <w:rPr>
          <w:rtl/>
        </w:rPr>
      </w:pPr>
      <w:r>
        <w:rPr>
          <w:rFonts w:hint="cs"/>
          <w:rtl/>
        </w:rPr>
        <w:t xml:space="preserve">עבירות הנשק חמורות מאוד, והנזק הטמון בהם לציבור </w:t>
      </w:r>
      <w:r>
        <w:rPr>
          <w:rtl/>
        </w:rPr>
        <w:t>–</w:t>
      </w:r>
      <w:r>
        <w:rPr>
          <w:rFonts w:hint="cs"/>
          <w:rtl/>
        </w:rPr>
        <w:t xml:space="preserve"> רב. </w:t>
      </w:r>
    </w:p>
    <w:p w14:paraId="78B1678E" w14:textId="77777777" w:rsidR="00F851EF" w:rsidRDefault="00F4571A">
      <w:pPr>
        <w:spacing w:line="360" w:lineRule="auto"/>
        <w:ind w:left="720"/>
        <w:jc w:val="both"/>
        <w:rPr>
          <w:u w:val="single"/>
          <w:rtl/>
        </w:rPr>
      </w:pPr>
      <w:r>
        <w:rPr>
          <w:rFonts w:hint="cs"/>
          <w:rtl/>
        </w:rPr>
        <w:t>ב</w:t>
      </w:r>
      <w:hyperlink r:id="rId12" w:history="1">
        <w:r w:rsidRPr="00F4571A">
          <w:rPr>
            <w:color w:val="0000FF"/>
            <w:u w:val="single"/>
            <w:rtl/>
          </w:rPr>
          <w:t>ע"פ 8416/09</w:t>
        </w:r>
      </w:hyperlink>
      <w:r>
        <w:rPr>
          <w:rtl/>
        </w:rPr>
        <w:t xml:space="preserve"> </w:t>
      </w:r>
      <w:r>
        <w:rPr>
          <w:u w:val="single"/>
          <w:rtl/>
        </w:rPr>
        <w:t>מדינת ישראל נ' מחמוד חרבוש</w:t>
      </w:r>
      <w:r>
        <w:rPr>
          <w:rFonts w:hint="cs"/>
          <w:u w:val="single"/>
          <w:rtl/>
        </w:rPr>
        <w:t xml:space="preserve"> </w:t>
      </w:r>
      <w:r>
        <w:rPr>
          <w:rFonts w:hint="cs"/>
          <w:rtl/>
        </w:rPr>
        <w:t>(מיום 9.6.10) עמד ביהמ"ש על חומרתן של עבירות אלה ונקבע כי:</w:t>
      </w:r>
      <w:r>
        <w:rPr>
          <w:rFonts w:hint="cs"/>
          <w:u w:val="single"/>
          <w:rtl/>
        </w:rPr>
        <w:t xml:space="preserve"> </w:t>
      </w:r>
    </w:p>
    <w:p w14:paraId="48DEAB5F" w14:textId="77777777" w:rsidR="00F851EF" w:rsidRDefault="00F4571A">
      <w:pPr>
        <w:ind w:left="1701" w:right="1134"/>
        <w:jc w:val="both"/>
        <w:rPr>
          <w:rtl/>
        </w:rPr>
      </w:pPr>
      <w:r>
        <w:rPr>
          <w:rFonts w:hint="cs"/>
          <w:b/>
          <w:bCs/>
          <w:rtl/>
        </w:rPr>
        <w:t>"</w:t>
      </w:r>
      <w:r>
        <w:rPr>
          <w:b/>
          <w:bCs/>
          <w:rtl/>
        </w:rPr>
        <w:t>חומרתה של עבירת החזקת הנשק, מקורה בכך שעבירה זאת אינה נעשית לרוב אלא כדי לאפשר ביצוען של עבירות אחרות, שמעצם טבעו של הנשק, כרוכות באלימות או בהפחדה.</w:t>
      </w:r>
      <w:r>
        <w:rPr>
          <w:rFonts w:hint="cs"/>
          <w:b/>
          <w:bCs/>
          <w:rtl/>
        </w:rPr>
        <w:t>..</w:t>
      </w:r>
      <w:r>
        <w:rPr>
          <w:b/>
          <w:bCs/>
          <w:rtl/>
        </w:rPr>
        <w:t xml:space="preserve">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13" w:history="1">
        <w:r w:rsidRPr="00F4571A">
          <w:rPr>
            <w:b/>
            <w:bCs/>
            <w:color w:val="0000FF"/>
            <w:u w:val="single"/>
            <w:rtl/>
          </w:rPr>
          <w:t>ע"פ 1332/04</w:t>
        </w:r>
      </w:hyperlink>
      <w:r>
        <w:rPr>
          <w:b/>
          <w:b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Fonts w:hint="cs"/>
          <w:b/>
          <w:bCs/>
          <w:rtl/>
        </w:rPr>
        <w:t>"</w:t>
      </w:r>
    </w:p>
    <w:p w14:paraId="21612DDC" w14:textId="77777777" w:rsidR="00F851EF" w:rsidRDefault="00F851EF">
      <w:pPr>
        <w:ind w:left="720"/>
        <w:jc w:val="both"/>
        <w:rPr>
          <w:rtl/>
        </w:rPr>
      </w:pPr>
    </w:p>
    <w:p w14:paraId="28291C4D" w14:textId="77777777" w:rsidR="00F851EF" w:rsidRDefault="00F4571A">
      <w:pPr>
        <w:spacing w:line="360" w:lineRule="auto"/>
        <w:ind w:left="720"/>
        <w:jc w:val="both"/>
        <w:rPr>
          <w:rtl/>
        </w:rPr>
      </w:pPr>
      <w:r>
        <w:rPr>
          <w:rFonts w:hint="cs"/>
          <w:rtl/>
        </w:rPr>
        <w:t>עבירות מסוג זה פוגעות בערכים חברתיים מן המעלה הראשונה שעניינן הגנה של שלום הציבור ועל ביטחונו, כמו גם זכותו של הפרט לביטחון אישי ולהגנה על חייו, בריאותו וגופו.</w:t>
      </w:r>
    </w:p>
    <w:p w14:paraId="4C2F8579" w14:textId="77777777" w:rsidR="00F851EF" w:rsidRDefault="00F851EF">
      <w:pPr>
        <w:ind w:left="720"/>
        <w:jc w:val="both"/>
        <w:rPr>
          <w:rtl/>
        </w:rPr>
      </w:pPr>
    </w:p>
    <w:p w14:paraId="56204215" w14:textId="77777777" w:rsidR="00F851EF" w:rsidRDefault="00F4571A">
      <w:pPr>
        <w:spacing w:line="360" w:lineRule="auto"/>
        <w:ind w:left="720"/>
        <w:jc w:val="both"/>
        <w:rPr>
          <w:rtl/>
        </w:rPr>
      </w:pPr>
      <w:r>
        <w:rPr>
          <w:rFonts w:hint="cs"/>
          <w:rtl/>
        </w:rPr>
        <w:t xml:space="preserve">בנסיבות אלה, בהתאם </w:t>
      </w:r>
      <w:hyperlink r:id="rId14" w:history="1">
        <w:r w:rsidR="00CE39A1" w:rsidRPr="00CE39A1">
          <w:rPr>
            <w:b/>
            <w:bCs/>
            <w:color w:val="0000FF"/>
            <w:u w:val="single"/>
            <w:rtl/>
          </w:rPr>
          <w:t>לסעיף 40ט(א)</w:t>
        </w:r>
      </w:hyperlink>
      <w:r>
        <w:rPr>
          <w:rFonts w:hint="cs"/>
          <w:b/>
          <w:bCs/>
          <w:rtl/>
        </w:rPr>
        <w:t xml:space="preserve"> לחוק</w:t>
      </w:r>
      <w:r>
        <w:rPr>
          <w:rFonts w:hint="cs"/>
          <w:rtl/>
        </w:rPr>
        <w:t>, מדובר ב</w:t>
      </w:r>
      <w:r>
        <w:rPr>
          <w:rtl/>
        </w:rPr>
        <w:t>נשק דמוי תת מקלע מאולתר בקוטר 9 מ"מ</w:t>
      </w:r>
      <w:r>
        <w:rPr>
          <w:rFonts w:hint="cs"/>
          <w:rtl/>
        </w:rPr>
        <w:t xml:space="preserve">, </w:t>
      </w:r>
      <w:r>
        <w:rPr>
          <w:rtl/>
        </w:rPr>
        <w:t>מחסנית טע</w:t>
      </w:r>
      <w:r>
        <w:rPr>
          <w:rFonts w:hint="cs"/>
          <w:rtl/>
        </w:rPr>
        <w:t>ו</w:t>
      </w:r>
      <w:r>
        <w:rPr>
          <w:rtl/>
        </w:rPr>
        <w:t>נה בעשרה כדורים תואמים בקוטר 9 מ"מ</w:t>
      </w:r>
      <w:r>
        <w:rPr>
          <w:rFonts w:hint="cs"/>
          <w:rtl/>
        </w:rPr>
        <w:t>, ו-</w:t>
      </w:r>
      <w:r>
        <w:rPr>
          <w:rtl/>
        </w:rPr>
        <w:t>14 כדורים תואמים בקוטר 9 מ"מ</w:t>
      </w:r>
      <w:r>
        <w:rPr>
          <w:rFonts w:hint="cs"/>
          <w:rtl/>
        </w:rPr>
        <w:t xml:space="preserve"> בקת הנשק, שהוסלקו כולם מתחת למיטתו של הנאשם.</w:t>
      </w:r>
    </w:p>
    <w:p w14:paraId="2E93F247" w14:textId="77777777" w:rsidR="00F851EF" w:rsidRDefault="00F851EF">
      <w:pPr>
        <w:ind w:left="720"/>
        <w:jc w:val="both"/>
        <w:rPr>
          <w:rtl/>
        </w:rPr>
      </w:pPr>
    </w:p>
    <w:p w14:paraId="7CC24EAD" w14:textId="77777777" w:rsidR="00F851EF" w:rsidRDefault="00F4571A">
      <w:pPr>
        <w:spacing w:line="360" w:lineRule="auto"/>
        <w:ind w:left="720"/>
        <w:jc w:val="both"/>
        <w:rPr>
          <w:rtl/>
        </w:rPr>
      </w:pPr>
      <w:r>
        <w:rPr>
          <w:rFonts w:hint="cs"/>
          <w:rtl/>
        </w:rPr>
        <w:t xml:space="preserve">מדובר בנסיבות לחומרא, לאור היקף התחמושת, סוג הנשק והיות המחסניות טעונות ומוכנות לפעולה,  והן נוכח העובדה כי אלו הוסלקו בביתו של הנאשם- בו מתגוררים שלושת ילדיו הקטינים בני 3-5, תוך סיכון חייהם וחיי אשתו. </w:t>
      </w:r>
    </w:p>
    <w:p w14:paraId="45514E97" w14:textId="77777777" w:rsidR="00F851EF" w:rsidRDefault="00F851EF">
      <w:pPr>
        <w:ind w:left="720"/>
        <w:jc w:val="both"/>
        <w:rPr>
          <w:rtl/>
        </w:rPr>
      </w:pPr>
    </w:p>
    <w:p w14:paraId="5B40C78D" w14:textId="77777777" w:rsidR="00F851EF" w:rsidRDefault="00F4571A">
      <w:pPr>
        <w:spacing w:line="360" w:lineRule="auto"/>
        <w:ind w:left="720"/>
        <w:jc w:val="both"/>
        <w:rPr>
          <w:rtl/>
        </w:rPr>
      </w:pPr>
      <w:r>
        <w:rPr>
          <w:rFonts w:hint="cs"/>
          <w:rtl/>
        </w:rPr>
        <w:t xml:space="preserve">על פי </w:t>
      </w:r>
      <w:r>
        <w:rPr>
          <w:b/>
          <w:bCs/>
          <w:rtl/>
        </w:rPr>
        <w:t xml:space="preserve">סעיף </w:t>
      </w:r>
      <w:hyperlink r:id="rId15" w:history="1">
        <w:r w:rsidR="00CE39A1" w:rsidRPr="00CE39A1">
          <w:rPr>
            <w:rStyle w:val="Hyperlink"/>
            <w:b/>
            <w:bCs/>
            <w:rtl/>
          </w:rPr>
          <w:t>40ג (א)</w:t>
        </w:r>
      </w:hyperlink>
      <w:r>
        <w:rPr>
          <w:b/>
          <w:bCs/>
          <w:rtl/>
        </w:rPr>
        <w:t xml:space="preserve"> לחוק</w:t>
      </w:r>
      <w:r>
        <w:rPr>
          <w:rtl/>
        </w:rPr>
        <w:t xml:space="preserve"> נקבע כי מתחם העונש ההולם את מעשי העבירות שביצע הנאשם, יקבע בהתאם לעיקרון </w:t>
      </w:r>
      <w:r>
        <w:rPr>
          <w:rFonts w:hint="cs"/>
          <w:rtl/>
        </w:rPr>
        <w:t>ההלימה</w:t>
      </w:r>
      <w:r>
        <w:rPr>
          <w:rtl/>
        </w:rPr>
        <w:t xml:space="preserve"> תוך התחשבות בחומרת העבירה, הערך החברתי שנפגע מידת הפגיעה בו, במדיניות הענישה הנהוגה</w:t>
      </w:r>
      <w:r>
        <w:rPr>
          <w:rFonts w:hint="cs"/>
          <w:rtl/>
        </w:rPr>
        <w:t>,</w:t>
      </w:r>
      <w:r>
        <w:rPr>
          <w:rtl/>
        </w:rPr>
        <w:t xml:space="preserve"> ובנסיבות הקשורות בביצוע העבירות.</w:t>
      </w:r>
    </w:p>
    <w:p w14:paraId="5F345E1D" w14:textId="77777777" w:rsidR="00F851EF" w:rsidRDefault="00F4571A">
      <w:pPr>
        <w:spacing w:line="360" w:lineRule="auto"/>
        <w:ind w:left="720"/>
        <w:jc w:val="both"/>
        <w:rPr>
          <w:rtl/>
        </w:rPr>
      </w:pPr>
      <w:r>
        <w:rPr>
          <w:rFonts w:hint="cs"/>
          <w:rtl/>
        </w:rPr>
        <w:t xml:space="preserve">ממדיניות הענישה הנוהגת, וכפי שעולה מהפסיקה שהגישו הצדדים בתיק, עולה כי מתחם העונש ההולם בעבירה בה הורשע הנאשם נע </w:t>
      </w:r>
      <w:r>
        <w:rPr>
          <w:rFonts w:hint="cs"/>
          <w:b/>
          <w:bCs/>
          <w:rtl/>
        </w:rPr>
        <w:t>בין 6 חודשי מאסר שיכול וירוצו בעבודות שירות ועד 18 חודשי מאסר בפועל</w:t>
      </w:r>
      <w:r>
        <w:rPr>
          <w:rFonts w:hint="cs"/>
          <w:rtl/>
        </w:rPr>
        <w:t xml:space="preserve"> (ראו: </w:t>
      </w:r>
      <w:hyperlink r:id="rId16" w:history="1">
        <w:r w:rsidRPr="00F4571A">
          <w:rPr>
            <w:color w:val="0000FF"/>
            <w:u w:val="single"/>
            <w:rtl/>
          </w:rPr>
          <w:t>ע"פ 4329/10</w:t>
        </w:r>
      </w:hyperlink>
      <w:r>
        <w:rPr>
          <w:rtl/>
        </w:rPr>
        <w:t xml:space="preserve"> </w:t>
      </w:r>
      <w:r>
        <w:rPr>
          <w:u w:val="single"/>
          <w:rtl/>
        </w:rPr>
        <w:t>פלוני נ' מדינת ישראל</w:t>
      </w:r>
      <w:r>
        <w:rPr>
          <w:rFonts w:hint="cs"/>
          <w:rtl/>
        </w:rPr>
        <w:t xml:space="preserve"> (מיום 25.10.10); </w:t>
      </w:r>
      <w:hyperlink r:id="rId17" w:history="1">
        <w:r w:rsidRPr="00F4571A">
          <w:rPr>
            <w:color w:val="0000FF"/>
            <w:u w:val="single"/>
            <w:rtl/>
          </w:rPr>
          <w:t>ת"פ (נצ') 52455-07-12</w:t>
        </w:r>
      </w:hyperlink>
      <w:r>
        <w:rPr>
          <w:rtl/>
        </w:rPr>
        <w:t xml:space="preserve"> </w:t>
      </w:r>
      <w:r>
        <w:rPr>
          <w:u w:val="single"/>
          <w:rtl/>
        </w:rPr>
        <w:t>מדינת ישראל נ'</w:t>
      </w:r>
      <w:r>
        <w:rPr>
          <w:rtl/>
        </w:rPr>
        <w:t xml:space="preserve"> </w:t>
      </w:r>
      <w:r>
        <w:rPr>
          <w:u w:val="single"/>
          <w:rtl/>
        </w:rPr>
        <w:t>זועבי</w:t>
      </w:r>
      <w:r>
        <w:rPr>
          <w:rFonts w:hint="cs"/>
          <w:u w:val="single"/>
          <w:rtl/>
        </w:rPr>
        <w:t xml:space="preserve"> </w:t>
      </w:r>
      <w:r>
        <w:rPr>
          <w:rFonts w:hint="cs"/>
          <w:rtl/>
        </w:rPr>
        <w:t xml:space="preserve">(מיום 3.6.13); </w:t>
      </w:r>
      <w:hyperlink r:id="rId18" w:history="1">
        <w:r w:rsidRPr="00F4571A">
          <w:rPr>
            <w:color w:val="0000FF"/>
            <w:u w:val="single"/>
            <w:rtl/>
          </w:rPr>
          <w:t>ת"פ (י-ם) 14836-08-12</w:t>
        </w:r>
      </w:hyperlink>
      <w:r>
        <w:rPr>
          <w:rtl/>
        </w:rPr>
        <w:t xml:space="preserve"> </w:t>
      </w:r>
      <w:r>
        <w:rPr>
          <w:u w:val="single"/>
          <w:rtl/>
        </w:rPr>
        <w:t>מדינת ישראל נ' גועבה</w:t>
      </w:r>
      <w:r>
        <w:rPr>
          <w:rFonts w:hint="cs"/>
          <w:rtl/>
        </w:rPr>
        <w:t xml:space="preserve"> </w:t>
      </w:r>
      <w:r>
        <w:rPr>
          <w:rtl/>
        </w:rPr>
        <w:t>(</w:t>
      </w:r>
      <w:r>
        <w:rPr>
          <w:rFonts w:hint="cs"/>
          <w:rtl/>
        </w:rPr>
        <w:t xml:space="preserve">מיום 18.2.13); </w:t>
      </w:r>
      <w:hyperlink r:id="rId19" w:history="1">
        <w:r w:rsidRPr="00F4571A">
          <w:rPr>
            <w:color w:val="0000FF"/>
            <w:u w:val="single"/>
            <w:rtl/>
          </w:rPr>
          <w:t>ת"פ (פ"ת) 47766-07-12</w:t>
        </w:r>
      </w:hyperlink>
      <w:r>
        <w:rPr>
          <w:rFonts w:hint="cs"/>
          <w:rtl/>
        </w:rPr>
        <w:t xml:space="preserve"> </w:t>
      </w:r>
      <w:r>
        <w:rPr>
          <w:rFonts w:hint="cs"/>
          <w:u w:val="single"/>
          <w:rtl/>
        </w:rPr>
        <w:t>מדינת ישראל נגד ריאן</w:t>
      </w:r>
      <w:r>
        <w:rPr>
          <w:rFonts w:hint="cs"/>
          <w:rtl/>
        </w:rPr>
        <w:t xml:space="preserve"> (מיום 15.1.14)).</w:t>
      </w:r>
    </w:p>
    <w:p w14:paraId="770B5BF8" w14:textId="77777777" w:rsidR="00F851EF" w:rsidRDefault="00F851EF">
      <w:pPr>
        <w:ind w:left="720"/>
        <w:jc w:val="both"/>
        <w:rPr>
          <w:rtl/>
        </w:rPr>
      </w:pPr>
    </w:p>
    <w:p w14:paraId="09D42658" w14:textId="77777777" w:rsidR="00F851EF" w:rsidRDefault="00F4571A">
      <w:pPr>
        <w:spacing w:line="360" w:lineRule="auto"/>
        <w:ind w:left="720"/>
        <w:jc w:val="both"/>
        <w:rPr>
          <w:rtl/>
        </w:rPr>
      </w:pPr>
      <w:r>
        <w:rPr>
          <w:rFonts w:hint="cs"/>
          <w:rtl/>
        </w:rPr>
        <w:t xml:space="preserve">לאור האמור, דעתי כדעת ב"כ הצדדים לפיה מדובר בעבירה המצויה ברף </w:t>
      </w:r>
      <w:r>
        <w:rPr>
          <w:rFonts w:hint="cs"/>
          <w:u w:val="single"/>
          <w:rtl/>
        </w:rPr>
        <w:t>הבינוני</w:t>
      </w:r>
      <w:r>
        <w:rPr>
          <w:rFonts w:hint="cs"/>
          <w:rtl/>
        </w:rPr>
        <w:t xml:space="preserve"> של המתחם, כאשר בנסיבות אלה לא מצאתי טעם לסטות ממתחם העונש ההולם בעניינו.  </w:t>
      </w:r>
    </w:p>
    <w:p w14:paraId="2ACFAB27" w14:textId="77777777" w:rsidR="00F851EF" w:rsidRDefault="00F851EF">
      <w:pPr>
        <w:ind w:left="720"/>
        <w:jc w:val="both"/>
        <w:rPr>
          <w:rtl/>
        </w:rPr>
      </w:pPr>
    </w:p>
    <w:p w14:paraId="7BE5BEF2" w14:textId="77777777" w:rsidR="00F851EF" w:rsidRDefault="00F4571A">
      <w:pPr>
        <w:spacing w:line="360" w:lineRule="auto"/>
        <w:ind w:left="720"/>
        <w:jc w:val="both"/>
        <w:rPr>
          <w:rtl/>
        </w:rPr>
      </w:pPr>
      <w:r>
        <w:rPr>
          <w:rFonts w:hint="cs"/>
          <w:rtl/>
        </w:rPr>
        <w:t xml:space="preserve">עם זאת מגיליון רישומו הפלילי עולה כי לנאשם הרשעה אחת בלבד בגין החזקת סכין, משנת </w:t>
      </w:r>
      <w:r>
        <w:rPr>
          <w:rFonts w:hint="cs"/>
          <w:b/>
          <w:bCs/>
          <w:rtl/>
        </w:rPr>
        <w:t xml:space="preserve">2008 </w:t>
      </w:r>
      <w:r>
        <w:rPr>
          <w:rFonts w:hint="cs"/>
          <w:rtl/>
        </w:rPr>
        <w:t xml:space="preserve">בגינה הושת עליו מע"ת. </w:t>
      </w:r>
    </w:p>
    <w:p w14:paraId="37DB4A91" w14:textId="77777777" w:rsidR="00F851EF" w:rsidRDefault="00F4571A">
      <w:pPr>
        <w:spacing w:line="360" w:lineRule="auto"/>
        <w:ind w:left="720"/>
        <w:jc w:val="both"/>
        <w:rPr>
          <w:rtl/>
        </w:rPr>
      </w:pPr>
      <w:r>
        <w:rPr>
          <w:rFonts w:hint="cs"/>
          <w:rtl/>
        </w:rPr>
        <w:t xml:space="preserve">הגם שמדובר בהחזקת כלי נשק, הרי שאין מדובר בנסיבות דומות לענייננו (ואף התנאי לא חל) כמו גם בעבירה ישנה, כשאין להתעלם מכך שבזמן הרב שחלף לא שב הנאשם להסתבך בפלילים כלל. </w:t>
      </w:r>
    </w:p>
    <w:p w14:paraId="72C871DE" w14:textId="77777777" w:rsidR="00F851EF" w:rsidRDefault="00F851EF">
      <w:pPr>
        <w:ind w:left="720"/>
        <w:jc w:val="both"/>
        <w:rPr>
          <w:rtl/>
        </w:rPr>
      </w:pPr>
    </w:p>
    <w:p w14:paraId="0EC53FA6" w14:textId="77777777" w:rsidR="00F851EF" w:rsidRDefault="00F4571A">
      <w:pPr>
        <w:spacing w:line="360" w:lineRule="auto"/>
        <w:ind w:left="720"/>
        <w:jc w:val="both"/>
        <w:rPr>
          <w:rtl/>
        </w:rPr>
      </w:pPr>
      <w:r>
        <w:rPr>
          <w:rFonts w:hint="cs"/>
          <w:rtl/>
        </w:rPr>
        <w:t xml:space="preserve">הנאשם אף הודה במסגרת הסדר טיעון במיוחס לו, ובכך חסך זמן שיפוטי יקר, והן הביע צער על מעשיו בפני בית המשפט. </w:t>
      </w:r>
    </w:p>
    <w:p w14:paraId="4027694B" w14:textId="77777777" w:rsidR="00F851EF" w:rsidRDefault="00F851EF">
      <w:pPr>
        <w:ind w:left="720"/>
        <w:jc w:val="both"/>
        <w:rPr>
          <w:rtl/>
        </w:rPr>
      </w:pPr>
    </w:p>
    <w:p w14:paraId="42FF3F9B" w14:textId="77777777" w:rsidR="00F851EF" w:rsidRDefault="00F4571A">
      <w:pPr>
        <w:spacing w:line="360" w:lineRule="auto"/>
        <w:ind w:left="720"/>
        <w:jc w:val="both"/>
        <w:rPr>
          <w:rtl/>
        </w:rPr>
      </w:pPr>
      <w:r>
        <w:rPr>
          <w:rFonts w:hint="cs"/>
          <w:rtl/>
        </w:rPr>
        <w:t xml:space="preserve">לאור האמור, לאור חומרת העבירה, היות המעשים מצויים ברף הבינוני, העדר עבר פלילי מכביד, והודאתו של הנאשם מצאתי כי אין למצות עמו את מלוא חומרת הדין. </w:t>
      </w:r>
    </w:p>
    <w:p w14:paraId="55380396" w14:textId="77777777" w:rsidR="00F851EF" w:rsidRDefault="00F851EF">
      <w:pPr>
        <w:jc w:val="both"/>
        <w:rPr>
          <w:rtl/>
        </w:rPr>
      </w:pPr>
    </w:p>
    <w:p w14:paraId="60EE6902" w14:textId="77777777" w:rsidR="00F851EF" w:rsidRDefault="00F4571A">
      <w:pPr>
        <w:spacing w:line="360" w:lineRule="auto"/>
        <w:jc w:val="both"/>
        <w:rPr>
          <w:rtl/>
        </w:rPr>
      </w:pPr>
      <w:r>
        <w:rPr>
          <w:rFonts w:hint="cs"/>
          <w:b/>
          <w:bCs/>
          <w:rtl/>
        </w:rPr>
        <w:t>5</w:t>
      </w:r>
      <w:r>
        <w:rPr>
          <w:rFonts w:hint="cs"/>
          <w:rtl/>
        </w:rPr>
        <w:t>.</w:t>
      </w:r>
      <w:r>
        <w:rPr>
          <w:rFonts w:hint="cs"/>
          <w:rtl/>
        </w:rPr>
        <w:tab/>
        <w:t>לפיכך, הריני גוזרת על הנאשם את העונשים הבאים:</w:t>
      </w:r>
    </w:p>
    <w:p w14:paraId="353F5190" w14:textId="77777777" w:rsidR="00F851EF" w:rsidRDefault="00F4571A">
      <w:pPr>
        <w:spacing w:line="360" w:lineRule="auto"/>
        <w:ind w:left="720"/>
        <w:jc w:val="both"/>
        <w:rPr>
          <w:rtl/>
        </w:rPr>
      </w:pPr>
      <w:r>
        <w:rPr>
          <w:rFonts w:hint="cs"/>
          <w:rtl/>
        </w:rPr>
        <w:t xml:space="preserve">א. 11 חודשי מאסר בפועל, בניכוי ימי מעצרו: מיום 28.10.13. </w:t>
      </w:r>
    </w:p>
    <w:p w14:paraId="5928C100" w14:textId="77777777" w:rsidR="00F851EF" w:rsidRDefault="00F4571A">
      <w:pPr>
        <w:spacing w:line="360" w:lineRule="auto"/>
        <w:ind w:left="720"/>
        <w:jc w:val="both"/>
        <w:rPr>
          <w:rtl/>
        </w:rPr>
      </w:pPr>
      <w:r>
        <w:rPr>
          <w:rFonts w:hint="cs"/>
          <w:rtl/>
        </w:rPr>
        <w:t xml:space="preserve">ב. 10 חודשי מע"ת למשך 3 שנים מיום שחרורו שלא יעבור על עבירות נשק. </w:t>
      </w:r>
    </w:p>
    <w:p w14:paraId="0B8105FA" w14:textId="77777777" w:rsidR="00F851EF" w:rsidRDefault="00F4571A">
      <w:pPr>
        <w:spacing w:line="360" w:lineRule="auto"/>
        <w:ind w:left="720"/>
        <w:jc w:val="both"/>
        <w:rPr>
          <w:rtl/>
        </w:rPr>
      </w:pPr>
      <w:r>
        <w:rPr>
          <w:rFonts w:hint="cs"/>
          <w:rtl/>
        </w:rPr>
        <w:t xml:space="preserve">ג. תיחתם התחייבות בת 10,000 ₪ למשך שנה מיום שחרורו שלא יעבור על עבירות נשק. </w:t>
      </w:r>
    </w:p>
    <w:p w14:paraId="6FCF0DA7" w14:textId="77777777" w:rsidR="00F851EF" w:rsidRDefault="00F4571A">
      <w:pPr>
        <w:spacing w:line="360" w:lineRule="auto"/>
        <w:ind w:left="720"/>
        <w:jc w:val="both"/>
        <w:rPr>
          <w:rtl/>
        </w:rPr>
      </w:pPr>
      <w:r>
        <w:rPr>
          <w:rFonts w:hint="cs"/>
          <w:rtl/>
        </w:rPr>
        <w:t xml:space="preserve">   לא תיחתם ההתחייבות </w:t>
      </w:r>
      <w:r>
        <w:rPr>
          <w:rtl/>
        </w:rPr>
        <w:t>–</w:t>
      </w:r>
      <w:r>
        <w:rPr>
          <w:rFonts w:hint="cs"/>
          <w:rtl/>
        </w:rPr>
        <w:t xml:space="preserve"> יאסר הנאשם למשך 90 יום.</w:t>
      </w:r>
    </w:p>
    <w:p w14:paraId="754BA498" w14:textId="77777777" w:rsidR="00F851EF" w:rsidRDefault="00F4571A">
      <w:pPr>
        <w:spacing w:line="360" w:lineRule="auto"/>
        <w:ind w:left="720"/>
        <w:jc w:val="both"/>
        <w:rPr>
          <w:rtl/>
        </w:rPr>
      </w:pPr>
      <w:r>
        <w:rPr>
          <w:rFonts w:hint="cs"/>
          <w:rtl/>
        </w:rPr>
        <w:t xml:space="preserve">ד. קנס בסך 4,000 ₪ או 90 ימי מאסר תמורתו. הקנס ישולם עד </w:t>
      </w:r>
      <w:r>
        <w:rPr>
          <w:rFonts w:hint="cs"/>
          <w:b/>
          <w:bCs/>
          <w:rtl/>
        </w:rPr>
        <w:t>1.7.14</w:t>
      </w:r>
      <w:r>
        <w:rPr>
          <w:rFonts w:hint="cs"/>
          <w:rtl/>
        </w:rPr>
        <w:t xml:space="preserve">. </w:t>
      </w:r>
    </w:p>
    <w:p w14:paraId="71F64ED5" w14:textId="77777777" w:rsidR="00F851EF" w:rsidRDefault="00F851EF">
      <w:pPr>
        <w:jc w:val="both"/>
        <w:rPr>
          <w:rtl/>
        </w:rPr>
      </w:pPr>
    </w:p>
    <w:p w14:paraId="113B25B6" w14:textId="77777777" w:rsidR="00F851EF" w:rsidRDefault="00F4571A">
      <w:pPr>
        <w:jc w:val="both"/>
        <w:rPr>
          <w:rtl/>
        </w:rPr>
      </w:pPr>
      <w:r>
        <w:rPr>
          <w:rFonts w:hint="cs"/>
          <w:b/>
          <w:bCs/>
          <w:rtl/>
        </w:rPr>
        <w:t>6</w:t>
      </w:r>
      <w:r>
        <w:rPr>
          <w:rFonts w:hint="cs"/>
          <w:rtl/>
        </w:rPr>
        <w:t>.</w:t>
      </w:r>
      <w:r>
        <w:rPr>
          <w:rFonts w:hint="cs"/>
          <w:rtl/>
        </w:rPr>
        <w:tab/>
        <w:t>צו למוצג - השמדה או חילוט על פי שיקול דעת המשטרה.</w:t>
      </w:r>
    </w:p>
    <w:p w14:paraId="252272FD" w14:textId="77777777" w:rsidR="00F851EF" w:rsidRDefault="00F851EF">
      <w:pPr>
        <w:jc w:val="both"/>
        <w:rPr>
          <w:rtl/>
        </w:rPr>
      </w:pPr>
    </w:p>
    <w:p w14:paraId="35A20C68" w14:textId="77777777" w:rsidR="00F851EF" w:rsidRDefault="00F4571A">
      <w:pPr>
        <w:spacing w:line="360" w:lineRule="auto"/>
        <w:jc w:val="both"/>
        <w:rPr>
          <w:rtl/>
        </w:rPr>
      </w:pPr>
      <w:r w:rsidRPr="00F4571A">
        <w:rPr>
          <w:b/>
          <w:bCs/>
          <w:color w:val="FFFFFF"/>
          <w:sz w:val="2"/>
          <w:szCs w:val="2"/>
          <w:rtl/>
        </w:rPr>
        <w:t>5129371</w:t>
      </w:r>
      <w:r>
        <w:rPr>
          <w:rFonts w:hint="cs"/>
          <w:b/>
          <w:bCs/>
          <w:rtl/>
        </w:rPr>
        <w:t xml:space="preserve">7. </w:t>
      </w:r>
      <w:r>
        <w:rPr>
          <w:rFonts w:hint="cs"/>
          <w:rtl/>
        </w:rPr>
        <w:tab/>
        <w:t xml:space="preserve">זכות ערעור לבית המשפט המחוזי תוך 45 יום. </w:t>
      </w:r>
    </w:p>
    <w:p w14:paraId="24C2C9F9" w14:textId="77777777" w:rsidR="00F851EF" w:rsidRPr="00F4571A" w:rsidRDefault="00F4571A">
      <w:pPr>
        <w:rPr>
          <w:color w:val="FFFFFF"/>
          <w:sz w:val="2"/>
          <w:szCs w:val="2"/>
          <w:rtl/>
        </w:rPr>
      </w:pPr>
      <w:r w:rsidRPr="00F4571A">
        <w:rPr>
          <w:color w:val="FFFFFF"/>
          <w:sz w:val="2"/>
          <w:szCs w:val="2"/>
          <w:rtl/>
        </w:rPr>
        <w:t>54678313</w:t>
      </w:r>
    </w:p>
    <w:p w14:paraId="5FCB2747" w14:textId="77777777" w:rsidR="00F851EF" w:rsidRDefault="00F4571A">
      <w:pPr>
        <w:jc w:val="center"/>
      </w:pPr>
      <w:r>
        <w:rPr>
          <w:rFonts w:ascii="Arial" w:hAnsi="Arial"/>
          <w:rtl/>
        </w:rPr>
        <w:t xml:space="preserve">ניתן היום,  י' אדר ב תשע"ד, 12 מרץ 2014, במעמד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FAEB61F" w14:textId="77777777" w:rsidR="00F851EF" w:rsidRDefault="00F851EF">
      <w:pPr>
        <w:jc w:val="center"/>
        <w:rPr>
          <w:rFonts w:ascii="Arial" w:hAnsi="Arial"/>
          <w:sz w:val="28"/>
          <w:szCs w:val="28"/>
          <w:rtl/>
        </w:rPr>
      </w:pPr>
    </w:p>
    <w:p w14:paraId="3C8D893F" w14:textId="77777777" w:rsidR="00F851EF" w:rsidRDefault="00F851EF">
      <w:pPr>
        <w:rPr>
          <w:sz w:val="28"/>
          <w:szCs w:val="28"/>
          <w:rtl/>
        </w:rPr>
      </w:pPr>
    </w:p>
    <w:p w14:paraId="1CD70264" w14:textId="77777777" w:rsidR="00F851EF" w:rsidRDefault="00F851EF">
      <w:pPr>
        <w:pStyle w:val="a3"/>
        <w:jc w:val="center"/>
        <w:rPr>
          <w:rtl/>
        </w:rPr>
      </w:pPr>
    </w:p>
    <w:p w14:paraId="7F837B42" w14:textId="77777777" w:rsidR="00F4571A" w:rsidRPr="00F4571A" w:rsidRDefault="00F4571A" w:rsidP="00F4571A">
      <w:pPr>
        <w:keepNext/>
        <w:rPr>
          <w:rFonts w:ascii="David" w:hAnsi="David"/>
          <w:color w:val="000000"/>
          <w:sz w:val="22"/>
          <w:szCs w:val="22"/>
          <w:rtl/>
        </w:rPr>
      </w:pPr>
    </w:p>
    <w:p w14:paraId="721C975F" w14:textId="77777777" w:rsidR="00F4571A" w:rsidRPr="00F4571A" w:rsidRDefault="00F4571A" w:rsidP="00F4571A">
      <w:pPr>
        <w:keepNext/>
        <w:rPr>
          <w:rFonts w:ascii="David" w:hAnsi="David"/>
          <w:color w:val="000000"/>
          <w:sz w:val="22"/>
          <w:szCs w:val="22"/>
          <w:rtl/>
        </w:rPr>
      </w:pPr>
      <w:r w:rsidRPr="00F4571A">
        <w:rPr>
          <w:rFonts w:ascii="David" w:hAnsi="David"/>
          <w:color w:val="000000"/>
          <w:sz w:val="22"/>
          <w:szCs w:val="22"/>
          <w:rtl/>
        </w:rPr>
        <w:t>נאוה בכור 54678313</w:t>
      </w:r>
    </w:p>
    <w:p w14:paraId="4DE81637" w14:textId="77777777" w:rsidR="00F4571A" w:rsidRDefault="00F4571A" w:rsidP="00F4571A">
      <w:r w:rsidRPr="00F4571A">
        <w:rPr>
          <w:color w:val="000000"/>
          <w:rtl/>
        </w:rPr>
        <w:t>נוסח מסמך זה כפוף לשינויי ניסוח ועריכה</w:t>
      </w:r>
    </w:p>
    <w:p w14:paraId="5BA91BD0" w14:textId="77777777" w:rsidR="00F4571A" w:rsidRDefault="00F4571A" w:rsidP="00F4571A">
      <w:pPr>
        <w:rPr>
          <w:rtl/>
        </w:rPr>
      </w:pPr>
    </w:p>
    <w:p w14:paraId="019CE09E" w14:textId="77777777" w:rsidR="00F4571A" w:rsidRDefault="00F4571A" w:rsidP="00F4571A">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A61D002" w14:textId="77777777" w:rsidR="00F851EF" w:rsidRPr="00F4571A" w:rsidRDefault="00F851EF" w:rsidP="00F4571A">
      <w:pPr>
        <w:jc w:val="center"/>
        <w:rPr>
          <w:color w:val="0000FF"/>
          <w:u w:val="single"/>
        </w:rPr>
      </w:pPr>
    </w:p>
    <w:sectPr w:rsidR="00F851EF" w:rsidRPr="00F4571A" w:rsidSect="00F4571A">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60C4B" w14:textId="77777777" w:rsidR="00084A2D" w:rsidRPr="00B94531" w:rsidRDefault="00084A2D">
      <w:pPr>
        <w:rPr>
          <w:rFonts w:cs="Arial"/>
          <w:szCs w:val="20"/>
        </w:rPr>
      </w:pPr>
      <w:r>
        <w:separator/>
      </w:r>
    </w:p>
  </w:endnote>
  <w:endnote w:type="continuationSeparator" w:id="0">
    <w:p w14:paraId="2E77D008" w14:textId="77777777" w:rsidR="00084A2D" w:rsidRPr="00B94531" w:rsidRDefault="00084A2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353EA" w14:textId="77777777" w:rsidR="00F4571A" w:rsidRDefault="00F4571A" w:rsidP="00F4571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670CFB" w14:textId="77777777" w:rsidR="00F851EF" w:rsidRPr="00F4571A" w:rsidRDefault="00F4571A" w:rsidP="00F4571A">
    <w:pPr>
      <w:pStyle w:val="a4"/>
      <w:pBdr>
        <w:top w:val="single" w:sz="4" w:space="1" w:color="auto"/>
        <w:between w:val="single" w:sz="4" w:space="0" w:color="auto"/>
      </w:pBdr>
      <w:spacing w:after="60"/>
      <w:jc w:val="center"/>
      <w:rPr>
        <w:rFonts w:ascii="FrankRuehl" w:hAnsi="FrankRuehl" w:cs="FrankRuehl"/>
        <w:color w:val="000000"/>
      </w:rPr>
    </w:pPr>
    <w:r w:rsidRPr="00F457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4E25B" w14:textId="77777777" w:rsidR="00F4571A" w:rsidRDefault="00F4571A" w:rsidP="00F4571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3110">
      <w:rPr>
        <w:rFonts w:ascii="FrankRuehl" w:hAnsi="FrankRuehl" w:cs="FrankRuehl"/>
        <w:noProof/>
        <w:rtl/>
      </w:rPr>
      <w:t>1</w:t>
    </w:r>
    <w:r>
      <w:rPr>
        <w:rFonts w:ascii="FrankRuehl" w:hAnsi="FrankRuehl" w:cs="FrankRuehl"/>
        <w:rtl/>
      </w:rPr>
      <w:fldChar w:fldCharType="end"/>
    </w:r>
  </w:p>
  <w:p w14:paraId="209CBFA9" w14:textId="77777777" w:rsidR="00F851EF" w:rsidRPr="00F4571A" w:rsidRDefault="00F4571A" w:rsidP="00F4571A">
    <w:pPr>
      <w:pStyle w:val="a4"/>
      <w:pBdr>
        <w:top w:val="single" w:sz="4" w:space="1" w:color="auto"/>
        <w:between w:val="single" w:sz="4" w:space="0" w:color="auto"/>
      </w:pBdr>
      <w:spacing w:after="60"/>
      <w:jc w:val="center"/>
      <w:rPr>
        <w:rFonts w:ascii="FrankRuehl" w:hAnsi="FrankRuehl" w:cs="FrankRuehl"/>
        <w:color w:val="000000"/>
      </w:rPr>
    </w:pPr>
    <w:r w:rsidRPr="00F4571A">
      <w:rPr>
        <w:rFonts w:ascii="FrankRuehl" w:hAnsi="FrankRuehl" w:cs="FrankRuehl"/>
        <w:color w:val="000000"/>
      </w:rPr>
      <w:pict w14:anchorId="6722B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9F633" w14:textId="77777777" w:rsidR="00084A2D" w:rsidRPr="00B94531" w:rsidRDefault="00084A2D">
      <w:pPr>
        <w:rPr>
          <w:rFonts w:cs="Arial"/>
          <w:szCs w:val="20"/>
        </w:rPr>
      </w:pPr>
      <w:r>
        <w:separator/>
      </w:r>
    </w:p>
  </w:footnote>
  <w:footnote w:type="continuationSeparator" w:id="0">
    <w:p w14:paraId="7C028945" w14:textId="77777777" w:rsidR="00084A2D" w:rsidRPr="00B94531" w:rsidRDefault="00084A2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82D8F" w14:textId="77777777" w:rsidR="00F4571A" w:rsidRPr="00F4571A" w:rsidRDefault="00F4571A" w:rsidP="00F457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17618-11-13</w:t>
    </w:r>
    <w:r>
      <w:rPr>
        <w:rFonts w:ascii="David" w:hAnsi="David"/>
        <w:color w:val="000000"/>
        <w:sz w:val="22"/>
        <w:szCs w:val="22"/>
        <w:rtl/>
      </w:rPr>
      <w:tab/>
      <w:t xml:space="preserve"> מדינת ישראל נ' סדר אלהואשלה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D074C" w14:textId="77777777" w:rsidR="00F4571A" w:rsidRPr="00F4571A" w:rsidRDefault="00F4571A" w:rsidP="00F457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17618-11-13</w:t>
    </w:r>
    <w:r>
      <w:rPr>
        <w:rFonts w:ascii="David" w:hAnsi="David"/>
        <w:color w:val="000000"/>
        <w:sz w:val="22"/>
        <w:szCs w:val="22"/>
        <w:rtl/>
      </w:rPr>
      <w:tab/>
      <w:t xml:space="preserve"> מדינת ישראל נ' סדר אלהואשלה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51EF"/>
    <w:rsid w:val="00084A2D"/>
    <w:rsid w:val="00A148B9"/>
    <w:rsid w:val="00CE39A1"/>
    <w:rsid w:val="00F4571A"/>
    <w:rsid w:val="00F851EF"/>
    <w:rsid w:val="00F93576"/>
    <w:rsid w:val="00FF31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6A7447"/>
  <w15:chartTrackingRefBased/>
  <w15:docId w15:val="{5E18EE15-37B8-4624-A9D0-783791B4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51E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851EF"/>
    <w:pPr>
      <w:tabs>
        <w:tab w:val="center" w:pos="4153"/>
        <w:tab w:val="right" w:pos="8306"/>
      </w:tabs>
    </w:pPr>
  </w:style>
  <w:style w:type="paragraph" w:styleId="a4">
    <w:name w:val="footer"/>
    <w:basedOn w:val="a"/>
    <w:rsid w:val="00F851EF"/>
    <w:pPr>
      <w:tabs>
        <w:tab w:val="center" w:pos="4153"/>
        <w:tab w:val="right" w:pos="8306"/>
      </w:tabs>
    </w:pPr>
  </w:style>
  <w:style w:type="character" w:styleId="a5">
    <w:name w:val="page number"/>
    <w:basedOn w:val="a0"/>
    <w:rsid w:val="00F851EF"/>
  </w:style>
  <w:style w:type="character" w:styleId="Hyperlink">
    <w:name w:val="Hyperlink"/>
    <w:basedOn w:val="a0"/>
    <w:rsid w:val="00F45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i.a" TargetMode="External"/><Relationship Id="rId13" Type="http://schemas.openxmlformats.org/officeDocument/2006/relationships/hyperlink" Target="http://www.nevo.co.il/links/psika/?link=&#1506;&#1508;%201332/04" TargetMode="External"/><Relationship Id="rId18" Type="http://schemas.openxmlformats.org/officeDocument/2006/relationships/hyperlink" Target="http://www.nevo.co.il/links/psika/?NEWPROC=&#1514;&#1508;&amp;NEWPARTA=14836&amp;NEWPARTB=08&amp;NEWPARTC=12"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40c.a" TargetMode="External"/><Relationship Id="rId12" Type="http://schemas.openxmlformats.org/officeDocument/2006/relationships/hyperlink" Target="http://www.nevo.co.il/links/psika/?link=&#1506;&#1508;%208416/09" TargetMode="External"/><Relationship Id="rId17" Type="http://schemas.openxmlformats.org/officeDocument/2006/relationships/hyperlink" Target="http://www.nevo.co.il/links/psika/?NEWPROC=&#1514;&#1508;&amp;NEWPARTA=52455&amp;NEWPARTB=07&amp;NEWPARTC=1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inks/psika/?link=&#1506;&#1508;%204329/10"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links/psika/?NEWPROC=&#1514;&#1508;&amp;NEWPARTA=47766&amp;NEWPARTB=07&amp;NEWPARTC=12"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0i.a"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1216</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7285</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98305502</vt:i4>
      </vt:variant>
      <vt:variant>
        <vt:i4>39</vt:i4>
      </vt:variant>
      <vt:variant>
        <vt:i4>0</vt:i4>
      </vt:variant>
      <vt:variant>
        <vt:i4>5</vt:i4>
      </vt:variant>
      <vt:variant>
        <vt:lpwstr>http://www.nevo.co.il/links/psika/?NEWPROC=תפ&amp;NEWPARTA=47766&amp;NEWPARTB=07&amp;NEWPARTC=12</vt:lpwstr>
      </vt:variant>
      <vt:variant>
        <vt:lpwstr/>
      </vt:variant>
      <vt:variant>
        <vt:i4>98108888</vt:i4>
      </vt:variant>
      <vt:variant>
        <vt:i4>36</vt:i4>
      </vt:variant>
      <vt:variant>
        <vt:i4>0</vt:i4>
      </vt:variant>
      <vt:variant>
        <vt:i4>5</vt:i4>
      </vt:variant>
      <vt:variant>
        <vt:lpwstr>http://www.nevo.co.il/links/psika/?NEWPROC=תפ&amp;NEWPARTA=14836&amp;NEWPARTB=08&amp;NEWPARTC=12</vt:lpwstr>
      </vt:variant>
      <vt:variant>
        <vt:lpwstr/>
      </vt:variant>
      <vt:variant>
        <vt:i4>98371032</vt:i4>
      </vt:variant>
      <vt:variant>
        <vt:i4>33</vt:i4>
      </vt:variant>
      <vt:variant>
        <vt:i4>0</vt:i4>
      </vt:variant>
      <vt:variant>
        <vt:i4>5</vt:i4>
      </vt:variant>
      <vt:variant>
        <vt:lpwstr>http://www.nevo.co.il/links/psika/?NEWPROC=תפ&amp;NEWPARTA=52455&amp;NEWPARTB=07&amp;NEWPARTC=12</vt:lpwstr>
      </vt:variant>
      <vt:variant>
        <vt:lpwstr/>
      </vt:variant>
      <vt:variant>
        <vt:i4>99354038</vt:i4>
      </vt:variant>
      <vt:variant>
        <vt:i4>30</vt:i4>
      </vt:variant>
      <vt:variant>
        <vt:i4>0</vt:i4>
      </vt:variant>
      <vt:variant>
        <vt:i4>5</vt:i4>
      </vt:variant>
      <vt:variant>
        <vt:lpwstr>http://www.nevo.co.il/links/psika/?link=עפ 4329/10</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99354044</vt:i4>
      </vt:variant>
      <vt:variant>
        <vt:i4>21</vt:i4>
      </vt:variant>
      <vt:variant>
        <vt:i4>0</vt:i4>
      </vt:variant>
      <vt:variant>
        <vt:i4>5</vt:i4>
      </vt:variant>
      <vt:variant>
        <vt:lpwstr>http://www.nevo.co.il/links/psika/?link=עפ 1332/04</vt:lpwstr>
      </vt:variant>
      <vt:variant>
        <vt:lpwstr/>
      </vt:variant>
      <vt:variant>
        <vt:i4>99222975</vt:i4>
      </vt:variant>
      <vt:variant>
        <vt:i4>18</vt:i4>
      </vt:variant>
      <vt:variant>
        <vt:i4>0</vt:i4>
      </vt:variant>
      <vt:variant>
        <vt:i4>5</vt:i4>
      </vt:variant>
      <vt:variant>
        <vt:lpwstr>http://www.nevo.co.il/links/psika/?link=עפ 8416/09</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2025-01-19T17:33:00Z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17618</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סדר אלהואשלה</vt:lpwstr>
  </property>
  <property fmtid="{D5CDD505-2E9C-101B-9397-08002B2CF9AE}" pid="10" name="LAWYER">
    <vt:lpwstr>איריס פיקר;הובא ו אלון דוידוב</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20140312</vt:lpwstr>
  </property>
  <property fmtid="{D5CDD505-2E9C-101B-9397-08002B2CF9AE}" pid="14" name="TYPE_N_DATE">
    <vt:lpwstr>38020140312</vt:lpwstr>
  </property>
  <property fmtid="{D5CDD505-2E9C-101B-9397-08002B2CF9AE}" pid="15" name="WORDNUMPAGES">
    <vt:lpwstr>5</vt:lpwstr>
  </property>
  <property fmtid="{D5CDD505-2E9C-101B-9397-08002B2CF9AE}" pid="16" name="TYPE_ABS_DATE">
    <vt:lpwstr>380020140312</vt:lpwstr>
  </property>
  <property fmtid="{D5CDD505-2E9C-101B-9397-08002B2CF9AE}" pid="17" name="ISABSTRACT">
    <vt:lpwstr>Y</vt:lpwstr>
  </property>
  <property fmtid="{D5CDD505-2E9C-101B-9397-08002B2CF9AE}" pid="18" name="LAWLISTTMP1">
    <vt:lpwstr>70301/144.a, 040i.a, 040c.a</vt:lpwstr>
  </property>
</Properties>
</file>