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5B02B6" w:rsidRPr="009F06D7" w14:paraId="2347D474" w14:textId="77777777">
        <w:trPr>
          <w:trHeight w:hRule="exact" w:val="418"/>
          <w:jc w:val="center"/>
        </w:trPr>
        <w:tc>
          <w:tcPr>
            <w:tcW w:w="8720" w:type="dxa"/>
            <w:gridSpan w:val="3"/>
          </w:tcPr>
          <w:p w14:paraId="25B170F9" w14:textId="77777777" w:rsidR="005B02B6" w:rsidRPr="009F06D7" w:rsidRDefault="009F06D7">
            <w:pPr>
              <w:pStyle w:val="a3"/>
              <w:tabs>
                <w:tab w:val="clear" w:pos="8306"/>
              </w:tabs>
              <w:jc w:val="center"/>
              <w:rPr>
                <w:rFonts w:ascii="Tahoma" w:hAnsi="Tahoma" w:cs="Tahoma"/>
                <w:b/>
                <w:bCs/>
                <w:color w:val="000080"/>
                <w:sz w:val="20"/>
                <w:szCs w:val="20"/>
                <w:rtl/>
              </w:rPr>
            </w:pPr>
            <w:bookmarkStart w:id="0" w:name="LastJudge"/>
            <w:r w:rsidRPr="009F06D7">
              <w:rPr>
                <w:rFonts w:ascii="Tahoma" w:hAnsi="Tahoma" w:cs="Tahoma"/>
                <w:b/>
                <w:bCs/>
                <w:color w:val="000080"/>
                <w:sz w:val="20"/>
                <w:szCs w:val="20"/>
                <w:rtl/>
              </w:rPr>
              <w:t>בית משפט השלום בקריות</w:t>
            </w:r>
          </w:p>
        </w:tc>
      </w:tr>
      <w:tr w:rsidR="005B02B6" w:rsidRPr="009F06D7" w14:paraId="67B07AA9" w14:textId="77777777">
        <w:trPr>
          <w:trHeight w:val="337"/>
          <w:jc w:val="center"/>
        </w:trPr>
        <w:tc>
          <w:tcPr>
            <w:tcW w:w="6396" w:type="dxa"/>
          </w:tcPr>
          <w:p w14:paraId="15AE315F" w14:textId="77777777" w:rsidR="005B02B6" w:rsidRPr="009F06D7" w:rsidRDefault="009F06D7">
            <w:pPr>
              <w:rPr>
                <w:b/>
                <w:bCs/>
                <w:sz w:val="26"/>
                <w:szCs w:val="26"/>
                <w:rtl/>
              </w:rPr>
            </w:pPr>
            <w:r w:rsidRPr="009F06D7">
              <w:rPr>
                <w:b/>
                <w:bCs/>
                <w:sz w:val="26"/>
                <w:szCs w:val="26"/>
                <w:rtl/>
              </w:rPr>
              <w:t>ת"פ</w:t>
            </w:r>
            <w:r w:rsidRPr="009F06D7">
              <w:rPr>
                <w:rFonts w:hint="cs"/>
                <w:b/>
                <w:bCs/>
                <w:sz w:val="26"/>
                <w:szCs w:val="26"/>
                <w:rtl/>
              </w:rPr>
              <w:t xml:space="preserve"> </w:t>
            </w:r>
            <w:r w:rsidRPr="009F06D7">
              <w:rPr>
                <w:b/>
                <w:bCs/>
                <w:sz w:val="26"/>
                <w:szCs w:val="26"/>
                <w:rtl/>
              </w:rPr>
              <w:t>29772-11-13</w:t>
            </w:r>
            <w:r w:rsidRPr="009F06D7">
              <w:rPr>
                <w:rFonts w:hint="cs"/>
                <w:b/>
                <w:bCs/>
                <w:sz w:val="26"/>
                <w:szCs w:val="26"/>
                <w:rtl/>
              </w:rPr>
              <w:t xml:space="preserve"> </w:t>
            </w:r>
            <w:r w:rsidR="00B20B4A">
              <w:rPr>
                <w:b/>
                <w:bCs/>
                <w:sz w:val="26"/>
                <w:szCs w:val="26"/>
                <w:rtl/>
              </w:rPr>
              <w:t>מדינת ישראל נ' גניים</w:t>
            </w:r>
          </w:p>
          <w:p w14:paraId="56A8CB13" w14:textId="77777777" w:rsidR="005B02B6" w:rsidRPr="009F06D7" w:rsidRDefault="005B02B6">
            <w:pPr>
              <w:rPr>
                <w:b/>
                <w:bCs/>
                <w:sz w:val="26"/>
                <w:szCs w:val="26"/>
                <w:rtl/>
              </w:rPr>
            </w:pPr>
          </w:p>
        </w:tc>
        <w:tc>
          <w:tcPr>
            <w:tcW w:w="236" w:type="dxa"/>
          </w:tcPr>
          <w:p w14:paraId="24836F45" w14:textId="77777777" w:rsidR="005B02B6" w:rsidRPr="009F06D7" w:rsidRDefault="005B02B6">
            <w:pPr>
              <w:pStyle w:val="a3"/>
              <w:jc w:val="right"/>
              <w:rPr>
                <w:b/>
                <w:bCs/>
                <w:sz w:val="26"/>
                <w:szCs w:val="26"/>
                <w:rtl/>
              </w:rPr>
            </w:pPr>
          </w:p>
        </w:tc>
        <w:tc>
          <w:tcPr>
            <w:tcW w:w="2088" w:type="dxa"/>
          </w:tcPr>
          <w:p w14:paraId="61507BF6" w14:textId="77777777" w:rsidR="005B02B6" w:rsidRPr="009F06D7" w:rsidRDefault="009F06D7">
            <w:pPr>
              <w:pStyle w:val="a3"/>
              <w:tabs>
                <w:tab w:val="clear" w:pos="4153"/>
              </w:tabs>
              <w:jc w:val="right"/>
              <w:rPr>
                <w:b/>
                <w:bCs/>
                <w:sz w:val="26"/>
                <w:szCs w:val="26"/>
                <w:rtl/>
              </w:rPr>
            </w:pPr>
            <w:r w:rsidRPr="009F06D7">
              <w:rPr>
                <w:b/>
                <w:bCs/>
                <w:sz w:val="26"/>
                <w:szCs w:val="26"/>
                <w:rtl/>
              </w:rPr>
              <w:t>20 ינואר 2015</w:t>
            </w:r>
          </w:p>
        </w:tc>
      </w:tr>
    </w:tbl>
    <w:p w14:paraId="785E8D9E" w14:textId="77777777" w:rsidR="005B02B6" w:rsidRPr="009F06D7" w:rsidRDefault="005B02B6">
      <w:pPr>
        <w:pStyle w:val="a3"/>
        <w:jc w:val="center"/>
        <w:rPr>
          <w:rFonts w:ascii="Tahoma" w:hAnsi="Tahoma" w:cs="Tahoma"/>
          <w:b/>
          <w:bCs/>
          <w:color w:val="000080"/>
          <w:sz w:val="20"/>
          <w:szCs w:val="20"/>
          <w:rtl/>
        </w:rPr>
      </w:pPr>
    </w:p>
    <w:p w14:paraId="5E6BD9A3" w14:textId="77777777" w:rsidR="005B02B6" w:rsidRPr="009F06D7" w:rsidRDefault="005B02B6">
      <w:pPr>
        <w:spacing w:line="360" w:lineRule="auto"/>
        <w:jc w:val="both"/>
        <w:rPr>
          <w:sz w:val="6"/>
          <w:szCs w:val="6"/>
          <w:rtl/>
        </w:rPr>
      </w:pPr>
    </w:p>
    <w:tbl>
      <w:tblPr>
        <w:bidiVisual/>
        <w:tblW w:w="0" w:type="auto"/>
        <w:jc w:val="center"/>
        <w:tblLook w:val="0000" w:firstRow="0" w:lastRow="0" w:firstColumn="0" w:lastColumn="0" w:noHBand="0" w:noVBand="0"/>
      </w:tblPr>
      <w:tblGrid>
        <w:gridCol w:w="1580"/>
        <w:gridCol w:w="1279"/>
        <w:gridCol w:w="5780"/>
        <w:gridCol w:w="81"/>
      </w:tblGrid>
      <w:tr w:rsidR="005B02B6" w:rsidRPr="009F06D7" w14:paraId="6559AD4F" w14:textId="77777777">
        <w:trPr>
          <w:gridAfter w:val="1"/>
          <w:wAfter w:w="54" w:type="dxa"/>
          <w:trHeight w:val="337"/>
          <w:jc w:val="center"/>
        </w:trPr>
        <w:tc>
          <w:tcPr>
            <w:tcW w:w="1592" w:type="dxa"/>
          </w:tcPr>
          <w:p w14:paraId="6A892A23" w14:textId="77777777" w:rsidR="005B02B6" w:rsidRPr="009F06D7" w:rsidRDefault="009F06D7">
            <w:pPr>
              <w:pStyle w:val="a3"/>
              <w:bidi w:val="0"/>
              <w:spacing w:line="360" w:lineRule="auto"/>
              <w:jc w:val="both"/>
              <w:rPr>
                <w:rFonts w:ascii="Times New Roman" w:hAnsi="Times New Roman"/>
              </w:rPr>
            </w:pPr>
            <w:r w:rsidRPr="009F06D7">
              <w:rPr>
                <w:rFonts w:ascii="Times New Roman" w:hAnsi="Times New Roman"/>
              </w:rPr>
              <w:t xml:space="preserve">  </w:t>
            </w:r>
          </w:p>
        </w:tc>
        <w:tc>
          <w:tcPr>
            <w:tcW w:w="7128" w:type="dxa"/>
            <w:gridSpan w:val="2"/>
          </w:tcPr>
          <w:p w14:paraId="2B227E72" w14:textId="77777777" w:rsidR="005B02B6" w:rsidRPr="009F06D7" w:rsidRDefault="009F06D7">
            <w:pPr>
              <w:pStyle w:val="a3"/>
              <w:jc w:val="right"/>
              <w:rPr>
                <w:b/>
                <w:bCs/>
                <w:sz w:val="26"/>
                <w:szCs w:val="26"/>
                <w:rtl/>
              </w:rPr>
            </w:pPr>
            <w:r w:rsidRPr="009F06D7">
              <w:rPr>
                <w:rFonts w:hint="cs"/>
                <w:rtl/>
              </w:rPr>
              <w:t xml:space="preserve"> 29799-11-13</w:t>
            </w:r>
          </w:p>
        </w:tc>
      </w:tr>
      <w:tr w:rsidR="005B02B6" w:rsidRPr="009F06D7" w14:paraId="7B6C017F" w14:textId="77777777">
        <w:tblPrEx>
          <w:jc w:val="left"/>
          <w:tblLook w:val="01E0" w:firstRow="1" w:lastRow="1" w:firstColumn="1" w:lastColumn="1" w:noHBand="0" w:noVBand="0"/>
        </w:tblPrEx>
        <w:trPr>
          <w:gridAfter w:val="1"/>
          <w:wAfter w:w="55" w:type="dxa"/>
        </w:trPr>
        <w:tc>
          <w:tcPr>
            <w:tcW w:w="8719" w:type="dxa"/>
            <w:gridSpan w:val="3"/>
          </w:tcPr>
          <w:p w14:paraId="3C5A9DFF" w14:textId="77777777" w:rsidR="005B02B6" w:rsidRPr="009F06D7" w:rsidRDefault="009F06D7">
            <w:pPr>
              <w:spacing w:line="360" w:lineRule="auto"/>
              <w:rPr>
                <w:rFonts w:ascii="Times New Roman" w:eastAsia="Times New Roman" w:hAnsi="Times New Roman"/>
                <w:b/>
                <w:bCs/>
                <w:sz w:val="26"/>
                <w:szCs w:val="26"/>
                <w:rtl/>
              </w:rPr>
            </w:pPr>
            <w:r w:rsidRPr="009F06D7">
              <w:rPr>
                <w:rFonts w:ascii="Times New Roman" w:eastAsia="Times New Roman" w:hAnsi="Times New Roman" w:hint="cs"/>
                <w:b/>
                <w:bCs/>
                <w:sz w:val="26"/>
                <w:szCs w:val="26"/>
                <w:rtl/>
              </w:rPr>
              <w:t>בפני כב' ה</w:t>
            </w:r>
            <w:r w:rsidRPr="009F06D7">
              <w:rPr>
                <w:rFonts w:ascii="Times New Roman" w:eastAsia="Times New Roman" w:hAnsi="Times New Roman" w:hint="cs"/>
                <w:rtl/>
              </w:rPr>
              <w:t>שופט מוחמד עלי</w:t>
            </w:r>
            <w:r w:rsidRPr="009F06D7">
              <w:rPr>
                <w:rStyle w:val="TimesNewRomanTimesNewRoman"/>
                <w:rFonts w:eastAsia="Times New Roman"/>
                <w:rtl/>
              </w:rPr>
              <w:t xml:space="preserve"> </w:t>
            </w:r>
          </w:p>
        </w:tc>
      </w:tr>
      <w:tr w:rsidR="005B02B6" w:rsidRPr="009F06D7" w14:paraId="4B6089EA" w14:textId="77777777">
        <w:tblPrEx>
          <w:jc w:val="left"/>
          <w:tblLook w:val="01E0" w:firstRow="1" w:lastRow="1" w:firstColumn="1" w:lastColumn="1" w:noHBand="0" w:noVBand="0"/>
        </w:tblPrEx>
        <w:tc>
          <w:tcPr>
            <w:tcW w:w="2880" w:type="dxa"/>
            <w:gridSpan w:val="2"/>
          </w:tcPr>
          <w:p w14:paraId="79825860" w14:textId="77777777" w:rsidR="005B02B6" w:rsidRPr="009F06D7" w:rsidRDefault="009F06D7">
            <w:pPr>
              <w:ind w:left="26"/>
              <w:rPr>
                <w:rFonts w:ascii="Times New Roman" w:eastAsia="Times New Roman" w:hAnsi="Times New Roman"/>
                <w:b/>
                <w:bCs/>
                <w:sz w:val="26"/>
                <w:szCs w:val="26"/>
                <w:rtl/>
              </w:rPr>
            </w:pPr>
            <w:bookmarkStart w:id="1" w:name="FirstAppellant"/>
            <w:r w:rsidRPr="009F06D7">
              <w:rPr>
                <w:rFonts w:ascii="Times New Roman" w:eastAsia="Times New Roman" w:hAnsi="Times New Roman" w:hint="cs"/>
                <w:b/>
                <w:bCs/>
                <w:sz w:val="26"/>
                <w:szCs w:val="26"/>
                <w:rtl/>
              </w:rPr>
              <w:t>ה</w:t>
            </w:r>
            <w:r w:rsidRPr="009F06D7">
              <w:rPr>
                <w:rFonts w:ascii="Times New Roman" w:eastAsia="Times New Roman" w:hAnsi="Times New Roman" w:hint="cs"/>
                <w:rtl/>
              </w:rPr>
              <w:t>מאשימה</w:t>
            </w:r>
          </w:p>
        </w:tc>
        <w:tc>
          <w:tcPr>
            <w:tcW w:w="5922" w:type="dxa"/>
            <w:gridSpan w:val="2"/>
          </w:tcPr>
          <w:p w14:paraId="188542CE" w14:textId="77777777" w:rsidR="005B02B6" w:rsidRPr="009F06D7" w:rsidRDefault="009F06D7">
            <w:pPr>
              <w:rPr>
                <w:rFonts w:ascii="Times New Roman" w:eastAsia="Times New Roman" w:hAnsi="Times New Roman"/>
                <w:b/>
                <w:bCs/>
                <w:sz w:val="26"/>
                <w:szCs w:val="26"/>
                <w:rtl/>
              </w:rPr>
            </w:pPr>
            <w:r w:rsidRPr="009F06D7">
              <w:rPr>
                <w:rFonts w:ascii="Times New Roman" w:eastAsia="Times New Roman" w:hAnsi="Times New Roman" w:hint="cs"/>
                <w:rtl/>
              </w:rPr>
              <w:t>מדינת ישראל</w:t>
            </w:r>
          </w:p>
        </w:tc>
      </w:tr>
      <w:bookmarkEnd w:id="1"/>
      <w:tr w:rsidR="005B02B6" w:rsidRPr="009F06D7" w14:paraId="391472AD" w14:textId="77777777">
        <w:tblPrEx>
          <w:jc w:val="left"/>
          <w:tblLook w:val="01E0" w:firstRow="1" w:lastRow="1" w:firstColumn="1" w:lastColumn="1" w:noHBand="0" w:noVBand="0"/>
        </w:tblPrEx>
        <w:tc>
          <w:tcPr>
            <w:tcW w:w="8802" w:type="dxa"/>
            <w:gridSpan w:val="4"/>
          </w:tcPr>
          <w:p w14:paraId="5197AEDF" w14:textId="77777777" w:rsidR="005B02B6" w:rsidRPr="009F06D7" w:rsidRDefault="009F06D7">
            <w:pPr>
              <w:jc w:val="center"/>
              <w:rPr>
                <w:rFonts w:ascii="Arial" w:eastAsia="Times New Roman" w:hAnsi="Arial"/>
                <w:b/>
                <w:bCs/>
                <w:sz w:val="26"/>
                <w:szCs w:val="26"/>
                <w:rtl/>
              </w:rPr>
            </w:pPr>
            <w:r w:rsidRPr="009F06D7">
              <w:rPr>
                <w:rFonts w:ascii="Arial" w:eastAsia="Times New Roman" w:hAnsi="Arial"/>
                <w:b/>
                <w:bCs/>
                <w:sz w:val="26"/>
                <w:szCs w:val="26"/>
                <w:rtl/>
              </w:rPr>
              <w:t>נגד</w:t>
            </w:r>
          </w:p>
          <w:p w14:paraId="431C8B2F" w14:textId="77777777" w:rsidR="005B02B6" w:rsidRPr="009F06D7" w:rsidRDefault="005B02B6">
            <w:pPr>
              <w:jc w:val="center"/>
              <w:rPr>
                <w:rFonts w:ascii="Arial" w:eastAsia="Times New Roman" w:hAnsi="Arial"/>
                <w:b/>
                <w:bCs/>
                <w:sz w:val="26"/>
                <w:szCs w:val="26"/>
              </w:rPr>
            </w:pPr>
          </w:p>
        </w:tc>
      </w:tr>
      <w:tr w:rsidR="005B02B6" w:rsidRPr="009F06D7" w14:paraId="3D39B71E" w14:textId="77777777">
        <w:tblPrEx>
          <w:jc w:val="left"/>
          <w:tblLook w:val="01E0" w:firstRow="1" w:lastRow="1" w:firstColumn="1" w:lastColumn="1" w:noHBand="0" w:noVBand="0"/>
        </w:tblPrEx>
        <w:tc>
          <w:tcPr>
            <w:tcW w:w="2880" w:type="dxa"/>
            <w:gridSpan w:val="2"/>
          </w:tcPr>
          <w:p w14:paraId="60802033" w14:textId="77777777" w:rsidR="005B02B6" w:rsidRPr="009F06D7" w:rsidRDefault="009F06D7">
            <w:pPr>
              <w:ind w:left="26"/>
              <w:rPr>
                <w:rFonts w:ascii="Times New Roman" w:eastAsia="Times New Roman" w:hAnsi="Times New Roman"/>
                <w:b/>
                <w:bCs/>
                <w:sz w:val="26"/>
                <w:szCs w:val="26"/>
                <w:rtl/>
              </w:rPr>
            </w:pPr>
            <w:r w:rsidRPr="009F06D7">
              <w:rPr>
                <w:rFonts w:ascii="Times New Roman" w:eastAsia="Times New Roman" w:hAnsi="Times New Roman" w:hint="cs"/>
                <w:b/>
                <w:bCs/>
                <w:sz w:val="26"/>
                <w:szCs w:val="26"/>
                <w:rtl/>
              </w:rPr>
              <w:t>ה</w:t>
            </w:r>
            <w:r w:rsidRPr="009F06D7">
              <w:rPr>
                <w:rFonts w:ascii="Times New Roman" w:eastAsia="Times New Roman" w:hAnsi="Times New Roman" w:hint="cs"/>
                <w:rtl/>
              </w:rPr>
              <w:t>נאשם</w:t>
            </w:r>
          </w:p>
        </w:tc>
        <w:tc>
          <w:tcPr>
            <w:tcW w:w="5922" w:type="dxa"/>
            <w:gridSpan w:val="2"/>
          </w:tcPr>
          <w:p w14:paraId="2E603E10" w14:textId="77777777" w:rsidR="005B02B6" w:rsidRPr="009F06D7" w:rsidRDefault="009F06D7">
            <w:pPr>
              <w:rPr>
                <w:rFonts w:ascii="Times New Roman" w:eastAsia="Times New Roman" w:hAnsi="Times New Roman"/>
                <w:b/>
                <w:bCs/>
                <w:sz w:val="26"/>
                <w:szCs w:val="26"/>
                <w:rtl/>
              </w:rPr>
            </w:pPr>
            <w:r w:rsidRPr="009F06D7">
              <w:rPr>
                <w:rFonts w:ascii="Times New Roman" w:eastAsia="Times New Roman" w:hAnsi="Times New Roman" w:hint="cs"/>
                <w:rtl/>
              </w:rPr>
              <w:t xml:space="preserve">מחמוד גניים </w:t>
            </w:r>
          </w:p>
        </w:tc>
      </w:tr>
    </w:tbl>
    <w:p w14:paraId="6A32C26D" w14:textId="77777777" w:rsidR="005B02B6" w:rsidRPr="009F06D7" w:rsidRDefault="009F06D7">
      <w:pPr>
        <w:spacing w:line="360" w:lineRule="auto"/>
        <w:jc w:val="both"/>
        <w:rPr>
          <w:sz w:val="6"/>
          <w:szCs w:val="6"/>
          <w:rtl/>
        </w:rPr>
      </w:pPr>
      <w:r w:rsidRPr="009F06D7">
        <w:rPr>
          <w:sz w:val="6"/>
          <w:szCs w:val="6"/>
          <w:rtl/>
        </w:rPr>
        <w:t>&lt;#2#&gt;</w:t>
      </w:r>
    </w:p>
    <w:p w14:paraId="3859C935" w14:textId="77777777" w:rsidR="005B02B6" w:rsidRPr="009F06D7" w:rsidRDefault="009F06D7">
      <w:pPr>
        <w:pStyle w:val="12"/>
        <w:rPr>
          <w:u w:val="none"/>
          <w:rtl/>
        </w:rPr>
      </w:pPr>
      <w:r w:rsidRPr="009F06D7">
        <w:rPr>
          <w:rFonts w:hint="cs"/>
          <w:u w:val="none"/>
          <w:rtl/>
        </w:rPr>
        <w:t>נוכחים:</w:t>
      </w:r>
    </w:p>
    <w:p w14:paraId="6788C886" w14:textId="77777777" w:rsidR="005B02B6" w:rsidRPr="009F06D7" w:rsidRDefault="009F06D7">
      <w:pPr>
        <w:pStyle w:val="12"/>
        <w:rPr>
          <w:b w:val="0"/>
          <w:bCs w:val="0"/>
          <w:u w:val="none"/>
          <w:rtl/>
        </w:rPr>
      </w:pPr>
      <w:bookmarkStart w:id="2" w:name="FirstLawyer"/>
      <w:r w:rsidRPr="009F06D7">
        <w:rPr>
          <w:rFonts w:hint="cs"/>
          <w:b w:val="0"/>
          <w:bCs w:val="0"/>
          <w:u w:val="none"/>
          <w:rtl/>
        </w:rPr>
        <w:t>ב"כ</w:t>
      </w:r>
      <w:bookmarkEnd w:id="2"/>
      <w:r w:rsidRPr="009F06D7">
        <w:rPr>
          <w:rFonts w:hint="cs"/>
          <w:b w:val="0"/>
          <w:bCs w:val="0"/>
          <w:u w:val="none"/>
          <w:rtl/>
        </w:rPr>
        <w:t xml:space="preserve"> המאשימה: עו"ד בתאל עטיה</w:t>
      </w:r>
    </w:p>
    <w:p w14:paraId="0581A775" w14:textId="77777777" w:rsidR="005B02B6" w:rsidRPr="009F06D7" w:rsidRDefault="009F06D7">
      <w:pPr>
        <w:pStyle w:val="12"/>
        <w:rPr>
          <w:b w:val="0"/>
          <w:bCs w:val="0"/>
          <w:u w:val="none"/>
          <w:rtl/>
        </w:rPr>
      </w:pPr>
      <w:r w:rsidRPr="009F06D7">
        <w:rPr>
          <w:rFonts w:hint="cs"/>
          <w:b w:val="0"/>
          <w:bCs w:val="0"/>
          <w:u w:val="none"/>
          <w:rtl/>
        </w:rPr>
        <w:t>הנאשם: נוכח</w:t>
      </w:r>
    </w:p>
    <w:p w14:paraId="5A01E0C2" w14:textId="77777777" w:rsidR="005B02B6" w:rsidRPr="009F06D7" w:rsidRDefault="009F06D7">
      <w:pPr>
        <w:pStyle w:val="12"/>
        <w:rPr>
          <w:b w:val="0"/>
          <w:bCs w:val="0"/>
          <w:u w:val="none"/>
          <w:rtl/>
        </w:rPr>
      </w:pPr>
      <w:r w:rsidRPr="009F06D7">
        <w:rPr>
          <w:rFonts w:hint="cs"/>
          <w:b w:val="0"/>
          <w:bCs w:val="0"/>
          <w:u w:val="none"/>
          <w:rtl/>
        </w:rPr>
        <w:t>ב"כ הנאשם: עו"ד לידאוי</w:t>
      </w:r>
    </w:p>
    <w:p w14:paraId="15186798" w14:textId="77777777" w:rsidR="005B02B6" w:rsidRPr="009F06D7" w:rsidRDefault="005B02B6" w:rsidP="00B20B4A">
      <w:pPr>
        <w:spacing w:line="360" w:lineRule="auto"/>
        <w:rPr>
          <w:rFonts w:ascii="Arial" w:hAnsi="Arial"/>
          <w:b/>
          <w:bCs/>
          <w:sz w:val="28"/>
          <w:szCs w:val="28"/>
          <w:rtl/>
        </w:rPr>
      </w:pPr>
    </w:p>
    <w:p w14:paraId="644AE205" w14:textId="77777777" w:rsidR="00FF1441" w:rsidRDefault="009F06D7">
      <w:pPr>
        <w:jc w:val="center"/>
        <w:rPr>
          <w:rFonts w:ascii="Arial" w:hAnsi="Arial"/>
          <w:b/>
          <w:color w:val="FF0000"/>
          <w:sz w:val="28"/>
          <w:rtl/>
        </w:rPr>
      </w:pPr>
      <w:r w:rsidRPr="009F06D7">
        <w:rPr>
          <w:rFonts w:ascii="Arial" w:hAnsi="Arial"/>
          <w:b/>
          <w:color w:val="FF0000"/>
          <w:sz w:val="28"/>
          <w:rtl/>
        </w:rPr>
        <w:t>במסמך זה הושמטו פרוטוקולי</w:t>
      </w:r>
      <w:bookmarkStart w:id="3" w:name="LawTable"/>
      <w:bookmarkEnd w:id="3"/>
    </w:p>
    <w:p w14:paraId="27CDD5AD" w14:textId="77777777" w:rsidR="00FF1441" w:rsidRPr="00FF1441" w:rsidRDefault="00FF1441" w:rsidP="00FF1441">
      <w:pPr>
        <w:spacing w:after="120" w:line="240" w:lineRule="exact"/>
        <w:ind w:left="283" w:hanging="283"/>
        <w:jc w:val="both"/>
        <w:rPr>
          <w:rFonts w:ascii="FrankRuehl" w:hAnsi="FrankRuehl" w:cs="FrankRuehl"/>
          <w:color w:val="FF0000"/>
          <w:rtl/>
        </w:rPr>
      </w:pPr>
    </w:p>
    <w:p w14:paraId="1E8B0AFE" w14:textId="77777777" w:rsidR="00FF1441" w:rsidRPr="00FF1441" w:rsidRDefault="00FF1441" w:rsidP="00FF1441">
      <w:pPr>
        <w:spacing w:after="120" w:line="240" w:lineRule="exact"/>
        <w:ind w:left="283" w:hanging="283"/>
        <w:jc w:val="both"/>
        <w:rPr>
          <w:rFonts w:ascii="FrankRuehl" w:hAnsi="FrankRuehl" w:cs="FrankRuehl"/>
          <w:color w:val="FF0000"/>
          <w:rtl/>
        </w:rPr>
      </w:pPr>
      <w:r w:rsidRPr="00FF1441">
        <w:rPr>
          <w:rFonts w:ascii="FrankRuehl" w:hAnsi="FrankRuehl" w:cs="FrankRuehl"/>
          <w:color w:val="FF0000"/>
          <w:rtl/>
        </w:rPr>
        <w:t xml:space="preserve">חקיקה שאוזכרה: </w:t>
      </w:r>
    </w:p>
    <w:p w14:paraId="57316E24" w14:textId="77777777" w:rsidR="00FF1441" w:rsidRPr="00FF1441" w:rsidRDefault="00FF1441" w:rsidP="00FF1441">
      <w:pPr>
        <w:spacing w:after="120" w:line="240" w:lineRule="exact"/>
        <w:ind w:left="283" w:hanging="283"/>
        <w:jc w:val="both"/>
        <w:rPr>
          <w:rFonts w:ascii="FrankRuehl" w:hAnsi="FrankRuehl" w:cs="FrankRuehl"/>
          <w:color w:val="0000FF"/>
          <w:u w:val="single"/>
          <w:rtl/>
        </w:rPr>
      </w:pPr>
      <w:hyperlink r:id="rId7" w:history="1">
        <w:r w:rsidRPr="00FF1441">
          <w:rPr>
            <w:rStyle w:val="Hyperlink"/>
            <w:rFonts w:ascii="FrankRuehl" w:hAnsi="FrankRuehl" w:cs="FrankRuehl"/>
            <w:rtl/>
          </w:rPr>
          <w:t>חוק העונשין, תשל"ז-1977</w:t>
        </w:r>
      </w:hyperlink>
      <w:r w:rsidRPr="00FF1441">
        <w:rPr>
          <w:rFonts w:ascii="FrankRuehl" w:hAnsi="FrankRuehl" w:cs="FrankRuehl"/>
          <w:color w:val="0000FF"/>
          <w:u w:val="single"/>
          <w:rtl/>
        </w:rPr>
        <w:t xml:space="preserve">: סע'  </w:t>
      </w:r>
      <w:hyperlink r:id="rId8" w:history="1">
        <w:r w:rsidRPr="00FF1441">
          <w:rPr>
            <w:rStyle w:val="Hyperlink"/>
            <w:rFonts w:ascii="FrankRuehl" w:hAnsi="FrankRuehl" w:cs="FrankRuehl"/>
          </w:rPr>
          <w:t>40</w:t>
        </w:r>
        <w:r w:rsidRPr="00FF1441">
          <w:rPr>
            <w:rStyle w:val="Hyperlink"/>
            <w:rFonts w:ascii="FrankRuehl" w:hAnsi="FrankRuehl" w:cs="FrankRuehl"/>
            <w:rtl/>
          </w:rPr>
          <w:t>ג</w:t>
        </w:r>
        <w:r w:rsidRPr="00FF1441">
          <w:rPr>
            <w:rStyle w:val="Hyperlink"/>
            <w:rFonts w:ascii="FrankRuehl" w:hAnsi="FrankRuehl" w:cs="FrankRuehl"/>
          </w:rPr>
          <w:t>'</w:t>
        </w:r>
      </w:hyperlink>
      <w:r w:rsidRPr="00FF1441">
        <w:rPr>
          <w:rFonts w:ascii="FrankRuehl" w:hAnsi="FrankRuehl" w:cs="FrankRuehl"/>
          <w:color w:val="0000FF"/>
          <w:u w:val="single"/>
          <w:rtl/>
        </w:rPr>
        <w:t xml:space="preserve">, </w:t>
      </w:r>
      <w:hyperlink r:id="rId9" w:history="1">
        <w:r w:rsidRPr="00FF1441">
          <w:rPr>
            <w:rStyle w:val="Hyperlink"/>
            <w:rFonts w:ascii="FrankRuehl" w:hAnsi="FrankRuehl" w:cs="FrankRuehl"/>
          </w:rPr>
          <w:t>40</w:t>
        </w:r>
        <w:r w:rsidRPr="00FF1441">
          <w:rPr>
            <w:rStyle w:val="Hyperlink"/>
            <w:rFonts w:ascii="FrankRuehl" w:hAnsi="FrankRuehl" w:cs="FrankRuehl"/>
            <w:rtl/>
          </w:rPr>
          <w:t>ד(א)</w:t>
        </w:r>
      </w:hyperlink>
      <w:r w:rsidRPr="00FF1441">
        <w:rPr>
          <w:rFonts w:ascii="FrankRuehl" w:hAnsi="FrankRuehl" w:cs="FrankRuehl"/>
          <w:color w:val="0000FF"/>
          <w:u w:val="single"/>
          <w:rtl/>
        </w:rPr>
        <w:t xml:space="preserve">, </w:t>
      </w:r>
      <w:hyperlink r:id="rId10" w:history="1">
        <w:r w:rsidRPr="00FF1441">
          <w:rPr>
            <w:rStyle w:val="Hyperlink"/>
            <w:rFonts w:ascii="FrankRuehl" w:hAnsi="FrankRuehl" w:cs="FrankRuehl"/>
          </w:rPr>
          <w:t>144(</w:t>
        </w:r>
        <w:r w:rsidRPr="00FF1441">
          <w:rPr>
            <w:rStyle w:val="Hyperlink"/>
            <w:rFonts w:ascii="FrankRuehl" w:hAnsi="FrankRuehl" w:cs="FrankRuehl"/>
            <w:rtl/>
          </w:rPr>
          <w:t>א</w:t>
        </w:r>
        <w:r w:rsidRPr="00FF1441">
          <w:rPr>
            <w:rStyle w:val="Hyperlink"/>
            <w:rFonts w:ascii="FrankRuehl" w:hAnsi="FrankRuehl" w:cs="FrankRuehl"/>
          </w:rPr>
          <w:t>)</w:t>
        </w:r>
      </w:hyperlink>
      <w:r w:rsidRPr="00FF1441">
        <w:rPr>
          <w:rFonts w:ascii="FrankRuehl" w:hAnsi="FrankRuehl" w:cs="FrankRuehl"/>
          <w:color w:val="0000FF"/>
          <w:u w:val="single"/>
          <w:rtl/>
        </w:rPr>
        <w:t xml:space="preserve">, </w:t>
      </w:r>
      <w:hyperlink r:id="rId11" w:history="1">
        <w:r w:rsidRPr="00FF1441">
          <w:rPr>
            <w:rStyle w:val="Hyperlink"/>
            <w:rFonts w:ascii="FrankRuehl" w:hAnsi="FrankRuehl" w:cs="FrankRuehl"/>
          </w:rPr>
          <w:t>40</w:t>
        </w:r>
        <w:r w:rsidRPr="00FF1441">
          <w:rPr>
            <w:rStyle w:val="Hyperlink"/>
            <w:rFonts w:ascii="FrankRuehl" w:hAnsi="FrankRuehl" w:cs="FrankRuehl"/>
            <w:rtl/>
          </w:rPr>
          <w:t>יא</w:t>
        </w:r>
        <w:r w:rsidRPr="00FF1441">
          <w:rPr>
            <w:rStyle w:val="Hyperlink"/>
            <w:rFonts w:ascii="FrankRuehl" w:hAnsi="FrankRuehl" w:cs="FrankRuehl"/>
          </w:rPr>
          <w:t>'</w:t>
        </w:r>
      </w:hyperlink>
    </w:p>
    <w:p w14:paraId="1E5B39F1" w14:textId="77777777" w:rsidR="00FF1441" w:rsidRPr="00FF1441" w:rsidRDefault="00FF1441" w:rsidP="00FF1441">
      <w:pPr>
        <w:spacing w:after="120" w:line="240" w:lineRule="exact"/>
        <w:ind w:left="283" w:hanging="283"/>
        <w:jc w:val="both"/>
        <w:rPr>
          <w:rFonts w:ascii="FrankRuehl" w:hAnsi="FrankRuehl" w:cs="FrankRuehl"/>
          <w:rtl/>
        </w:rPr>
      </w:pPr>
    </w:p>
    <w:p w14:paraId="2CCA8461" w14:textId="77777777" w:rsidR="00FF1441" w:rsidRPr="00FF1441" w:rsidRDefault="00FF1441">
      <w:pPr>
        <w:jc w:val="center"/>
        <w:rPr>
          <w:rFonts w:ascii="Arial" w:hAnsi="Arial"/>
          <w:sz w:val="28"/>
          <w:rtl/>
        </w:rPr>
      </w:pPr>
      <w:bookmarkStart w:id="4" w:name="LawTable_End"/>
      <w:bookmarkEnd w:id="4"/>
    </w:p>
    <w:p w14:paraId="70454F0F" w14:textId="77777777" w:rsidR="00FF1441" w:rsidRPr="00FF1441" w:rsidRDefault="00FF1441">
      <w:pPr>
        <w:jc w:val="center"/>
        <w:rPr>
          <w:rFonts w:ascii="Arial" w:hAnsi="Arial"/>
          <w:b/>
          <w:color w:val="FF0000"/>
          <w:sz w:val="28"/>
          <w:rtl/>
        </w:rPr>
      </w:pPr>
    </w:p>
    <w:p w14:paraId="2DF6D9C7" w14:textId="77777777" w:rsidR="00B20B4A" w:rsidRDefault="009F06D7">
      <w:pPr>
        <w:jc w:val="center"/>
        <w:rPr>
          <w:rFonts w:ascii="Arial" w:hAnsi="Arial"/>
          <w:b/>
          <w:color w:val="FF0000"/>
          <w:sz w:val="28"/>
          <w:rtl/>
        </w:rPr>
      </w:pPr>
      <w:r w:rsidRPr="00FF1441">
        <w:rPr>
          <w:rFonts w:ascii="Arial" w:hAnsi="Arial"/>
          <w:b/>
          <w:color w:val="FF0000"/>
          <w:sz w:val="28"/>
          <w:rtl/>
        </w:rPr>
        <w:t>ם</w:t>
      </w:r>
    </w:p>
    <w:p w14:paraId="720D6D59" w14:textId="77777777" w:rsidR="00B20B4A" w:rsidRPr="00B20B4A" w:rsidRDefault="00B20B4A" w:rsidP="00B20B4A">
      <w:pPr>
        <w:spacing w:after="120" w:line="240" w:lineRule="exact"/>
        <w:ind w:left="283" w:hanging="283"/>
        <w:jc w:val="both"/>
        <w:rPr>
          <w:rFonts w:ascii="FrankRuehl" w:hAnsi="FrankRuehl" w:cs="FrankRuehl"/>
          <w:rtl/>
        </w:rPr>
      </w:pPr>
      <w:r w:rsidRPr="00B20B4A">
        <w:rPr>
          <w:rFonts w:ascii="FrankRuehl" w:hAnsi="FrankRuehl" w:cs="FrankRuehl"/>
          <w:rtl/>
        </w:rPr>
        <w:t xml:space="preserve">חקיקה שאוזכרה: </w:t>
      </w:r>
    </w:p>
    <w:p w14:paraId="0828E92B" w14:textId="77777777" w:rsidR="00B20B4A" w:rsidRPr="00B20B4A" w:rsidRDefault="00B20B4A" w:rsidP="00B20B4A">
      <w:pPr>
        <w:spacing w:after="120" w:line="240" w:lineRule="exact"/>
        <w:ind w:left="283" w:hanging="283"/>
        <w:jc w:val="both"/>
        <w:rPr>
          <w:rFonts w:ascii="FrankRuehl" w:hAnsi="FrankRuehl" w:cs="FrankRuehl"/>
          <w:color w:val="0000FF"/>
          <w:u w:val="single"/>
          <w:rtl/>
        </w:rPr>
      </w:pPr>
      <w:hyperlink r:id="rId12" w:history="1">
        <w:r w:rsidRPr="00B20B4A">
          <w:rPr>
            <w:rStyle w:val="Hyperlink"/>
            <w:rFonts w:ascii="FrankRuehl" w:hAnsi="FrankRuehl" w:cs="FrankRuehl"/>
            <w:rtl/>
          </w:rPr>
          <w:t>חוק העונשין, תשל"ז-1977</w:t>
        </w:r>
      </w:hyperlink>
      <w:r w:rsidRPr="00B20B4A">
        <w:rPr>
          <w:rFonts w:ascii="FrankRuehl" w:hAnsi="FrankRuehl" w:cs="FrankRuehl"/>
          <w:color w:val="0000FF"/>
          <w:u w:val="single"/>
          <w:rtl/>
        </w:rPr>
        <w:t xml:space="preserve">: סע'  </w:t>
      </w:r>
      <w:hyperlink r:id="rId13" w:history="1">
        <w:r w:rsidRPr="00B20B4A">
          <w:rPr>
            <w:rStyle w:val="Hyperlink"/>
            <w:rFonts w:ascii="FrankRuehl" w:hAnsi="FrankRuehl" w:cs="FrankRuehl"/>
          </w:rPr>
          <w:t>40</w:t>
        </w:r>
        <w:r w:rsidRPr="00B20B4A">
          <w:rPr>
            <w:rStyle w:val="Hyperlink"/>
            <w:rFonts w:ascii="FrankRuehl" w:hAnsi="FrankRuehl" w:cs="FrankRuehl"/>
            <w:rtl/>
          </w:rPr>
          <w:t>ג</w:t>
        </w:r>
        <w:r w:rsidRPr="00B20B4A">
          <w:rPr>
            <w:rStyle w:val="Hyperlink"/>
            <w:rFonts w:ascii="FrankRuehl" w:hAnsi="FrankRuehl" w:cs="FrankRuehl"/>
          </w:rPr>
          <w:t>'</w:t>
        </w:r>
      </w:hyperlink>
      <w:r w:rsidRPr="00B20B4A">
        <w:rPr>
          <w:rFonts w:ascii="FrankRuehl" w:hAnsi="FrankRuehl" w:cs="FrankRuehl"/>
          <w:color w:val="0000FF"/>
          <w:u w:val="single"/>
          <w:rtl/>
        </w:rPr>
        <w:t xml:space="preserve">, </w:t>
      </w:r>
      <w:hyperlink r:id="rId14" w:history="1">
        <w:r w:rsidRPr="00B20B4A">
          <w:rPr>
            <w:rStyle w:val="Hyperlink"/>
            <w:rFonts w:ascii="FrankRuehl" w:hAnsi="FrankRuehl" w:cs="FrankRuehl"/>
          </w:rPr>
          <w:t>40</w:t>
        </w:r>
        <w:r w:rsidRPr="00B20B4A">
          <w:rPr>
            <w:rStyle w:val="Hyperlink"/>
            <w:rFonts w:ascii="FrankRuehl" w:hAnsi="FrankRuehl" w:cs="FrankRuehl"/>
            <w:rtl/>
          </w:rPr>
          <w:t>ד(א</w:t>
        </w:r>
        <w:r w:rsidRPr="00B20B4A">
          <w:rPr>
            <w:rStyle w:val="Hyperlink"/>
            <w:rFonts w:ascii="FrankRuehl" w:hAnsi="FrankRuehl" w:cs="FrankRuehl"/>
          </w:rPr>
          <w:t>)</w:t>
        </w:r>
      </w:hyperlink>
      <w:r w:rsidRPr="00B20B4A">
        <w:rPr>
          <w:rFonts w:ascii="FrankRuehl" w:hAnsi="FrankRuehl" w:cs="FrankRuehl"/>
          <w:color w:val="0000FF"/>
          <w:u w:val="single"/>
          <w:rtl/>
        </w:rPr>
        <w:t xml:space="preserve">, </w:t>
      </w:r>
      <w:hyperlink r:id="rId15" w:history="1">
        <w:r w:rsidRPr="00B20B4A">
          <w:rPr>
            <w:rStyle w:val="Hyperlink"/>
            <w:rFonts w:ascii="FrankRuehl" w:hAnsi="FrankRuehl" w:cs="FrankRuehl"/>
          </w:rPr>
          <w:t>144(</w:t>
        </w:r>
        <w:r w:rsidRPr="00B20B4A">
          <w:rPr>
            <w:rStyle w:val="Hyperlink"/>
            <w:rFonts w:ascii="FrankRuehl" w:hAnsi="FrankRuehl" w:cs="FrankRuehl"/>
            <w:rtl/>
          </w:rPr>
          <w:t>א</w:t>
        </w:r>
        <w:r w:rsidRPr="00B20B4A">
          <w:rPr>
            <w:rStyle w:val="Hyperlink"/>
            <w:rFonts w:ascii="FrankRuehl" w:hAnsi="FrankRuehl" w:cs="FrankRuehl"/>
          </w:rPr>
          <w:t>)</w:t>
        </w:r>
      </w:hyperlink>
      <w:r w:rsidRPr="00B20B4A">
        <w:rPr>
          <w:rFonts w:ascii="FrankRuehl" w:hAnsi="FrankRuehl" w:cs="FrankRuehl"/>
          <w:color w:val="0000FF"/>
          <w:u w:val="single"/>
          <w:rtl/>
        </w:rPr>
        <w:t xml:space="preserve">, </w:t>
      </w:r>
      <w:hyperlink r:id="rId16" w:history="1">
        <w:r w:rsidRPr="00B20B4A">
          <w:rPr>
            <w:rStyle w:val="Hyperlink"/>
            <w:rFonts w:ascii="FrankRuehl" w:hAnsi="FrankRuehl" w:cs="FrankRuehl"/>
          </w:rPr>
          <w:t>40</w:t>
        </w:r>
        <w:r w:rsidRPr="00B20B4A">
          <w:rPr>
            <w:rStyle w:val="Hyperlink"/>
            <w:rFonts w:ascii="FrankRuehl" w:hAnsi="FrankRuehl" w:cs="FrankRuehl"/>
            <w:rtl/>
          </w:rPr>
          <w:t>יא</w:t>
        </w:r>
        <w:r w:rsidRPr="00B20B4A">
          <w:rPr>
            <w:rStyle w:val="Hyperlink"/>
            <w:rFonts w:ascii="FrankRuehl" w:hAnsi="FrankRuehl" w:cs="FrankRuehl"/>
          </w:rPr>
          <w:t>'</w:t>
        </w:r>
      </w:hyperlink>
    </w:p>
    <w:p w14:paraId="2485D796" w14:textId="77777777" w:rsidR="009F06D7" w:rsidRPr="009F06D7" w:rsidRDefault="009F06D7">
      <w:pPr>
        <w:jc w:val="center"/>
        <w:rPr>
          <w:rFonts w:ascii="Arial" w:hAnsi="Arial"/>
          <w:b/>
          <w:bCs/>
          <w:sz w:val="28"/>
          <w:szCs w:val="28"/>
          <w:rtl/>
        </w:rPr>
      </w:pPr>
    </w:p>
    <w:p w14:paraId="3DAC5B7A" w14:textId="77777777" w:rsidR="009F06D7" w:rsidRPr="009F06D7" w:rsidRDefault="009F06D7" w:rsidP="009F06D7">
      <w:pPr>
        <w:jc w:val="center"/>
        <w:rPr>
          <w:rFonts w:ascii="Arial" w:hAnsi="Arial"/>
          <w:b/>
          <w:bCs/>
          <w:sz w:val="28"/>
          <w:szCs w:val="28"/>
          <w:u w:val="single"/>
          <w:rtl/>
        </w:rPr>
      </w:pPr>
      <w:bookmarkStart w:id="5" w:name="PsakDin"/>
      <w:bookmarkEnd w:id="0"/>
      <w:r w:rsidRPr="009F06D7">
        <w:rPr>
          <w:rFonts w:ascii="Arial" w:hAnsi="Arial"/>
          <w:b/>
          <w:bCs/>
          <w:sz w:val="28"/>
          <w:szCs w:val="28"/>
          <w:u w:val="single"/>
          <w:rtl/>
        </w:rPr>
        <w:t>גזר דין</w:t>
      </w:r>
    </w:p>
    <w:bookmarkEnd w:id="5"/>
    <w:p w14:paraId="183E23D3" w14:textId="77777777" w:rsidR="005B02B6" w:rsidRDefault="009F06D7">
      <w:pPr>
        <w:jc w:val="both"/>
        <w:rPr>
          <w:b/>
          <w:bCs/>
        </w:rPr>
      </w:pPr>
      <w:r>
        <w:rPr>
          <w:rFonts w:hint="cs"/>
          <w:b/>
          <w:bCs/>
          <w:rtl/>
        </w:rPr>
        <w:t>כתב האישום</w:t>
      </w:r>
    </w:p>
    <w:p w14:paraId="22F11A97" w14:textId="77777777" w:rsidR="005B02B6" w:rsidRDefault="005B02B6">
      <w:pPr>
        <w:spacing w:line="360" w:lineRule="auto"/>
        <w:ind w:left="26"/>
        <w:jc w:val="both"/>
        <w:rPr>
          <w:rtl/>
        </w:rPr>
      </w:pPr>
    </w:p>
    <w:p w14:paraId="1695CA88" w14:textId="77777777" w:rsidR="005B02B6" w:rsidRDefault="009F06D7">
      <w:pPr>
        <w:numPr>
          <w:ilvl w:val="0"/>
          <w:numId w:val="1"/>
        </w:numPr>
        <w:spacing w:line="360" w:lineRule="auto"/>
        <w:ind w:left="746" w:hanging="900"/>
        <w:jc w:val="both"/>
      </w:pPr>
      <w:r>
        <w:rPr>
          <w:rFonts w:hint="cs"/>
          <w:rtl/>
        </w:rPr>
        <w:t xml:space="preserve">הנאשם הורשע על פי הודאתו בכתב אישום מתוקן בעבירה של החזקת נשק שלא כדין לפי </w:t>
      </w:r>
      <w:hyperlink r:id="rId17" w:history="1">
        <w:r w:rsidR="00B20B4A" w:rsidRPr="00B20B4A">
          <w:rPr>
            <w:rStyle w:val="Hyperlink"/>
            <w:rFonts w:hint="eastAsia"/>
            <w:rtl/>
          </w:rPr>
          <w:t>סעיף</w:t>
        </w:r>
        <w:r w:rsidR="00B20B4A" w:rsidRPr="00B20B4A">
          <w:rPr>
            <w:rStyle w:val="Hyperlink"/>
            <w:rtl/>
          </w:rPr>
          <w:t xml:space="preserve"> 144(א)</w:t>
        </w:r>
      </w:hyperlink>
      <w:r>
        <w:rPr>
          <w:rFonts w:hint="cs"/>
          <w:rtl/>
        </w:rPr>
        <w:t xml:space="preserve"> ל</w:t>
      </w:r>
      <w:hyperlink r:id="rId18" w:history="1">
        <w:r w:rsidRPr="009F06D7">
          <w:rPr>
            <w:color w:val="0000FF"/>
            <w:u w:val="single"/>
            <w:rtl/>
          </w:rPr>
          <w:t>חוק העונשין</w:t>
        </w:r>
      </w:hyperlink>
      <w:r>
        <w:rPr>
          <w:rFonts w:hint="cs"/>
          <w:rtl/>
        </w:rPr>
        <w:t xml:space="preserve">, התשל"ז-1977 (להלן: </w:t>
      </w:r>
      <w:r>
        <w:rPr>
          <w:rFonts w:hint="cs"/>
          <w:b/>
          <w:bCs/>
          <w:rtl/>
        </w:rPr>
        <w:t>חוק העונשין</w:t>
      </w:r>
      <w:r>
        <w:rPr>
          <w:rFonts w:hint="cs"/>
          <w:rtl/>
        </w:rPr>
        <w:t>).</w:t>
      </w:r>
    </w:p>
    <w:p w14:paraId="0B877550" w14:textId="77777777" w:rsidR="005B02B6" w:rsidRDefault="005B02B6">
      <w:pPr>
        <w:spacing w:line="360" w:lineRule="auto"/>
        <w:ind w:left="746"/>
        <w:jc w:val="both"/>
      </w:pPr>
    </w:p>
    <w:p w14:paraId="66AC307D" w14:textId="77777777" w:rsidR="005B02B6" w:rsidRDefault="009F06D7">
      <w:pPr>
        <w:numPr>
          <w:ilvl w:val="0"/>
          <w:numId w:val="1"/>
        </w:numPr>
        <w:spacing w:line="360" w:lineRule="auto"/>
        <w:ind w:left="746" w:hanging="900"/>
        <w:jc w:val="both"/>
      </w:pPr>
      <w:r>
        <w:rPr>
          <w:rFonts w:hint="cs"/>
          <w:rtl/>
        </w:rPr>
        <w:t xml:space="preserve">על פי עובדות כתב האישום, ביום 9.11.13 סמוך לשעה 23:30, בצומת רגבה, נמצא ברכבו של הנאשם, מתחת לכיסא הנהג, אקדח מסוג "גלוק" ומחסנית ריקה בתוכו, וזאת מבלי שניתנה לנאשם רשות על פי דין להחזקתו.     </w:t>
      </w:r>
    </w:p>
    <w:p w14:paraId="76CD0E9D" w14:textId="77777777" w:rsidR="005B02B6" w:rsidRDefault="005B02B6">
      <w:pPr>
        <w:spacing w:line="360" w:lineRule="auto"/>
        <w:ind w:left="746"/>
        <w:jc w:val="both"/>
      </w:pPr>
    </w:p>
    <w:p w14:paraId="33B689C2" w14:textId="77777777" w:rsidR="005B02B6" w:rsidRDefault="009F06D7">
      <w:pPr>
        <w:numPr>
          <w:ilvl w:val="0"/>
          <w:numId w:val="1"/>
        </w:numPr>
        <w:spacing w:line="360" w:lineRule="auto"/>
        <w:ind w:left="746" w:hanging="900"/>
        <w:jc w:val="both"/>
      </w:pPr>
      <w:r>
        <w:rPr>
          <w:rFonts w:hint="cs"/>
          <w:rtl/>
        </w:rPr>
        <w:t xml:space="preserve">הנאשם כפר תחילה בעובדות כתב האישום ונשמעו חלק מהראיות, אך בדיון שהתקיים ביום 1.5.14 הודיעו הצדדים כי הגיעו להסדר טיעון לפיו הנאשם יודה בכתב האישום לאחר שיתוקן, ועניינו יבחן על ידי שירות המבחן. הובהר כי אין הסכמה לעניין העונש.  </w:t>
      </w:r>
    </w:p>
    <w:p w14:paraId="7CCFA087" w14:textId="77777777" w:rsidR="005B02B6" w:rsidRDefault="005B02B6">
      <w:pPr>
        <w:spacing w:line="360" w:lineRule="auto"/>
        <w:ind w:left="-154"/>
        <w:jc w:val="both"/>
        <w:rPr>
          <w:rtl/>
        </w:rPr>
      </w:pPr>
    </w:p>
    <w:p w14:paraId="444E5F11" w14:textId="77777777" w:rsidR="005B02B6" w:rsidRDefault="009F06D7">
      <w:pPr>
        <w:numPr>
          <w:ilvl w:val="0"/>
          <w:numId w:val="1"/>
        </w:numPr>
        <w:spacing w:line="360" w:lineRule="auto"/>
        <w:ind w:left="746" w:hanging="900"/>
        <w:jc w:val="both"/>
      </w:pPr>
      <w:r>
        <w:rPr>
          <w:rFonts w:hint="cs"/>
          <w:rtl/>
        </w:rPr>
        <w:t>לאור הסכמות הצדדים הוריתי על קבלת תסקיר שירות המבחן.</w:t>
      </w:r>
    </w:p>
    <w:p w14:paraId="0DA1EB1E" w14:textId="77777777" w:rsidR="005B02B6" w:rsidRDefault="005B02B6">
      <w:pPr>
        <w:spacing w:line="360" w:lineRule="auto"/>
        <w:ind w:left="-154"/>
        <w:jc w:val="both"/>
      </w:pPr>
    </w:p>
    <w:p w14:paraId="17C58C82" w14:textId="77777777" w:rsidR="005B02B6" w:rsidRDefault="009F06D7">
      <w:pPr>
        <w:jc w:val="both"/>
        <w:rPr>
          <w:b/>
          <w:bCs/>
        </w:rPr>
      </w:pPr>
      <w:r>
        <w:rPr>
          <w:rFonts w:hint="cs"/>
          <w:b/>
          <w:bCs/>
          <w:rtl/>
        </w:rPr>
        <w:t>תסקיר שירות המבחן</w:t>
      </w:r>
    </w:p>
    <w:p w14:paraId="10AC09F5" w14:textId="77777777" w:rsidR="005B02B6" w:rsidRDefault="005B02B6">
      <w:pPr>
        <w:jc w:val="both"/>
      </w:pPr>
    </w:p>
    <w:p w14:paraId="3306AE5B" w14:textId="77777777" w:rsidR="005B02B6" w:rsidRDefault="009F06D7">
      <w:pPr>
        <w:numPr>
          <w:ilvl w:val="0"/>
          <w:numId w:val="1"/>
        </w:numPr>
        <w:spacing w:line="360" w:lineRule="auto"/>
        <w:ind w:left="746" w:hanging="900"/>
        <w:jc w:val="both"/>
        <w:rPr>
          <w:rtl/>
        </w:rPr>
      </w:pPr>
      <w:r>
        <w:rPr>
          <w:rFonts w:hint="cs"/>
          <w:rtl/>
        </w:rPr>
        <w:t xml:space="preserve">בתסקיר מיום 13.10.14 סקר שירות המבחן את נסיבותיו האישיות והמשפחתיות של הנאשם; שירות המבחן ציין כי הנאשם בן 27, מתגורר עם משפחתו בנצרת ועובד בניין במקצועו. לדברי הנאשם, הוא גדל באווירה משפחתית מורכבת, ובין היתר תואר דפוס התקשרות נוקשה ושלילי עם אב המשפחה; סכסוך אלים בין אב המשפחה לאחיו של הנאשם והתנכלויות כלפי הנאשם מצד דודיו. צוין עוד כי עברו הפלילי של הנאשם כולל עבירה אחת של החזקת נכס חשוד כגנוב אשר בגינה הוטל עליו מאסר מותנה.    </w:t>
      </w:r>
    </w:p>
    <w:p w14:paraId="225BB54C" w14:textId="77777777" w:rsidR="005B02B6" w:rsidRDefault="005B02B6">
      <w:pPr>
        <w:spacing w:line="360" w:lineRule="auto"/>
        <w:ind w:left="-154"/>
        <w:jc w:val="both"/>
      </w:pPr>
    </w:p>
    <w:p w14:paraId="3346EF17" w14:textId="77777777" w:rsidR="005B02B6" w:rsidRDefault="009F06D7">
      <w:pPr>
        <w:spacing w:line="360" w:lineRule="auto"/>
        <w:ind w:left="746"/>
        <w:jc w:val="both"/>
      </w:pPr>
      <w:r>
        <w:rPr>
          <w:rFonts w:hint="cs"/>
          <w:rtl/>
        </w:rPr>
        <w:t xml:space="preserve">אשר למעשה העבירה – שירות המבחן ציין כי הנאשם אינו לוקח אחריות על מעשיו. הנאשם הודה שהאקדח נמצא ברכב בו נהג, אך טען שהרכב שייך לקרוב משפחה ושלל כל ידיעה קודמת לגבי האקדח. עוד צוין כי הנאשם היה זהיר ביחסו כלפי שירות המבחן, וכי לא הכיר בקיומם של הגורמים האישיים והרגשיים אשר נמצאים בבסיס התנהגותו.   </w:t>
      </w:r>
    </w:p>
    <w:p w14:paraId="434F0DF6" w14:textId="77777777" w:rsidR="005B02B6" w:rsidRDefault="005B02B6">
      <w:pPr>
        <w:spacing w:line="360" w:lineRule="auto"/>
        <w:ind w:left="746"/>
        <w:jc w:val="both"/>
      </w:pPr>
    </w:p>
    <w:p w14:paraId="4AD77095" w14:textId="77777777" w:rsidR="005B02B6" w:rsidRDefault="009F06D7">
      <w:pPr>
        <w:spacing w:line="360" w:lineRule="auto"/>
        <w:ind w:left="746"/>
        <w:jc w:val="both"/>
        <w:rPr>
          <w:rtl/>
        </w:rPr>
      </w:pPr>
      <w:r>
        <w:rPr>
          <w:rFonts w:hint="cs"/>
          <w:rtl/>
        </w:rPr>
        <w:t xml:space="preserve">לסיכומם של דברים ציין שירות המבחן כי הנאשם סובל מדימוי עצמי נמוך ומתחושת דחייה וחוסר שייכות, כי הוא עסוק בסיפוק צרכיו, לרבות נראות והכרה, וכי ככל הנראה הוא מחפש אובייקטים חיצוניים כמו נשק כדי לחוש ביטחון ושליטה. עוד צוין כי הנאשם אינו מסוגל להתבונן באופן ביקורתי בהתנהלותו, ומתנגד לקחת חלק בתוכנית טיפולית ולכן אין המלצה טיפולית בעניינו. לאור האמור סבור שירות המבחן כי קיים סיכון גבוה להישנות התנהגות מפרת חוק בעתיד ולפיכך הומלץ על ענישה מוחשית מרתיעה.  </w:t>
      </w:r>
    </w:p>
    <w:p w14:paraId="4606D247" w14:textId="77777777" w:rsidR="005B02B6" w:rsidRDefault="005B02B6">
      <w:pPr>
        <w:spacing w:line="360" w:lineRule="auto"/>
        <w:ind w:left="-154"/>
        <w:jc w:val="both"/>
        <w:rPr>
          <w:rtl/>
        </w:rPr>
      </w:pPr>
    </w:p>
    <w:p w14:paraId="0EBDD8F2" w14:textId="77777777" w:rsidR="005B02B6" w:rsidRDefault="009F06D7">
      <w:pPr>
        <w:ind w:left="-154"/>
        <w:jc w:val="both"/>
        <w:rPr>
          <w:b/>
          <w:bCs/>
        </w:rPr>
      </w:pPr>
      <w:r>
        <w:rPr>
          <w:rFonts w:hint="cs"/>
          <w:b/>
          <w:bCs/>
          <w:rtl/>
        </w:rPr>
        <w:t>ראיות וטיעוני הצדדים לעונש</w:t>
      </w:r>
      <w:r>
        <w:rPr>
          <w:b/>
          <w:bCs/>
        </w:rPr>
        <w:t xml:space="preserve">  </w:t>
      </w:r>
    </w:p>
    <w:p w14:paraId="243865A7" w14:textId="77777777" w:rsidR="005B02B6" w:rsidRDefault="005B02B6">
      <w:pPr>
        <w:ind w:left="-154"/>
        <w:jc w:val="both"/>
      </w:pPr>
    </w:p>
    <w:p w14:paraId="22A071D0" w14:textId="77777777" w:rsidR="005B02B6" w:rsidRDefault="009F06D7">
      <w:pPr>
        <w:numPr>
          <w:ilvl w:val="0"/>
          <w:numId w:val="1"/>
        </w:numPr>
        <w:spacing w:line="360" w:lineRule="auto"/>
        <w:ind w:left="746" w:hanging="900"/>
        <w:jc w:val="both"/>
        <w:rPr>
          <w:rtl/>
        </w:rPr>
      </w:pPr>
      <w:r>
        <w:rPr>
          <w:rFonts w:hint="cs"/>
          <w:rtl/>
        </w:rPr>
        <w:t>באת כוח המאשימה טענה לעונש, פירטה את נסיבות ביצוע העבירה ואת חומרתה והפנתה לפסיקה; נטען כי הערך המוגן בבסיסה של עבירת החזקת נשק הינו הגנה על שלום הציבור וביטחונו. עוד נטען כי עבירות מסוג זה הן נפוצות וטומנות בחובן מסוכנות רבה להסלמה חמורה. לפיכך, סבורה באת כוח המאשימה כי מתחם הענישה נע בין 8 ל-20 חודשי מאסר בפועל. בהקשר זה הפנתה ל</w:t>
      </w:r>
      <w:hyperlink r:id="rId19" w:history="1">
        <w:r w:rsidRPr="009F06D7">
          <w:rPr>
            <w:color w:val="0000FF"/>
            <w:u w:val="single"/>
            <w:rtl/>
          </w:rPr>
          <w:t>ת"פ (שלום חדרה) 5576-05-12</w:t>
        </w:r>
      </w:hyperlink>
      <w:r>
        <w:rPr>
          <w:rFonts w:hint="cs"/>
          <w:rtl/>
        </w:rPr>
        <w:t xml:space="preserve"> </w:t>
      </w:r>
      <w:r>
        <w:rPr>
          <w:rFonts w:hint="cs"/>
          <w:b/>
          <w:bCs/>
          <w:rtl/>
        </w:rPr>
        <w:t xml:space="preserve">מדינת ישראל נ' מברצקי </w:t>
      </w:r>
      <w:r>
        <w:rPr>
          <w:rFonts w:hint="cs"/>
          <w:rtl/>
        </w:rPr>
        <w:t>(12.11.2012)), שם דובר על מקרה חמור יותר של החזקת נשק ותחמושת, וכן החזקת רכוש החשוד כגנוב, נקבע מתחם ענישה של בין 8 ל-24 חודשים, ונגזרו על הנאשם 16 חודשי מאסר בפועל. כן הפנתה היא ל</w:t>
      </w:r>
      <w:hyperlink r:id="rId20" w:history="1">
        <w:r w:rsidRPr="009F06D7">
          <w:rPr>
            <w:color w:val="0000FF"/>
            <w:u w:val="single"/>
            <w:rtl/>
          </w:rPr>
          <w:t>ת"פ (שלום נצרת) 41129-02-14</w:t>
        </w:r>
      </w:hyperlink>
      <w:r>
        <w:rPr>
          <w:rFonts w:hint="cs"/>
          <w:rtl/>
        </w:rPr>
        <w:t xml:space="preserve"> </w:t>
      </w:r>
      <w:r>
        <w:rPr>
          <w:rFonts w:hint="cs"/>
          <w:b/>
          <w:bCs/>
          <w:rtl/>
        </w:rPr>
        <w:t>מדינת ישראל נ' עבדאללה</w:t>
      </w:r>
      <w:r>
        <w:rPr>
          <w:rFonts w:hint="cs"/>
          <w:rtl/>
        </w:rPr>
        <w:t xml:space="preserve"> (17.3.14), שם דובר על נאשם שהורשע בעבירת החזקת נשק ותחמושת, ונגזרו עליו 9 חודשי מאסר בפועל. </w:t>
      </w:r>
    </w:p>
    <w:p w14:paraId="003B109C" w14:textId="77777777" w:rsidR="005B02B6" w:rsidRDefault="005B02B6">
      <w:pPr>
        <w:spacing w:line="360" w:lineRule="auto"/>
        <w:ind w:left="746"/>
        <w:jc w:val="both"/>
      </w:pPr>
    </w:p>
    <w:p w14:paraId="74F8CE31" w14:textId="77777777" w:rsidR="005B02B6" w:rsidRDefault="009F06D7">
      <w:pPr>
        <w:numPr>
          <w:ilvl w:val="0"/>
          <w:numId w:val="1"/>
        </w:numPr>
        <w:spacing w:line="360" w:lineRule="auto"/>
        <w:ind w:left="746" w:hanging="900"/>
        <w:jc w:val="both"/>
      </w:pPr>
      <w:r>
        <w:rPr>
          <w:rFonts w:hint="cs"/>
          <w:rtl/>
        </w:rPr>
        <w:t xml:space="preserve">לגבי נסיבות ביצוע העבירה טענה באת כוח המאשימה כי המסוכנות הנשקפת מעבירה זו קיימת גם במקרה דנן, בו מחסנית האקדח נמצאה ריקה. באשר לגזירת העונש בתוך המתחם, הפנתה באת כוח המאשימה להרשעתו הקודמת של הנאשם ולאמור בתסקיר לגבי הסיכון להישנות התנהגות מפרת חוק מצד הנאשם. לפיכך, ביקשה לאמץ את המלצות </w:t>
      </w:r>
      <w:r>
        <w:rPr>
          <w:rFonts w:hint="cs"/>
          <w:rtl/>
        </w:rPr>
        <w:lastRenderedPageBreak/>
        <w:t xml:space="preserve">תסקיר שירות המבחן ולהטיל על הנאשם ענישה מוחשית של מאסר בפועל וכן מאסר על תנאי.  </w:t>
      </w:r>
    </w:p>
    <w:p w14:paraId="080B1D60" w14:textId="77777777" w:rsidR="005B02B6" w:rsidRDefault="005B02B6">
      <w:pPr>
        <w:spacing w:line="360" w:lineRule="auto"/>
        <w:ind w:left="-154"/>
        <w:jc w:val="both"/>
      </w:pPr>
    </w:p>
    <w:p w14:paraId="2D729935" w14:textId="77777777" w:rsidR="005B02B6" w:rsidRDefault="009F06D7">
      <w:pPr>
        <w:numPr>
          <w:ilvl w:val="0"/>
          <w:numId w:val="1"/>
        </w:numPr>
        <w:spacing w:line="360" w:lineRule="auto"/>
        <w:ind w:left="746" w:hanging="900"/>
        <w:jc w:val="both"/>
      </w:pPr>
      <w:r>
        <w:rPr>
          <w:rFonts w:hint="cs"/>
          <w:rtl/>
        </w:rPr>
        <w:t>הסניגור חלק על המתחם שנטען על ידי באת כוח המאשימה, טען כי מדובר בהחזקת נשק אשר מבחינת מדרג נמצאת ברף הנמוך ביותר בעבירות מסוג זה, שכן מלבד העובדה שהנשק נמצא ברכב בו נהג הנאשם, לא נערכו בדיקות פורנזיות שיקשרו את האקדח לנאשם, האקדח נמצא ללא תחמושת, ולא הובאה כל אינדיקציה לתכלית החזקתו. לטענת הסניגור, על אף קיומו של קושי ראייתי ממשי בחר הנאשם להודות ובכך לחסוך מזמנו של בית המשפט. הסניגור הפנה לפסיקה בה הוטלו על נאשמים בביצוע עבירה זו (הכוללים אף נסיבות חמורות יותר) עונשי מאסר לריצוי בעבודות שירות; בין היתר הפנה ל</w:t>
      </w:r>
      <w:hyperlink r:id="rId21" w:history="1">
        <w:r w:rsidRPr="009F06D7">
          <w:rPr>
            <w:color w:val="0000FF"/>
            <w:u w:val="single"/>
            <w:rtl/>
          </w:rPr>
          <w:t>תפ"ח (מחוזי מרכז) 34956-02-10</w:t>
        </w:r>
      </w:hyperlink>
      <w:r>
        <w:rPr>
          <w:rFonts w:hint="cs"/>
          <w:rtl/>
        </w:rPr>
        <w:t xml:space="preserve"> </w:t>
      </w:r>
      <w:r>
        <w:rPr>
          <w:rFonts w:hint="cs"/>
          <w:b/>
          <w:bCs/>
          <w:rtl/>
        </w:rPr>
        <w:t>מדינת ישראל נ' פלוני</w:t>
      </w:r>
      <w:r>
        <w:rPr>
          <w:rFonts w:hint="cs"/>
          <w:rtl/>
        </w:rPr>
        <w:t xml:space="preserve"> (23.10.2011), בו הוטלו על הנאשם 6 חודשי עבודות שירות; ל</w:t>
      </w:r>
      <w:hyperlink r:id="rId22" w:history="1">
        <w:r w:rsidRPr="009F06D7">
          <w:rPr>
            <w:color w:val="0000FF"/>
            <w:u w:val="single"/>
            <w:rtl/>
          </w:rPr>
          <w:t>ע"פ (מחוזי חי') 52639-03-11</w:t>
        </w:r>
      </w:hyperlink>
      <w:r>
        <w:rPr>
          <w:rFonts w:hint="cs"/>
          <w:rtl/>
        </w:rPr>
        <w:t xml:space="preserve"> </w:t>
      </w:r>
      <w:r>
        <w:rPr>
          <w:rFonts w:hint="cs"/>
          <w:b/>
          <w:bCs/>
          <w:rtl/>
        </w:rPr>
        <w:t>מדינת ישראל נ' אבו רומי</w:t>
      </w:r>
      <w:r>
        <w:rPr>
          <w:rFonts w:hint="cs"/>
          <w:rtl/>
        </w:rPr>
        <w:t xml:space="preserve"> (16.6.2011), בו נדחה ערעור המדינה על הטלת עונש של 6 חודשי עבודות שירות על הנאשם; </w:t>
      </w:r>
      <w:hyperlink r:id="rId23" w:history="1">
        <w:r w:rsidR="00FF1441" w:rsidRPr="00FF1441">
          <w:rPr>
            <w:color w:val="0000FF"/>
            <w:u w:val="single"/>
            <w:rtl/>
          </w:rPr>
          <w:t xml:space="preserve">לת"פ (מחוזי י-ם) 207/08 </w:t>
        </w:r>
      </w:hyperlink>
      <w:r>
        <w:rPr>
          <w:rFonts w:hint="cs"/>
          <w:rtl/>
        </w:rPr>
        <w:t xml:space="preserve"> </w:t>
      </w:r>
      <w:r>
        <w:rPr>
          <w:rFonts w:hint="cs"/>
          <w:b/>
          <w:bCs/>
          <w:rtl/>
        </w:rPr>
        <w:t>מדינת ישראל נ' בלטי</w:t>
      </w:r>
      <w:r>
        <w:rPr>
          <w:rFonts w:hint="cs"/>
          <w:rtl/>
        </w:rPr>
        <w:t xml:space="preserve"> (2.11.2008), בו הורשע הנאשם בעבירות של החזקת נשק וסמים ונגזרו עליו 6 חודשי עבודות שירות; </w:t>
      </w:r>
      <w:hyperlink r:id="rId24" w:history="1">
        <w:r w:rsidR="00FF1441" w:rsidRPr="00FF1441">
          <w:rPr>
            <w:color w:val="0000FF"/>
            <w:u w:val="single"/>
            <w:rtl/>
          </w:rPr>
          <w:t xml:space="preserve">לת"פ (מחוזי נצרת) 1074/07 </w:t>
        </w:r>
      </w:hyperlink>
      <w:r>
        <w:rPr>
          <w:rFonts w:hint="cs"/>
          <w:rtl/>
        </w:rPr>
        <w:t xml:space="preserve"> </w:t>
      </w:r>
      <w:r>
        <w:rPr>
          <w:rFonts w:hint="cs"/>
          <w:b/>
          <w:bCs/>
          <w:rtl/>
        </w:rPr>
        <w:t>מדינת ישראל נ' שלבי</w:t>
      </w:r>
      <w:r>
        <w:rPr>
          <w:rFonts w:hint="cs"/>
          <w:rtl/>
        </w:rPr>
        <w:t xml:space="preserve"> (6.3.2008), בו נגזרו על הנאשם 6 חודשי עבודות שירות; ל</w:t>
      </w:r>
      <w:hyperlink r:id="rId25" w:history="1">
        <w:r w:rsidRPr="009F06D7">
          <w:rPr>
            <w:color w:val="0000FF"/>
            <w:u w:val="single"/>
            <w:rtl/>
          </w:rPr>
          <w:t>ת"פ (שלום רמלה) 35552-12-11</w:t>
        </w:r>
      </w:hyperlink>
      <w:r>
        <w:rPr>
          <w:rFonts w:hint="cs"/>
          <w:rtl/>
        </w:rPr>
        <w:t xml:space="preserve"> </w:t>
      </w:r>
      <w:r>
        <w:rPr>
          <w:rFonts w:hint="cs"/>
          <w:b/>
          <w:bCs/>
          <w:rtl/>
        </w:rPr>
        <w:t>מדינת ישראל נ' אבו עבייד</w:t>
      </w:r>
      <w:r>
        <w:rPr>
          <w:rFonts w:hint="cs"/>
          <w:rtl/>
        </w:rPr>
        <w:t xml:space="preserve"> (1.5.2013), בו נגזרו על הנאשם 7 חודשי מאסר בפועל; ל</w:t>
      </w:r>
      <w:hyperlink r:id="rId26" w:history="1">
        <w:r w:rsidRPr="009F06D7">
          <w:rPr>
            <w:color w:val="0000FF"/>
            <w:u w:val="single"/>
            <w:rtl/>
          </w:rPr>
          <w:t>ע"פ (מחוזי נצרת) 53396-06-13</w:t>
        </w:r>
      </w:hyperlink>
      <w:r>
        <w:rPr>
          <w:rFonts w:hint="cs"/>
          <w:rtl/>
        </w:rPr>
        <w:t xml:space="preserve"> </w:t>
      </w:r>
      <w:r>
        <w:rPr>
          <w:rFonts w:hint="cs"/>
          <w:b/>
          <w:bCs/>
          <w:rtl/>
        </w:rPr>
        <w:t>זועבי נ' מדינת ישראל</w:t>
      </w:r>
      <w:r>
        <w:rPr>
          <w:rFonts w:hint="cs"/>
          <w:rtl/>
        </w:rPr>
        <w:t xml:space="preserve"> (29.10.2013), בו התקבל ערעור הנאשם על גזר דינו, ועונשו הופחת מ-10 ל-7 חודשי מאסר בפועל. שם, בנימוקי הערעור צוין כי לא ניתן משקל ראוי להודאת המערער, ללקיחת האחריות, לנסיבות האישיות ולתסקיר החיובי שהוגש בעניינו. </w:t>
      </w:r>
    </w:p>
    <w:p w14:paraId="206C5BF9" w14:textId="77777777" w:rsidR="005B02B6" w:rsidRDefault="005B02B6">
      <w:pPr>
        <w:ind w:left="720"/>
      </w:pPr>
    </w:p>
    <w:p w14:paraId="78113180" w14:textId="77777777" w:rsidR="005B02B6" w:rsidRDefault="009F06D7">
      <w:pPr>
        <w:numPr>
          <w:ilvl w:val="0"/>
          <w:numId w:val="1"/>
        </w:numPr>
        <w:spacing w:line="360" w:lineRule="auto"/>
        <w:ind w:left="746" w:hanging="900"/>
        <w:jc w:val="both"/>
      </w:pPr>
      <w:r>
        <w:rPr>
          <w:rFonts w:hint="cs"/>
          <w:rtl/>
        </w:rPr>
        <w:t xml:space="preserve">באשר לגזירת העונש בתוך המתחם ציין הסניגור כי לא עולה מתסקיר שירות המבחן בעיה מיוחדת שיש לנאשם המצריכה טיפול או שיקום, והוא סבור כי לאור הנסיבות, הן של העושה והן של המעשה, יש להטיל על הנאשם עונש מאסר לריצוי בדרך של עבודות שירות.   </w:t>
      </w:r>
    </w:p>
    <w:p w14:paraId="46A4F7BB" w14:textId="77777777" w:rsidR="005B02B6" w:rsidRDefault="005B02B6">
      <w:pPr>
        <w:ind w:left="720"/>
        <w:rPr>
          <w:rtl/>
        </w:rPr>
      </w:pPr>
    </w:p>
    <w:p w14:paraId="41C0A111" w14:textId="77777777" w:rsidR="005B02B6" w:rsidRDefault="005B02B6">
      <w:pPr>
        <w:spacing w:line="360" w:lineRule="auto"/>
        <w:ind w:left="-154"/>
        <w:jc w:val="both"/>
      </w:pPr>
    </w:p>
    <w:p w14:paraId="15EFE4BE" w14:textId="77777777" w:rsidR="005B02B6" w:rsidRDefault="009F06D7">
      <w:pPr>
        <w:ind w:left="-153"/>
        <w:jc w:val="both"/>
        <w:rPr>
          <w:b/>
          <w:bCs/>
          <w:rtl/>
        </w:rPr>
      </w:pPr>
      <w:r>
        <w:rPr>
          <w:rFonts w:hint="cs"/>
          <w:b/>
          <w:bCs/>
          <w:rtl/>
        </w:rPr>
        <w:t xml:space="preserve">מתחם העונש ההולם </w:t>
      </w:r>
    </w:p>
    <w:p w14:paraId="2F26FF27" w14:textId="77777777" w:rsidR="005B02B6" w:rsidRDefault="005B02B6">
      <w:pPr>
        <w:ind w:left="-154"/>
        <w:jc w:val="both"/>
        <w:rPr>
          <w:b/>
          <w:bCs/>
        </w:rPr>
      </w:pPr>
    </w:p>
    <w:p w14:paraId="06174281" w14:textId="77777777" w:rsidR="005B02B6" w:rsidRDefault="009F06D7">
      <w:pPr>
        <w:numPr>
          <w:ilvl w:val="0"/>
          <w:numId w:val="1"/>
        </w:numPr>
        <w:spacing w:line="360" w:lineRule="auto"/>
        <w:ind w:left="746" w:hanging="900"/>
        <w:jc w:val="both"/>
        <w:rPr>
          <w:rtl/>
        </w:rPr>
      </w:pPr>
      <w:r>
        <w:rPr>
          <w:rFonts w:hint="cs"/>
          <w:rtl/>
        </w:rPr>
        <w:t>כידוע, מלאכת גזירת הדין נעשית, בדרך כלל, בשני שלבים עיקריים: קביעתו של מתחם העונש ההולם ולאחר מכן גזירת העונש בגדרי מתחם העונש (</w:t>
      </w:r>
      <w:hyperlink r:id="rId27" w:history="1">
        <w:r w:rsidR="00B20B4A" w:rsidRPr="00B20B4A">
          <w:rPr>
            <w:rStyle w:val="Hyperlink"/>
            <w:rFonts w:hint="eastAsia"/>
            <w:rtl/>
          </w:rPr>
          <w:t>סעיף</w:t>
        </w:r>
        <w:r w:rsidR="00B20B4A" w:rsidRPr="00B20B4A">
          <w:rPr>
            <w:rStyle w:val="Hyperlink"/>
            <w:rtl/>
          </w:rPr>
          <w:t xml:space="preserve"> 40ג'</w:t>
        </w:r>
      </w:hyperlink>
      <w:r>
        <w:rPr>
          <w:rFonts w:hint="cs"/>
          <w:rtl/>
        </w:rPr>
        <w:t xml:space="preserve"> ל</w:t>
      </w:r>
      <w:hyperlink r:id="rId28" w:history="1">
        <w:r w:rsidRPr="009F06D7">
          <w:rPr>
            <w:color w:val="0000FF"/>
            <w:u w:val="single"/>
            <w:rtl/>
          </w:rPr>
          <w:t>חוק העונשין</w:t>
        </w:r>
      </w:hyperlink>
      <w:r>
        <w:rPr>
          <w:rFonts w:hint="cs"/>
          <w:rtl/>
        </w:rPr>
        <w:t>), כשבתוך כך יש לבחון האם קיימים שיקולים אשר מצדיקים סטייה מן המתחם. לעניין בחינת שלבי גזירת העונש לאור תיקון 113 ל</w:t>
      </w:r>
      <w:hyperlink r:id="rId29" w:history="1">
        <w:r w:rsidRPr="009F06D7">
          <w:rPr>
            <w:color w:val="0000FF"/>
            <w:u w:val="single"/>
            <w:rtl/>
          </w:rPr>
          <w:t>חוק העונשין</w:t>
        </w:r>
      </w:hyperlink>
      <w:r>
        <w:rPr>
          <w:rFonts w:hint="cs"/>
          <w:rtl/>
        </w:rPr>
        <w:t xml:space="preserve"> ראו: </w:t>
      </w:r>
      <w:hyperlink r:id="rId30" w:history="1">
        <w:r w:rsidRPr="009F06D7">
          <w:rPr>
            <w:color w:val="0000FF"/>
            <w:u w:val="single"/>
            <w:rtl/>
          </w:rPr>
          <w:t>ע"פ 1127/13</w:t>
        </w:r>
      </w:hyperlink>
      <w:r>
        <w:rPr>
          <w:rFonts w:hint="cs"/>
          <w:rtl/>
        </w:rPr>
        <w:t xml:space="preserve"> </w:t>
      </w:r>
      <w:r>
        <w:rPr>
          <w:rFonts w:hint="cs"/>
          <w:b/>
          <w:bCs/>
          <w:rtl/>
        </w:rPr>
        <w:t>גברזגיי נ' מדינת ישראל</w:t>
      </w:r>
      <w:r>
        <w:rPr>
          <w:rFonts w:hint="cs"/>
          <w:rtl/>
        </w:rPr>
        <w:t xml:space="preserve"> (15.1.2014); </w:t>
      </w:r>
      <w:hyperlink r:id="rId31" w:history="1">
        <w:r w:rsidRPr="009F06D7">
          <w:rPr>
            <w:color w:val="0000FF"/>
            <w:u w:val="single"/>
            <w:rtl/>
          </w:rPr>
          <w:t>ע"פ 2337/13</w:t>
        </w:r>
      </w:hyperlink>
      <w:r>
        <w:rPr>
          <w:rFonts w:hint="cs"/>
          <w:rtl/>
        </w:rPr>
        <w:t xml:space="preserve"> </w:t>
      </w:r>
      <w:r>
        <w:rPr>
          <w:rFonts w:hint="cs"/>
          <w:b/>
          <w:bCs/>
          <w:rtl/>
        </w:rPr>
        <w:t>קואסמה נ' מדינת ישראל</w:t>
      </w:r>
      <w:r>
        <w:rPr>
          <w:rFonts w:hint="cs"/>
          <w:rtl/>
        </w:rPr>
        <w:t xml:space="preserve"> (16.9.2013); </w:t>
      </w:r>
      <w:hyperlink r:id="rId32" w:history="1">
        <w:r w:rsidRPr="009F06D7">
          <w:rPr>
            <w:color w:val="0000FF"/>
            <w:u w:val="single"/>
            <w:rtl/>
          </w:rPr>
          <w:t>ע"פ 1903/13</w:t>
        </w:r>
      </w:hyperlink>
      <w:r>
        <w:rPr>
          <w:rFonts w:hint="cs"/>
          <w:rtl/>
        </w:rPr>
        <w:t xml:space="preserve"> </w:t>
      </w:r>
      <w:r>
        <w:rPr>
          <w:rFonts w:hint="cs"/>
          <w:b/>
          <w:bCs/>
          <w:rtl/>
        </w:rPr>
        <w:t>עיאשה נ' מדינת ישראל</w:t>
      </w:r>
      <w:r>
        <w:rPr>
          <w:rFonts w:hint="cs"/>
          <w:rtl/>
        </w:rPr>
        <w:t xml:space="preserve"> (14.7.2013); </w:t>
      </w:r>
      <w:hyperlink r:id="rId33" w:history="1">
        <w:r w:rsidRPr="009F06D7">
          <w:rPr>
            <w:color w:val="0000FF"/>
            <w:u w:val="single"/>
            <w:rtl/>
          </w:rPr>
          <w:t>ע"פ 1323/13</w:t>
        </w:r>
      </w:hyperlink>
      <w:r>
        <w:rPr>
          <w:rFonts w:hint="cs"/>
          <w:rtl/>
        </w:rPr>
        <w:t xml:space="preserve"> </w:t>
      </w:r>
      <w:r>
        <w:rPr>
          <w:rFonts w:hint="cs"/>
          <w:b/>
          <w:bCs/>
          <w:rtl/>
        </w:rPr>
        <w:t>חסן נ' מדינת ישראל</w:t>
      </w:r>
      <w:r>
        <w:rPr>
          <w:rFonts w:hint="cs"/>
          <w:rtl/>
        </w:rPr>
        <w:t xml:space="preserve"> (5.6.2013); </w:t>
      </w:r>
      <w:hyperlink r:id="rId34" w:history="1">
        <w:r w:rsidRPr="009F06D7">
          <w:rPr>
            <w:color w:val="0000FF"/>
            <w:u w:val="single"/>
            <w:rtl/>
          </w:rPr>
          <w:t>ע"פ 8641/12</w:t>
        </w:r>
      </w:hyperlink>
      <w:r>
        <w:rPr>
          <w:rFonts w:hint="cs"/>
          <w:rtl/>
        </w:rPr>
        <w:t xml:space="preserve"> </w:t>
      </w:r>
      <w:r>
        <w:rPr>
          <w:rFonts w:hint="cs"/>
          <w:b/>
          <w:bCs/>
          <w:rtl/>
        </w:rPr>
        <w:t>סעד נ' מדינת ישראל</w:t>
      </w:r>
      <w:r>
        <w:rPr>
          <w:rFonts w:hint="cs"/>
          <w:rtl/>
        </w:rPr>
        <w:t xml:space="preserve"> (5.8.2013).</w:t>
      </w:r>
    </w:p>
    <w:p w14:paraId="455EFF58" w14:textId="77777777" w:rsidR="005B02B6" w:rsidRDefault="005B02B6">
      <w:pPr>
        <w:spacing w:line="360" w:lineRule="auto"/>
        <w:ind w:left="-154"/>
        <w:jc w:val="both"/>
      </w:pPr>
    </w:p>
    <w:p w14:paraId="68769A73" w14:textId="77777777" w:rsidR="005B02B6" w:rsidRDefault="009F06D7">
      <w:pPr>
        <w:numPr>
          <w:ilvl w:val="0"/>
          <w:numId w:val="1"/>
        </w:numPr>
        <w:spacing w:line="360" w:lineRule="auto"/>
        <w:ind w:left="746" w:hanging="900"/>
        <w:jc w:val="both"/>
      </w:pPr>
      <w:r>
        <w:rPr>
          <w:rFonts w:hint="cs"/>
          <w:rtl/>
        </w:rPr>
        <w:t xml:space="preserve">קביעת מתחם העונש ההולם למעשה העבירה שביצע הנאשם נעשית בהתאם לעיקרון המנחה בענישה, שהינו קיומו של יחס הולם בין חומרת מעשה העבירה בנסיבותיו ומידת אשמו של הנאשם, לבין סוג ומידת העונש המוטל עליו. לשם קביעת מתחם העונש ההולם, בהתאם לעיקרון ההלימה, יש להתחשב בערך החברתי שנפגע, במידת הפגיעה בו, במדיניות הענישה הנוהגת, ובנסיבות הקשורות בביצוע העבירה. </w:t>
      </w:r>
    </w:p>
    <w:p w14:paraId="2910128F" w14:textId="77777777" w:rsidR="005B02B6" w:rsidRDefault="005B02B6">
      <w:pPr>
        <w:spacing w:line="360" w:lineRule="auto"/>
        <w:jc w:val="both"/>
      </w:pPr>
    </w:p>
    <w:p w14:paraId="68A4B730" w14:textId="77777777" w:rsidR="005B02B6" w:rsidRDefault="009F06D7">
      <w:pPr>
        <w:numPr>
          <w:ilvl w:val="0"/>
          <w:numId w:val="1"/>
        </w:numPr>
        <w:spacing w:line="360" w:lineRule="auto"/>
        <w:ind w:left="746" w:hanging="900"/>
        <w:jc w:val="both"/>
      </w:pPr>
      <w:r>
        <w:rPr>
          <w:rFonts w:hint="cs"/>
          <w:rtl/>
        </w:rPr>
        <w:t xml:space="preserve">במקרה דנן, הערכים החברתיים המוגנים בבסיסה של העבירה הינם הגנה על חיי אדם ועל שלום הציבור וביטחונו. אין צורך להכביר מילים על המסוכנות הרבה הטמונה בעבירות של החזקת נשק המהוות סכנת נפשות לחיי אדם (ראו: </w:t>
      </w:r>
      <w:hyperlink r:id="rId35" w:history="1">
        <w:r w:rsidRPr="009F06D7">
          <w:rPr>
            <w:color w:val="0000FF"/>
            <w:u w:val="single"/>
            <w:rtl/>
          </w:rPr>
          <w:t>ע"פ 3491/13</w:t>
        </w:r>
      </w:hyperlink>
      <w:r>
        <w:rPr>
          <w:rFonts w:hint="cs"/>
          <w:rtl/>
        </w:rPr>
        <w:t xml:space="preserve"> </w:t>
      </w:r>
      <w:r>
        <w:rPr>
          <w:rFonts w:hint="cs"/>
          <w:b/>
          <w:bCs/>
          <w:rtl/>
        </w:rPr>
        <w:t>טוויק נ' מדינת ישראל</w:t>
      </w:r>
      <w:r>
        <w:rPr>
          <w:rFonts w:hint="cs"/>
          <w:rtl/>
        </w:rPr>
        <w:t xml:space="preserve"> (15.11.2013)). בית המשפט העליון עמד לא פעם על חומרתן של עבירות מסוג זה ועל מדיניות הענישה הנוהגת, בציינו את החובה להטיל בעבירות אלו עונש חמור ומרתיע, ללא פשרות (ראו: </w:t>
      </w:r>
      <w:hyperlink r:id="rId36" w:history="1">
        <w:r w:rsidRPr="009F06D7">
          <w:rPr>
            <w:color w:val="0000FF"/>
            <w:u w:val="single"/>
            <w:rtl/>
          </w:rPr>
          <w:t>רע"פ 2718/04</w:t>
        </w:r>
      </w:hyperlink>
      <w:r>
        <w:rPr>
          <w:rFonts w:hint="cs"/>
          <w:rtl/>
        </w:rPr>
        <w:t xml:space="preserve"> </w:t>
      </w:r>
      <w:r>
        <w:rPr>
          <w:rFonts w:hint="cs"/>
          <w:b/>
          <w:bCs/>
          <w:rtl/>
        </w:rPr>
        <w:t>אבו דאחל נ' מדינת ישראל</w:t>
      </w:r>
      <w:r>
        <w:rPr>
          <w:rFonts w:hint="cs"/>
          <w:rtl/>
        </w:rPr>
        <w:t xml:space="preserve"> (29.3.2004); </w:t>
      </w:r>
      <w:hyperlink r:id="rId37" w:history="1">
        <w:r w:rsidRPr="009F06D7">
          <w:rPr>
            <w:color w:val="0000FF"/>
            <w:u w:val="single"/>
            <w:rtl/>
          </w:rPr>
          <w:t>ע"פ 5336/13</w:t>
        </w:r>
      </w:hyperlink>
      <w:r>
        <w:rPr>
          <w:rFonts w:hint="cs"/>
          <w:rtl/>
        </w:rPr>
        <w:t xml:space="preserve"> </w:t>
      </w:r>
      <w:r>
        <w:rPr>
          <w:rFonts w:hint="cs"/>
          <w:b/>
          <w:bCs/>
          <w:rtl/>
        </w:rPr>
        <w:t>צדוק נ' מדינת ישראל</w:t>
      </w:r>
      <w:r>
        <w:rPr>
          <w:rFonts w:hint="cs"/>
          <w:rtl/>
        </w:rPr>
        <w:t xml:space="preserve"> (17.11.2013)). כפי שנפסק לא אחת: </w:t>
      </w:r>
    </w:p>
    <w:p w14:paraId="121491F8" w14:textId="77777777" w:rsidR="005B02B6" w:rsidRDefault="005B02B6">
      <w:pPr>
        <w:spacing w:line="360" w:lineRule="auto"/>
        <w:ind w:left="-154"/>
        <w:jc w:val="both"/>
        <w:rPr>
          <w:rtl/>
        </w:rPr>
      </w:pPr>
    </w:p>
    <w:p w14:paraId="3A308F4A" w14:textId="77777777" w:rsidR="005B02B6" w:rsidRDefault="009F06D7">
      <w:pPr>
        <w:overflowPunct w:val="0"/>
        <w:autoSpaceDE w:val="0"/>
        <w:autoSpaceDN w:val="0"/>
        <w:adjustRightInd w:val="0"/>
        <w:spacing w:line="360" w:lineRule="auto"/>
        <w:ind w:left="1701" w:right="1134"/>
        <w:jc w:val="both"/>
        <w:rPr>
          <w:rFonts w:ascii="Arial TUR" w:hAnsi="Arial TUR"/>
          <w:spacing w:val="10"/>
        </w:rPr>
      </w:pPr>
      <w:r>
        <w:rPr>
          <w:rFonts w:ascii="Arial TUR" w:hAnsi="Arial TUR" w:hint="cs"/>
          <w:spacing w:val="10"/>
          <w:rtl/>
        </w:rPr>
        <w:t>"</w:t>
      </w:r>
      <w:r>
        <w:rPr>
          <w:rFonts w:ascii="Arial TUR" w:hAnsi="Arial TUR" w:hint="cs"/>
          <w:b/>
          <w:bCs/>
          <w:spacing w:val="10"/>
          <w:rtl/>
        </w:rPr>
        <w:t xml:space="preserve">החזקה של כלי נשק על-ידי אדם שאינו מורשה בכך, בפרט כאשר מדובר בנשק מוכן לפעולה, יש בה פוטנציאל להוביל לתוצאות קשות, וזאת גם מקום שבו הנשק מוחזק, לכאורה, למטרות "הגנה עצמית" בלבד (ראו: </w:t>
      </w:r>
      <w:hyperlink r:id="rId38" w:history="1">
        <w:r w:rsidRPr="009F06D7">
          <w:rPr>
            <w:rFonts w:ascii="Arial TUR" w:hAnsi="Arial TUR"/>
            <w:b/>
            <w:bCs/>
            <w:color w:val="0000FF"/>
            <w:spacing w:val="10"/>
            <w:u w:val="single"/>
            <w:rtl/>
          </w:rPr>
          <w:t>רע"פ 5921/08</w:t>
        </w:r>
      </w:hyperlink>
      <w:r>
        <w:rPr>
          <w:rFonts w:hint="cs"/>
          <w:b/>
          <w:bCs/>
          <w:rtl/>
        </w:rPr>
        <w:t xml:space="preserve"> פלוני נ' מדינת ישראל</w:t>
      </w:r>
      <w:r>
        <w:rPr>
          <w:rFonts w:ascii="Arial TUR" w:hAnsi="Arial TUR" w:hint="cs"/>
          <w:b/>
          <w:bCs/>
          <w:spacing w:val="10"/>
          <w:rtl/>
        </w:rPr>
        <w:t xml:space="preserve"> (לא פורסם, 6.5.2009)). המציאות השוררת בארץ המתבטאת בזמינותו של נשק חם שיש עמו פוטנציאל להסלמת האלימות העבריינית, מחייבת מתן ביטוי עונשי הולם והחמרה ברמת הענישה (</w:t>
      </w:r>
      <w:r w:rsidRPr="009F06D7">
        <w:rPr>
          <w:rFonts w:ascii="Arial TUR" w:hAnsi="Arial TUR" w:hint="cs"/>
          <w:b/>
          <w:bCs/>
          <w:color w:val="000000"/>
          <w:spacing w:val="10"/>
          <w:rtl/>
        </w:rPr>
        <w:t>ע"פ 1332/04</w:t>
      </w:r>
      <w:r>
        <w:rPr>
          <w:rFonts w:ascii="Arial TUR" w:hAnsi="Arial TUR" w:hint="cs"/>
          <w:b/>
          <w:bCs/>
          <w:spacing w:val="10"/>
          <w:rtl/>
        </w:rPr>
        <w:t xml:space="preserve"> </w:t>
      </w:r>
      <w:r>
        <w:rPr>
          <w:rFonts w:hint="cs"/>
          <w:b/>
          <w:bCs/>
          <w:rtl/>
        </w:rPr>
        <w:t>מדינת ישראל נ' פס</w:t>
      </w:r>
      <w:r>
        <w:rPr>
          <w:rFonts w:ascii="Arial TUR" w:hAnsi="Arial TUR" w:hint="cs"/>
          <w:b/>
          <w:bCs/>
          <w:spacing w:val="10"/>
          <w:rtl/>
        </w:rPr>
        <w:t xml:space="preserve">, לא פורסם, 19.4.2004)). יש לעשות כן עוד בטרם ייעשה באקדח שימוש קטלני, באמצעות הרחקת המחזיק בו מן החברה לפרק זמן, והעברת מסר מרתיע באמצעות עונש מאסר ממשי לריצוי בפועל (ראו למשל: </w:t>
      </w:r>
      <w:hyperlink r:id="rId39" w:history="1">
        <w:r w:rsidRPr="009F06D7">
          <w:rPr>
            <w:rFonts w:ascii="Arial TUR" w:hAnsi="Arial TUR"/>
            <w:b/>
            <w:bCs/>
            <w:color w:val="0000FF"/>
            <w:spacing w:val="10"/>
            <w:u w:val="single"/>
            <w:rtl/>
          </w:rPr>
          <w:t>ע"פ 3361/08</w:t>
        </w:r>
      </w:hyperlink>
      <w:r>
        <w:rPr>
          <w:rFonts w:ascii="Arial TUR" w:hAnsi="Arial TUR" w:hint="cs"/>
          <w:b/>
          <w:bCs/>
          <w:spacing w:val="10"/>
          <w:rtl/>
        </w:rPr>
        <w:t xml:space="preserve"> </w:t>
      </w:r>
      <w:r>
        <w:rPr>
          <w:rFonts w:hint="cs"/>
          <w:b/>
          <w:bCs/>
          <w:rtl/>
        </w:rPr>
        <w:t xml:space="preserve">ליבוביץ' נ' מדינת ישראל </w:t>
      </w:r>
      <w:r>
        <w:rPr>
          <w:rFonts w:ascii="Arial TUR" w:hAnsi="Arial TUR" w:hint="cs"/>
          <w:b/>
          <w:bCs/>
          <w:spacing w:val="10"/>
          <w:rtl/>
        </w:rPr>
        <w:t xml:space="preserve">(לא פורסם, 27.7.2008); </w:t>
      </w:r>
      <w:hyperlink r:id="rId40" w:history="1">
        <w:r w:rsidRPr="009F06D7">
          <w:rPr>
            <w:rFonts w:ascii="Arial TUR" w:hAnsi="Arial TUR"/>
            <w:b/>
            <w:bCs/>
            <w:color w:val="0000FF"/>
            <w:spacing w:val="10"/>
            <w:u w:val="single"/>
            <w:rtl/>
          </w:rPr>
          <w:t>ע"פ 5220/09</w:t>
        </w:r>
      </w:hyperlink>
      <w:r>
        <w:rPr>
          <w:rFonts w:ascii="Arial TUR" w:hAnsi="Arial TUR" w:hint="cs"/>
          <w:b/>
          <w:bCs/>
          <w:spacing w:val="10"/>
          <w:rtl/>
        </w:rPr>
        <w:t xml:space="preserve"> </w:t>
      </w:r>
      <w:r>
        <w:rPr>
          <w:rFonts w:hint="cs"/>
          <w:b/>
          <w:bCs/>
          <w:rtl/>
        </w:rPr>
        <w:t>עוואודה נ' מדינת ישראל</w:t>
      </w:r>
      <w:r>
        <w:rPr>
          <w:rFonts w:ascii="Arial TUR" w:hAnsi="Arial TUR" w:hint="cs"/>
          <w:b/>
          <w:bCs/>
          <w:spacing w:val="10"/>
          <w:rtl/>
        </w:rPr>
        <w:t xml:space="preserve"> (לא פורסם, 30.12.09)). עוד נפסק, כי "יש להרים תרומה מספקת לעקירת התופעה של החזקת נשק שלא כדין, אשר לצערנו התפשטה במחוזותינו, ולהטיל עונש מאסר גם על מי שזו עבירתו הראשונה" (</w:t>
      </w:r>
      <w:hyperlink r:id="rId41" w:history="1">
        <w:r w:rsidRPr="009F06D7">
          <w:rPr>
            <w:rFonts w:ascii="Arial TUR" w:hAnsi="Arial TUR"/>
            <w:b/>
            <w:bCs/>
            <w:color w:val="0000FF"/>
            <w:spacing w:val="10"/>
            <w:u w:val="single"/>
            <w:rtl/>
          </w:rPr>
          <w:t>ע"פ 6583/06</w:t>
        </w:r>
      </w:hyperlink>
      <w:r>
        <w:rPr>
          <w:rFonts w:ascii="Arial TUR" w:hAnsi="Arial TUR" w:hint="cs"/>
          <w:b/>
          <w:bCs/>
          <w:spacing w:val="10"/>
          <w:rtl/>
        </w:rPr>
        <w:t xml:space="preserve"> </w:t>
      </w:r>
      <w:r>
        <w:rPr>
          <w:rFonts w:hint="cs"/>
          <w:b/>
          <w:bCs/>
          <w:rtl/>
        </w:rPr>
        <w:t>אדהאם נ' מדינת ישראל</w:t>
      </w:r>
      <w:r>
        <w:rPr>
          <w:rFonts w:ascii="Arial TUR" w:hAnsi="Arial TUR" w:hint="cs"/>
          <w:b/>
          <w:bCs/>
          <w:spacing w:val="10"/>
          <w:rtl/>
        </w:rPr>
        <w:t xml:space="preserve"> (לא פורסם, 5.12.2006))</w:t>
      </w:r>
      <w:r>
        <w:rPr>
          <w:rFonts w:ascii="Arial TUR" w:hAnsi="Arial TUR" w:hint="cs"/>
          <w:spacing w:val="10"/>
          <w:rtl/>
        </w:rPr>
        <w:t>".</w:t>
      </w:r>
    </w:p>
    <w:p w14:paraId="73F5EC8F" w14:textId="77777777" w:rsidR="005B02B6" w:rsidRDefault="005B02B6">
      <w:pPr>
        <w:spacing w:line="360" w:lineRule="auto"/>
        <w:jc w:val="both"/>
        <w:rPr>
          <w:rFonts w:ascii="Times New Roman" w:hAnsi="Times New Roman"/>
        </w:rPr>
      </w:pPr>
    </w:p>
    <w:p w14:paraId="3C81329E" w14:textId="77777777" w:rsidR="005B02B6" w:rsidRDefault="009F06D7">
      <w:pPr>
        <w:numPr>
          <w:ilvl w:val="0"/>
          <w:numId w:val="1"/>
        </w:numPr>
        <w:spacing w:line="360" w:lineRule="auto"/>
        <w:ind w:left="749" w:hanging="902"/>
        <w:jc w:val="both"/>
        <w:rPr>
          <w:rtl/>
        </w:rPr>
      </w:pPr>
      <w:r>
        <w:rPr>
          <w:rFonts w:hint="cs"/>
          <w:rtl/>
        </w:rPr>
        <w:t xml:space="preserve">עיון בפסיקה מלמד כי התייחסות בית המשפט לעבירות של החזקת נשק מחמירה. בהקשר זה יש לקחת בחשבון את תוצאת השימוש הרת האסון בנשק, ואת הסיכון הממשי והפוטנציאלי להסלמה עבריינית. לא בכדי קבע המחוקק לצידה של עבירה זו 7 שנות מאסר ובתי המשפט מטילים מאסרים לריצוי בפועל בגין עבירות אלה. מנגד, לעיתים מסתפקים בתי המשפט בעונש מאסר של 6 חודשים לריצוי בעבודות שירות, אך זאת כאשר מדובר בנסיבות מיוחדות וחריגות, תוך התחשבות בגיל הנאשם, בנסיבות העבירה, בהמלצת תסקיר שירות המבחן ועוד. כבר עתה ייאמר כי המקרה שלפנינו אינו נמנה על מקרים אלו. </w:t>
      </w:r>
    </w:p>
    <w:p w14:paraId="437FBD3A" w14:textId="77777777" w:rsidR="005B02B6" w:rsidRDefault="005B02B6">
      <w:pPr>
        <w:spacing w:line="360" w:lineRule="auto"/>
        <w:ind w:left="746"/>
        <w:jc w:val="both"/>
        <w:rPr>
          <w:rtl/>
        </w:rPr>
      </w:pPr>
    </w:p>
    <w:p w14:paraId="168B2E25" w14:textId="77777777" w:rsidR="005B02B6" w:rsidRDefault="009F06D7">
      <w:pPr>
        <w:numPr>
          <w:ilvl w:val="0"/>
          <w:numId w:val="1"/>
        </w:numPr>
        <w:spacing w:line="360" w:lineRule="auto"/>
        <w:ind w:left="746" w:hanging="900"/>
        <w:jc w:val="both"/>
      </w:pPr>
      <w:r>
        <w:rPr>
          <w:rFonts w:hint="cs"/>
          <w:rtl/>
        </w:rPr>
        <w:t xml:space="preserve">לנאשם מיוחסת עבירה של החזקת אקדח ובו מחסנית ריקה. הנשק הוחזק ברכב, מתחת לכיסא הנהג, בשעת לילה מאוחרת. הנאשם הודה כי האקדח נמצא ברכב בו נהג, אך טען כי הרכב אינו שלו וכי הוא לא ידע על הימצאותו של האקדח ברכב – זאת בניגוד להודאתו המפורשת בכתב האישום (ראו את ההתייחסות לעניין זה בפרוטוקול מיום 21.12.14). </w:t>
      </w:r>
    </w:p>
    <w:p w14:paraId="7475ED46" w14:textId="77777777" w:rsidR="005B02B6" w:rsidRDefault="005B02B6">
      <w:pPr>
        <w:spacing w:line="360" w:lineRule="auto"/>
        <w:ind w:left="746"/>
        <w:jc w:val="both"/>
      </w:pPr>
    </w:p>
    <w:p w14:paraId="6B1C7A3B" w14:textId="77777777" w:rsidR="005B02B6" w:rsidRDefault="009F06D7">
      <w:pPr>
        <w:numPr>
          <w:ilvl w:val="0"/>
          <w:numId w:val="1"/>
        </w:numPr>
        <w:spacing w:line="360" w:lineRule="auto"/>
        <w:ind w:left="746" w:hanging="900"/>
        <w:jc w:val="both"/>
      </w:pPr>
      <w:r>
        <w:rPr>
          <w:rFonts w:hint="cs"/>
          <w:rtl/>
        </w:rPr>
        <w:t>הסניגור טוען כי מבחינת מדרג החומרה, העבירה דנן נמצאת ברף הנמוך ביותר בעבירות מסוג זה, שכן לא הובאה כל אינדיקציה לתכלית החזקת האקדח. לשם שלמות התמונה יאמר כי בהקשר של הדיון במעצר עד תום ההליכים נקבעו על ידי בית המשפט העליון קטגוריות של החזקת הנשק, שעל פי מדרג חומרתן יישקלו השיקולים להארכת מעצרו של נאשם עד תום ההליכים (</w:t>
      </w:r>
      <w:hyperlink r:id="rId42" w:history="1">
        <w:r w:rsidRPr="009F06D7">
          <w:rPr>
            <w:color w:val="0000FF"/>
            <w:u w:val="single"/>
            <w:rtl/>
          </w:rPr>
          <w:t>ב"ש 625/82 אבו מוך נ' מדינת ישראל, פ"ד לז</w:t>
        </w:r>
      </w:hyperlink>
      <w:r>
        <w:rPr>
          <w:rFonts w:hint="cs"/>
          <w:rtl/>
        </w:rPr>
        <w:t xml:space="preserve">(3) 668 (1982)); קטגוריית המקרים אשר מוצדק לעצור בהן נאשמים עד לתום ההליכים כוללות עבירות נשק חמורות כגון במקרים בהם החזקת הנשק נעשתה לשם ביצוע מעשים המיועדים לפגוע בביטחון המדינה או על ידי קבוצה פוליטית, לביצוע עבירות פליליות, או "לעת מצוא" כדי לאפשר פעילות פלילית בעתיד. להבדיל, כאשר מדובר בעבירות של החזקת נשק לשם ספורט או צייד, כמזכרת או ללא רישיון – בתור קו מנחה, לא מוצדק לעצור נאשם המואשם בביצוען עד לתום ההליכים. ניתן להקיש ממיון זה גם לגבי מדרג החומרה בגזירת העונש.   </w:t>
      </w:r>
    </w:p>
    <w:p w14:paraId="3E8A278A" w14:textId="77777777" w:rsidR="005B02B6" w:rsidRDefault="005B02B6">
      <w:pPr>
        <w:spacing w:line="360" w:lineRule="auto"/>
        <w:ind w:left="746"/>
        <w:jc w:val="both"/>
      </w:pPr>
    </w:p>
    <w:p w14:paraId="551BA795" w14:textId="77777777" w:rsidR="005B02B6" w:rsidRDefault="009F06D7">
      <w:pPr>
        <w:numPr>
          <w:ilvl w:val="0"/>
          <w:numId w:val="1"/>
        </w:numPr>
        <w:spacing w:line="360" w:lineRule="auto"/>
        <w:ind w:left="746" w:hanging="900"/>
        <w:jc w:val="both"/>
        <w:rPr>
          <w:rtl/>
        </w:rPr>
      </w:pPr>
      <w:r>
        <w:rPr>
          <w:rFonts w:hint="cs"/>
          <w:rtl/>
        </w:rPr>
        <w:t xml:space="preserve">ברם, במקרה הנדון לא הובאו על ידי מי מהצדדים ראיות המצביעות על נסיבות שיש בהן להפחית או להוסיף לחומרת העבירה או לשייך את העבירה דנן לאחת מן הקטגוריות של החזקת נשק, כאשר יש לזכור גם שהנאשם בחר להודות בעובדות כתב האישום המתוקן לאחר שהגיע להסדר טיעון עם המאשימה, ובכתב האישום המתוקן, שהוסכם על ידי הצדדים, לא צוינו נסיבות כלשהן הנוגעות לתכלית החזקת הנשק.  </w:t>
      </w:r>
    </w:p>
    <w:p w14:paraId="20F8DFCA" w14:textId="77777777" w:rsidR="005B02B6" w:rsidRDefault="005B02B6">
      <w:pPr>
        <w:spacing w:line="360" w:lineRule="auto"/>
        <w:ind w:left="720"/>
      </w:pPr>
    </w:p>
    <w:p w14:paraId="06AE0800" w14:textId="77777777" w:rsidR="005B02B6" w:rsidRDefault="009F06D7">
      <w:pPr>
        <w:numPr>
          <w:ilvl w:val="0"/>
          <w:numId w:val="1"/>
        </w:numPr>
        <w:spacing w:line="360" w:lineRule="auto"/>
        <w:ind w:left="746" w:hanging="900"/>
        <w:jc w:val="both"/>
      </w:pPr>
      <w:r>
        <w:rPr>
          <w:rFonts w:hint="cs"/>
          <w:rtl/>
        </w:rPr>
        <w:t xml:space="preserve">לאור המבואר לעיל, סבורני  כי מתחם העונש ההולם בנסיבותיו של מקרה זה הינו החל מ-6 חודשי מאסר לריצוי בעבודות שירות וכלה ב-18 חודשי מאסר בפועל, וכן מאסר על תנאי. </w:t>
      </w:r>
    </w:p>
    <w:p w14:paraId="5D75A3A4" w14:textId="77777777" w:rsidR="005B02B6" w:rsidRDefault="005B02B6">
      <w:pPr>
        <w:spacing w:line="360" w:lineRule="auto"/>
        <w:ind w:left="-154"/>
        <w:jc w:val="both"/>
        <w:rPr>
          <w:rtl/>
        </w:rPr>
      </w:pPr>
    </w:p>
    <w:p w14:paraId="0513BAE6" w14:textId="77777777" w:rsidR="005B02B6" w:rsidRDefault="009F06D7">
      <w:pPr>
        <w:spacing w:line="360" w:lineRule="auto"/>
        <w:ind w:left="-154"/>
        <w:jc w:val="both"/>
        <w:rPr>
          <w:b/>
          <w:bCs/>
        </w:rPr>
      </w:pPr>
      <w:r>
        <w:rPr>
          <w:rFonts w:hint="cs"/>
          <w:b/>
          <w:bCs/>
          <w:rtl/>
        </w:rPr>
        <w:t>גזירת העונש המתאים לנאשם</w:t>
      </w:r>
    </w:p>
    <w:p w14:paraId="60F5C7BE" w14:textId="77777777" w:rsidR="005B02B6" w:rsidRDefault="005B02B6">
      <w:pPr>
        <w:spacing w:line="360" w:lineRule="auto"/>
        <w:jc w:val="both"/>
      </w:pPr>
    </w:p>
    <w:p w14:paraId="4FFCBB15" w14:textId="77777777" w:rsidR="005B02B6" w:rsidRDefault="009F06D7">
      <w:pPr>
        <w:numPr>
          <w:ilvl w:val="0"/>
          <w:numId w:val="1"/>
        </w:numPr>
        <w:spacing w:line="360" w:lineRule="auto"/>
        <w:ind w:left="746" w:hanging="900"/>
        <w:jc w:val="both"/>
      </w:pPr>
      <w:r>
        <w:rPr>
          <w:rFonts w:hint="cs"/>
          <w:rtl/>
        </w:rPr>
        <w:t>בגזירת העונש בגדרי מתחם העונש ההולם, יש לשקול את הנסיבות שאינן קשורות בביצוע העבירה (</w:t>
      </w:r>
      <w:hyperlink r:id="rId43" w:history="1">
        <w:r w:rsidR="00B20B4A" w:rsidRPr="00B20B4A">
          <w:rPr>
            <w:rStyle w:val="Hyperlink"/>
            <w:rFonts w:hint="eastAsia"/>
            <w:rtl/>
          </w:rPr>
          <w:t>סעיף</w:t>
        </w:r>
        <w:r w:rsidR="00B20B4A" w:rsidRPr="00B20B4A">
          <w:rPr>
            <w:rStyle w:val="Hyperlink"/>
            <w:rtl/>
          </w:rPr>
          <w:t xml:space="preserve"> 40יא'</w:t>
        </w:r>
      </w:hyperlink>
      <w:r>
        <w:rPr>
          <w:rFonts w:hint="cs"/>
          <w:rtl/>
        </w:rPr>
        <w:t xml:space="preserve"> ל</w:t>
      </w:r>
      <w:hyperlink r:id="rId44" w:history="1">
        <w:r w:rsidRPr="009F06D7">
          <w:rPr>
            <w:color w:val="0000FF"/>
            <w:u w:val="single"/>
            <w:rtl/>
          </w:rPr>
          <w:t>חוק העונשין</w:t>
        </w:r>
      </w:hyperlink>
      <w:r>
        <w:rPr>
          <w:rFonts w:hint="cs"/>
          <w:rtl/>
        </w:rPr>
        <w:t>). במסגרת זאת הבאתי במניין השיקולים את הנסיבות הבאות:</w:t>
      </w:r>
    </w:p>
    <w:p w14:paraId="2DA20685" w14:textId="77777777" w:rsidR="005B02B6" w:rsidRDefault="005B02B6">
      <w:pPr>
        <w:spacing w:line="360" w:lineRule="auto"/>
        <w:jc w:val="both"/>
        <w:rPr>
          <w:rtl/>
        </w:rPr>
      </w:pPr>
    </w:p>
    <w:p w14:paraId="3BE0F9C1" w14:textId="77777777" w:rsidR="005B02B6" w:rsidRDefault="009F06D7">
      <w:pPr>
        <w:numPr>
          <w:ilvl w:val="1"/>
          <w:numId w:val="1"/>
        </w:numPr>
        <w:spacing w:line="360" w:lineRule="auto"/>
        <w:ind w:left="926" w:hanging="180"/>
        <w:jc w:val="both"/>
      </w:pPr>
      <w:r>
        <w:rPr>
          <w:rFonts w:hint="cs"/>
          <w:b/>
          <w:bCs/>
          <w:rtl/>
        </w:rPr>
        <w:t>הפגיעה של העונש בנאשם, לרבות בשל גילו:</w:t>
      </w:r>
      <w:r>
        <w:rPr>
          <w:rFonts w:hint="cs"/>
          <w:rtl/>
        </w:rPr>
        <w:t xml:space="preserve"> מדובר בנאשם צעיר יחסית, בן 27, רווק. אין כל ספק כי עונש מאסר ממושך יפגע באופן ממשי בנאשם, בשים לב לכך שהמדובר במאסרו הראשון. בהקשר זה יצוין כי לחובת הנאשם הרשעה קודמת אחת משנת 2007 בעבירה של החזקת נכס החשוד כגנוב, בגינה הוטל עליו מאסר מותנה של חודשיים.</w:t>
      </w:r>
    </w:p>
    <w:p w14:paraId="40DA27FF" w14:textId="77777777" w:rsidR="005B02B6" w:rsidRDefault="005B02B6">
      <w:pPr>
        <w:spacing w:line="360" w:lineRule="auto"/>
        <w:ind w:left="926"/>
        <w:jc w:val="both"/>
      </w:pPr>
    </w:p>
    <w:p w14:paraId="0C3D3509" w14:textId="77777777" w:rsidR="005B02B6" w:rsidRDefault="009F06D7">
      <w:pPr>
        <w:numPr>
          <w:ilvl w:val="1"/>
          <w:numId w:val="1"/>
        </w:numPr>
        <w:spacing w:line="360" w:lineRule="auto"/>
        <w:ind w:left="926" w:hanging="180"/>
        <w:jc w:val="both"/>
      </w:pPr>
      <w:r>
        <w:rPr>
          <w:rFonts w:hint="cs"/>
          <w:b/>
          <w:bCs/>
          <w:rtl/>
        </w:rPr>
        <w:t>נטילת האחריות של הנאשם על מעשיו:</w:t>
      </w:r>
      <w:r>
        <w:rPr>
          <w:rFonts w:hint="cs"/>
          <w:rtl/>
        </w:rPr>
        <w:t xml:space="preserve"> הנאשם הודה בעובדות כתב אישום מתוקן. עם זאת שירות המבחן התרשם כי הנאשם אינו לוקח אחריות על מעשיו, וכי הוא אינו מכיר בקיומם של הגורמים האישיים והרגשיים אשר נמצאים בבסיס התנהגותו. יש להזכיר בעניין זה כי הנאשם מסר בשירות המבחן גרסה מכחישה הנוגדת את הודאתו המפורשת בבית המשפט. </w:t>
      </w:r>
    </w:p>
    <w:p w14:paraId="2328541E" w14:textId="77777777" w:rsidR="005B02B6" w:rsidRDefault="005B02B6">
      <w:pPr>
        <w:spacing w:line="360" w:lineRule="auto"/>
        <w:ind w:left="926"/>
        <w:jc w:val="both"/>
      </w:pPr>
    </w:p>
    <w:p w14:paraId="5D2FBF10" w14:textId="77777777" w:rsidR="005B02B6" w:rsidRDefault="009F06D7">
      <w:pPr>
        <w:numPr>
          <w:ilvl w:val="1"/>
          <w:numId w:val="1"/>
        </w:numPr>
        <w:spacing w:line="360" w:lineRule="auto"/>
        <w:ind w:left="926" w:hanging="180"/>
        <w:jc w:val="both"/>
      </w:pPr>
      <w:r>
        <w:rPr>
          <w:rFonts w:hint="cs"/>
          <w:b/>
          <w:bCs/>
          <w:rtl/>
        </w:rPr>
        <w:t>נסיבות חיים קשות של הנאשם שהייתה להן השפעה על ביצוע מעשה העבירה:</w:t>
      </w:r>
      <w:r>
        <w:rPr>
          <w:rFonts w:hint="cs"/>
          <w:rtl/>
        </w:rPr>
        <w:t xml:space="preserve"> משקל מסוים נתתי לנסיבות הקשורות בנאשם ובמשפחתו כפי שהובאו בתסקיר שירות המבחן. בין היתר ניתן להפנות לאווירה המשפחתית המורכבת, לקשר השלילי עם אב המשפחה, ולהתנכלויות כלפי הנאשם מצד דודיו, אשר השפיעו על מהלך חייו של הנאשם.</w:t>
      </w:r>
    </w:p>
    <w:p w14:paraId="0BC1C38C" w14:textId="77777777" w:rsidR="005B02B6" w:rsidRDefault="005B02B6">
      <w:pPr>
        <w:spacing w:line="360" w:lineRule="auto"/>
        <w:ind w:left="-154"/>
        <w:jc w:val="both"/>
        <w:rPr>
          <w:rtl/>
        </w:rPr>
      </w:pPr>
    </w:p>
    <w:p w14:paraId="23779991" w14:textId="77777777" w:rsidR="005B02B6" w:rsidRDefault="009F06D7">
      <w:pPr>
        <w:numPr>
          <w:ilvl w:val="0"/>
          <w:numId w:val="1"/>
        </w:numPr>
        <w:spacing w:line="360" w:lineRule="auto"/>
        <w:ind w:left="746" w:hanging="900"/>
        <w:jc w:val="both"/>
        <w:rPr>
          <w:rtl/>
        </w:rPr>
      </w:pPr>
      <w:r>
        <w:rPr>
          <w:rFonts w:hint="cs"/>
          <w:rtl/>
        </w:rPr>
        <w:t xml:space="preserve">סבורני שבנסיבות העניין מתחייבת ענישה ממשית ומוחשית, אשר יהא בה כדי להלום את חומרת העבירה ולהרתיע את הנאשם. לא נעלם מעיני מקבץ פסקי הדין אליו הפנה הסניגור, אך יחד עם זאת, לאור קביעותיו המחייבות של בית המשפט העליון וההחמרה בענישה בעבירות של החזקת נשק, הרי שהפסיקה אליה הפנה הסניגור אינה משקפת את רמת הענישה הנוהגת במקרים כגון דא. אציין עוד כי בהתחשב בהמלצות תסקיר שירות המבחן ובהיעדר ההמלצה הטיפולית, הגעתי לכלל מסקנה כי אין זה המקרה המצדיק חריגה ממתחם העונש ההולם שנקבע על ידי בכל הנוגע לסיכויי השיקום שיש לשקול כאמור </w:t>
      </w:r>
      <w:hyperlink r:id="rId45" w:history="1">
        <w:r w:rsidR="00B20B4A" w:rsidRPr="00B20B4A">
          <w:rPr>
            <w:rStyle w:val="Hyperlink"/>
            <w:rFonts w:hint="eastAsia"/>
            <w:rtl/>
          </w:rPr>
          <w:t>בסעיף</w:t>
        </w:r>
        <w:r w:rsidR="00B20B4A" w:rsidRPr="00B20B4A">
          <w:rPr>
            <w:rStyle w:val="Hyperlink"/>
            <w:rtl/>
          </w:rPr>
          <w:t xml:space="preserve"> 40ד(א)</w:t>
        </w:r>
      </w:hyperlink>
      <w:r>
        <w:rPr>
          <w:rFonts w:hint="cs"/>
          <w:rtl/>
        </w:rPr>
        <w:t xml:space="preserve"> ל</w:t>
      </w:r>
      <w:hyperlink r:id="rId46" w:history="1">
        <w:r w:rsidRPr="009F06D7">
          <w:rPr>
            <w:color w:val="0000FF"/>
            <w:u w:val="single"/>
            <w:rtl/>
          </w:rPr>
          <w:t>חוק העונשין</w:t>
        </w:r>
      </w:hyperlink>
      <w:r>
        <w:rPr>
          <w:rFonts w:hint="cs"/>
          <w:rtl/>
        </w:rPr>
        <w:t>.</w:t>
      </w:r>
    </w:p>
    <w:p w14:paraId="3E4B22FF" w14:textId="77777777" w:rsidR="005B02B6" w:rsidRDefault="005B02B6">
      <w:pPr>
        <w:spacing w:line="360" w:lineRule="auto"/>
        <w:ind w:left="746"/>
        <w:jc w:val="both"/>
      </w:pPr>
    </w:p>
    <w:p w14:paraId="638A69E0" w14:textId="77777777" w:rsidR="005B02B6" w:rsidRDefault="009F06D7">
      <w:pPr>
        <w:numPr>
          <w:ilvl w:val="0"/>
          <w:numId w:val="1"/>
        </w:numPr>
        <w:spacing w:line="360" w:lineRule="auto"/>
        <w:ind w:left="746" w:hanging="900"/>
        <w:jc w:val="both"/>
      </w:pPr>
      <w:r>
        <w:rPr>
          <w:rFonts w:hint="cs"/>
          <w:rtl/>
        </w:rPr>
        <w:t>לאור האמור לעיל, בשים לב למתחם העונש שקבעתי ושיקולים הקשורים לגזירת העונש, אני גוזר על הנאשם את העונשים הבאים:</w:t>
      </w:r>
    </w:p>
    <w:p w14:paraId="500C9D07" w14:textId="77777777" w:rsidR="005B02B6" w:rsidRDefault="005B02B6">
      <w:pPr>
        <w:spacing w:line="360" w:lineRule="auto"/>
        <w:jc w:val="both"/>
        <w:rPr>
          <w:rtl/>
        </w:rPr>
      </w:pPr>
    </w:p>
    <w:p w14:paraId="0EF0E98A" w14:textId="77777777" w:rsidR="005B02B6" w:rsidRDefault="009F06D7">
      <w:pPr>
        <w:spacing w:line="360" w:lineRule="auto"/>
        <w:ind w:left="746"/>
        <w:jc w:val="both"/>
      </w:pPr>
      <w:r>
        <w:rPr>
          <w:rFonts w:hint="cs"/>
          <w:rtl/>
        </w:rPr>
        <w:t xml:space="preserve">מאסר בפועל לתקופה של 9 חודשים, בניכוי ימי מעצרו מיום 17.11.2013 עד יום 24.12.2013. </w:t>
      </w:r>
    </w:p>
    <w:p w14:paraId="4B3C1E5C" w14:textId="77777777" w:rsidR="005B02B6" w:rsidRDefault="005B02B6">
      <w:pPr>
        <w:spacing w:line="360" w:lineRule="auto"/>
        <w:ind w:left="746"/>
        <w:jc w:val="both"/>
        <w:rPr>
          <w:rtl/>
        </w:rPr>
      </w:pPr>
    </w:p>
    <w:p w14:paraId="5C659759" w14:textId="77777777" w:rsidR="005B02B6" w:rsidRDefault="009F06D7">
      <w:pPr>
        <w:spacing w:line="360" w:lineRule="auto"/>
        <w:ind w:left="746"/>
        <w:jc w:val="both"/>
        <w:rPr>
          <w:rtl/>
        </w:rPr>
      </w:pPr>
      <w:r>
        <w:rPr>
          <w:rFonts w:hint="cs"/>
          <w:rtl/>
        </w:rPr>
        <w:t xml:space="preserve">8 חודשי מאסר על תנאי, שלא יעבור הנאשם במשך 3 שנים מיום שחרורו מהמאסר עבירת נשק מכל סוג ויורשע בה. </w:t>
      </w:r>
    </w:p>
    <w:p w14:paraId="406C08B3" w14:textId="77777777" w:rsidR="005B02B6" w:rsidRDefault="005B02B6">
      <w:pPr>
        <w:spacing w:line="360" w:lineRule="auto"/>
        <w:ind w:left="-154"/>
        <w:jc w:val="both"/>
        <w:rPr>
          <w:rtl/>
        </w:rPr>
      </w:pPr>
    </w:p>
    <w:p w14:paraId="0B968CED" w14:textId="77777777" w:rsidR="005B02B6" w:rsidRDefault="009F06D7">
      <w:pPr>
        <w:spacing w:line="360" w:lineRule="auto"/>
        <w:ind w:left="720"/>
        <w:jc w:val="both"/>
        <w:rPr>
          <w:rFonts w:eastAsia="Calibri"/>
          <w:rtl/>
        </w:rPr>
      </w:pPr>
      <w:r>
        <w:rPr>
          <w:rFonts w:eastAsia="Calibri" w:hint="cs"/>
          <w:rtl/>
        </w:rPr>
        <w:t>הנני מעכב ביצוע עונש המאסר שהוטל על הנאשם עד ליום 10.2.2015. במועד זה ועד השעה 10:00 על הנאשם להתייצב בבית מעצר קישון, לשם ריצוי מאסרו, כשברשותו תעודת זהות ו/או דרכון. על הנאשם לתאם, מבעוד מועד, כניסתו למאסר, כולל האפשרות למיון מוקדם, עם ענף אבחון ומיון של שב"ס בטלפון: 9787377 – 08, 9787336 – 08.</w:t>
      </w:r>
    </w:p>
    <w:p w14:paraId="29A92808" w14:textId="77777777" w:rsidR="005B02B6" w:rsidRDefault="009F06D7">
      <w:pPr>
        <w:spacing w:line="360" w:lineRule="auto"/>
        <w:ind w:left="720" w:hanging="720"/>
        <w:rPr>
          <w:rFonts w:eastAsia="Times New Roman"/>
          <w:rtl/>
        </w:rPr>
      </w:pPr>
      <w:r>
        <w:rPr>
          <w:rFonts w:eastAsia="Times New Roman"/>
          <w:rtl/>
        </w:rPr>
        <w:tab/>
      </w:r>
    </w:p>
    <w:p w14:paraId="59717CC4" w14:textId="77777777" w:rsidR="005B02B6" w:rsidRDefault="009F06D7">
      <w:pPr>
        <w:spacing w:line="360" w:lineRule="auto"/>
        <w:ind w:left="720"/>
        <w:rPr>
          <w:rFonts w:eastAsia="Times New Roman"/>
          <w:rtl/>
        </w:rPr>
      </w:pPr>
      <w:r>
        <w:rPr>
          <w:rFonts w:eastAsia="Times New Roman" w:hint="cs"/>
          <w:rtl/>
        </w:rPr>
        <w:t>עד לתחילת ריצוי המאסר בפועל, הנאשם יהיה נתון בתנאים המגבילים בהם הוא נתון ערב מתן גזר הדין. כמו כן מובהר כי הערבויות והערבונות שניתנו להבטחת התנאים המגבילים ימשיכו לחול עד לתחילת המאסר בפועל.</w:t>
      </w:r>
    </w:p>
    <w:p w14:paraId="71CC5E71" w14:textId="77777777" w:rsidR="005B02B6" w:rsidRDefault="005B02B6">
      <w:pPr>
        <w:rPr>
          <w:rFonts w:eastAsia="Times New Roman"/>
          <w:rtl/>
        </w:rPr>
      </w:pPr>
    </w:p>
    <w:p w14:paraId="484FFCD4" w14:textId="77777777" w:rsidR="005B02B6" w:rsidRDefault="005B02B6">
      <w:pPr>
        <w:spacing w:line="360" w:lineRule="auto"/>
        <w:ind w:left="-154"/>
        <w:jc w:val="both"/>
        <w:rPr>
          <w:b/>
          <w:bCs/>
          <w:u w:val="single"/>
          <w:rtl/>
        </w:rPr>
      </w:pPr>
    </w:p>
    <w:p w14:paraId="3FA31A85" w14:textId="77777777" w:rsidR="005B02B6" w:rsidRDefault="005B02B6">
      <w:pPr>
        <w:spacing w:line="360" w:lineRule="auto"/>
        <w:ind w:left="-154"/>
        <w:jc w:val="both"/>
        <w:rPr>
          <w:b/>
          <w:bCs/>
          <w:u w:val="single"/>
          <w:rtl/>
        </w:rPr>
      </w:pPr>
    </w:p>
    <w:p w14:paraId="6F3D416C" w14:textId="77777777" w:rsidR="005B02B6" w:rsidRDefault="009F06D7">
      <w:pPr>
        <w:spacing w:line="360" w:lineRule="auto"/>
        <w:ind w:left="-154"/>
        <w:jc w:val="both"/>
        <w:rPr>
          <w:b/>
          <w:bCs/>
          <w:rtl/>
        </w:rPr>
      </w:pPr>
      <w:r>
        <w:rPr>
          <w:rFonts w:hint="cs"/>
          <w:b/>
          <w:bCs/>
          <w:rtl/>
        </w:rPr>
        <w:t>המוצגים שהינם אקדח ומחסנית ריקה יוחזרו לבעלים וככל שאין בעלים יושמדו או יחולטו לטובת אוצר המדינה לפי שיקול דעת קצין משטרה.</w:t>
      </w:r>
    </w:p>
    <w:p w14:paraId="1C03B5A9" w14:textId="77777777" w:rsidR="005B02B6" w:rsidRDefault="005B02B6">
      <w:pPr>
        <w:spacing w:line="360" w:lineRule="auto"/>
        <w:ind w:left="-154"/>
        <w:jc w:val="both"/>
        <w:rPr>
          <w:b/>
          <w:bCs/>
          <w:u w:val="single"/>
          <w:rtl/>
        </w:rPr>
      </w:pPr>
    </w:p>
    <w:p w14:paraId="555CDDC0" w14:textId="77777777" w:rsidR="005B02B6" w:rsidRDefault="009F06D7">
      <w:pPr>
        <w:spacing w:line="360" w:lineRule="auto"/>
        <w:ind w:left="-154"/>
        <w:jc w:val="both"/>
        <w:rPr>
          <w:b/>
          <w:bCs/>
          <w:u w:val="single"/>
          <w:rtl/>
        </w:rPr>
      </w:pPr>
      <w:r>
        <w:rPr>
          <w:rFonts w:hint="cs"/>
          <w:b/>
          <w:bCs/>
          <w:u w:val="single"/>
          <w:rtl/>
        </w:rPr>
        <w:t xml:space="preserve">זכות ערעור לבית המשפט המחוזי תוך 45 יום מהיום. </w:t>
      </w:r>
    </w:p>
    <w:p w14:paraId="66B3E1EB" w14:textId="77777777" w:rsidR="005B02B6" w:rsidRDefault="005B02B6">
      <w:pPr>
        <w:spacing w:line="360" w:lineRule="auto"/>
        <w:ind w:left="-154"/>
        <w:jc w:val="both"/>
        <w:rPr>
          <w:b/>
          <w:bCs/>
          <w:u w:val="single"/>
        </w:rPr>
      </w:pPr>
    </w:p>
    <w:p w14:paraId="1DEEE60A" w14:textId="77777777" w:rsidR="005B02B6" w:rsidRDefault="009F06D7">
      <w:pPr>
        <w:spacing w:line="360" w:lineRule="auto"/>
        <w:ind w:left="-154"/>
        <w:jc w:val="both"/>
        <w:rPr>
          <w:b/>
          <w:bCs/>
          <w:u w:val="single"/>
          <w:rtl/>
        </w:rPr>
      </w:pPr>
      <w:r>
        <w:rPr>
          <w:rFonts w:hint="cs"/>
          <w:b/>
          <w:bCs/>
          <w:u w:val="single"/>
          <w:rtl/>
        </w:rPr>
        <w:t xml:space="preserve">המזכירות תשלח את גזר הדין לשירות המבחן. </w:t>
      </w:r>
    </w:p>
    <w:p w14:paraId="70FBD629" w14:textId="77777777" w:rsidR="005B02B6" w:rsidRDefault="009F06D7">
      <w:pPr>
        <w:spacing w:line="360" w:lineRule="auto"/>
        <w:ind w:left="-154"/>
        <w:jc w:val="both"/>
        <w:rPr>
          <w:sz w:val="6"/>
          <w:szCs w:val="6"/>
          <w:rtl/>
        </w:rPr>
      </w:pPr>
      <w:r>
        <w:rPr>
          <w:rFonts w:hint="cs"/>
          <w:rtl/>
        </w:rPr>
        <w:t xml:space="preserve">  </w:t>
      </w:r>
      <w:r>
        <w:rPr>
          <w:sz w:val="6"/>
          <w:szCs w:val="6"/>
          <w:rtl/>
        </w:rPr>
        <w:t>&lt;#4#&gt;</w:t>
      </w:r>
    </w:p>
    <w:p w14:paraId="0853DC82" w14:textId="77777777" w:rsidR="005B02B6" w:rsidRDefault="005B02B6">
      <w:pPr>
        <w:jc w:val="right"/>
        <w:rPr>
          <w:rtl/>
        </w:rPr>
      </w:pPr>
    </w:p>
    <w:p w14:paraId="143F1336" w14:textId="77777777" w:rsidR="005B02B6" w:rsidRDefault="009F06D7">
      <w:pPr>
        <w:spacing w:line="360" w:lineRule="auto"/>
        <w:rPr>
          <w:rtl/>
        </w:rPr>
      </w:pPr>
      <w:bookmarkStart w:id="6" w:name="_GoBack"/>
      <w:bookmarkEnd w:id="6"/>
      <w:r>
        <w:rPr>
          <w:b/>
          <w:bCs/>
          <w:rtl/>
        </w:rPr>
        <w:t xml:space="preserve">ניתנה והודעה היום כ"ט טבת תשע"ה, 20/01/2015 במעמד הנוכחים. </w:t>
      </w:r>
    </w:p>
    <w:p w14:paraId="52D0C9FF" w14:textId="77777777" w:rsidR="005B02B6" w:rsidRPr="009F06D7" w:rsidRDefault="009F06D7">
      <w:pPr>
        <w:jc w:val="right"/>
        <w:rPr>
          <w:color w:val="FFFFFF"/>
          <w:sz w:val="2"/>
          <w:szCs w:val="2"/>
          <w:rtl/>
        </w:rPr>
      </w:pPr>
      <w:r w:rsidRPr="009F06D7">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B02B6" w14:paraId="054366C1" w14:textId="77777777">
        <w:trPr>
          <w:trHeight w:val="316"/>
          <w:jc w:val="right"/>
        </w:trPr>
        <w:tc>
          <w:tcPr>
            <w:tcW w:w="3936" w:type="dxa"/>
          </w:tcPr>
          <w:p w14:paraId="2EE20B23" w14:textId="77777777" w:rsidR="005B02B6" w:rsidRPr="009F06D7" w:rsidRDefault="009F06D7">
            <w:pPr>
              <w:jc w:val="center"/>
              <w:rPr>
                <w:rFonts w:ascii="Times New Roman" w:eastAsia="Times New Roman" w:hAnsi="Times New Roman" w:cs="Times New Roman"/>
                <w:color w:val="FFFFFF"/>
                <w:sz w:val="2"/>
                <w:szCs w:val="2"/>
              </w:rPr>
            </w:pPr>
            <w:r w:rsidRPr="009F06D7">
              <w:rPr>
                <w:rFonts w:ascii="Times New Roman" w:eastAsia="Times New Roman" w:hAnsi="Times New Roman" w:cs="Times New Roman"/>
                <w:color w:val="FFFFFF"/>
                <w:sz w:val="2"/>
                <w:szCs w:val="2"/>
                <w:rtl/>
              </w:rPr>
              <w:t>54678313</w:t>
            </w:r>
          </w:p>
          <w:p w14:paraId="30D20CD7" w14:textId="77777777" w:rsidR="005B02B6" w:rsidRDefault="005B02B6">
            <w:pPr>
              <w:jc w:val="center"/>
              <w:rPr>
                <w:rFonts w:ascii="Times New Roman" w:eastAsia="Times New Roman" w:hAnsi="Times New Roman" w:cs="Times New Roman"/>
                <w:rtl/>
              </w:rPr>
            </w:pPr>
          </w:p>
        </w:tc>
      </w:tr>
      <w:tr w:rsidR="005B02B6" w14:paraId="2717D461" w14:textId="77777777">
        <w:trPr>
          <w:trHeight w:val="361"/>
          <w:jc w:val="right"/>
        </w:trPr>
        <w:tc>
          <w:tcPr>
            <w:tcW w:w="3936" w:type="dxa"/>
          </w:tcPr>
          <w:p w14:paraId="05C9BB01" w14:textId="77777777" w:rsidR="005B02B6" w:rsidRDefault="009F06D7">
            <w:pPr>
              <w:jc w:val="center"/>
              <w:rPr>
                <w:rFonts w:ascii="Times New Roman" w:eastAsia="Times New Roman" w:hAnsi="Times New Roman"/>
                <w:b/>
                <w:bCs/>
                <w:rtl/>
              </w:rPr>
            </w:pPr>
            <w:r>
              <w:rPr>
                <w:rFonts w:ascii="Times New Roman" w:eastAsia="Times New Roman" w:hAnsi="Times New Roman" w:hint="cs"/>
                <w:b/>
                <w:bCs/>
                <w:rtl/>
              </w:rPr>
              <w:t>מוחמד עלי</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583B5DDC" w14:textId="77777777" w:rsidR="005B02B6" w:rsidRDefault="005B02B6">
      <w:pPr>
        <w:jc w:val="right"/>
        <w:rPr>
          <w:rtl/>
        </w:rPr>
      </w:pPr>
    </w:p>
    <w:p w14:paraId="788CABD7" w14:textId="77777777" w:rsidR="005B02B6" w:rsidRDefault="009F06D7">
      <w:r>
        <w:rPr>
          <w:rtl/>
        </w:rPr>
        <w:t>הוקלד</w:t>
      </w:r>
      <w:r>
        <w:t xml:space="preserve"> </w:t>
      </w:r>
      <w:r>
        <w:rPr>
          <w:rtl/>
        </w:rPr>
        <w:t>על</w:t>
      </w:r>
      <w:r>
        <w:t xml:space="preserve"> </w:t>
      </w:r>
      <w:r>
        <w:rPr>
          <w:rtl/>
        </w:rPr>
        <w:t>ידי</w:t>
      </w:r>
      <w:r>
        <w:t xml:space="preserve"> </w:t>
      </w:r>
      <w:r>
        <w:rPr>
          <w:rtl/>
        </w:rPr>
        <w:t>איבגי</w:t>
      </w:r>
      <w:r>
        <w:t xml:space="preserve"> </w:t>
      </w:r>
      <w:r>
        <w:rPr>
          <w:rtl/>
        </w:rPr>
        <w:t>איריס</w:t>
      </w:r>
    </w:p>
    <w:p w14:paraId="47A95F06" w14:textId="77777777" w:rsidR="009F06D7" w:rsidRPr="009F06D7" w:rsidRDefault="009F06D7" w:rsidP="009F06D7">
      <w:pPr>
        <w:keepNext/>
        <w:rPr>
          <w:color w:val="000000"/>
          <w:sz w:val="22"/>
          <w:szCs w:val="22"/>
          <w:rtl/>
        </w:rPr>
      </w:pPr>
    </w:p>
    <w:p w14:paraId="47AF5633" w14:textId="77777777" w:rsidR="009F06D7" w:rsidRPr="009F06D7" w:rsidRDefault="009F06D7" w:rsidP="009F06D7">
      <w:pPr>
        <w:keepNext/>
        <w:rPr>
          <w:color w:val="000000"/>
          <w:sz w:val="22"/>
          <w:szCs w:val="22"/>
          <w:rtl/>
        </w:rPr>
      </w:pPr>
      <w:r w:rsidRPr="009F06D7">
        <w:rPr>
          <w:color w:val="000000"/>
          <w:sz w:val="22"/>
          <w:szCs w:val="22"/>
          <w:rtl/>
        </w:rPr>
        <w:t>מוחמד עלי 54678313</w:t>
      </w:r>
    </w:p>
    <w:p w14:paraId="2C8AC762" w14:textId="77777777" w:rsidR="009F06D7" w:rsidRDefault="009F06D7" w:rsidP="009F06D7">
      <w:r w:rsidRPr="009F06D7">
        <w:rPr>
          <w:color w:val="000000"/>
          <w:rtl/>
        </w:rPr>
        <w:t>נוסח מסמך זה כפוף לשינויי ניסוח ועריכה</w:t>
      </w:r>
    </w:p>
    <w:p w14:paraId="630FC0CF" w14:textId="77777777" w:rsidR="009F06D7" w:rsidRDefault="009F06D7" w:rsidP="009F06D7">
      <w:pPr>
        <w:rPr>
          <w:rtl/>
        </w:rPr>
      </w:pPr>
    </w:p>
    <w:p w14:paraId="6E64A69A" w14:textId="77777777" w:rsidR="009F06D7" w:rsidRDefault="009F06D7" w:rsidP="009F06D7">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2658673F" w14:textId="77777777" w:rsidR="005B02B6" w:rsidRPr="009F06D7" w:rsidRDefault="00FF1441" w:rsidP="009F06D7">
      <w:pPr>
        <w:jc w:val="center"/>
        <w:rPr>
          <w:color w:val="0000FF"/>
          <w:u w:val="single"/>
        </w:rPr>
      </w:pPr>
      <w:r>
        <w:rPr>
          <w:rFonts w:hint="cs"/>
          <w:color w:val="0000FF"/>
          <w:u w:val="single"/>
          <w:rtl/>
        </w:rPr>
        <w:t xml:space="preserve">  </w:t>
      </w:r>
    </w:p>
    <w:sectPr w:rsidR="005B02B6" w:rsidRPr="009F06D7" w:rsidSect="009F06D7">
      <w:headerReference w:type="even" r:id="rId48"/>
      <w:headerReference w:type="default" r:id="rId49"/>
      <w:footerReference w:type="even" r:id="rId50"/>
      <w:footerReference w:type="default" r:id="rId5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13541" w14:textId="77777777" w:rsidR="008665DA" w:rsidRPr="00B55007" w:rsidRDefault="008665DA">
      <w:pPr>
        <w:rPr>
          <w:rFonts w:cs="Arial"/>
          <w:szCs w:val="20"/>
        </w:rPr>
      </w:pPr>
      <w:r>
        <w:separator/>
      </w:r>
    </w:p>
  </w:endnote>
  <w:endnote w:type="continuationSeparator" w:id="0">
    <w:p w14:paraId="22041CDF" w14:textId="77777777" w:rsidR="008665DA" w:rsidRPr="00B55007" w:rsidRDefault="008665D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8C1CB" w14:textId="77777777" w:rsidR="009F06D7" w:rsidRDefault="009F06D7" w:rsidP="009F06D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38</w:t>
    </w:r>
    <w:r>
      <w:rPr>
        <w:rFonts w:ascii="FrankRuehl" w:hAnsi="FrankRuehl" w:cs="FrankRuehl"/>
        <w:rtl/>
      </w:rPr>
      <w:fldChar w:fldCharType="end"/>
    </w:r>
  </w:p>
  <w:p w14:paraId="635F3E65" w14:textId="77777777" w:rsidR="005B02B6" w:rsidRPr="009F06D7" w:rsidRDefault="009F06D7" w:rsidP="009F06D7">
    <w:pPr>
      <w:pStyle w:val="a5"/>
      <w:pBdr>
        <w:top w:val="single" w:sz="4" w:space="1" w:color="auto"/>
        <w:between w:val="single" w:sz="4" w:space="0" w:color="auto"/>
      </w:pBdr>
      <w:spacing w:after="60"/>
      <w:jc w:val="center"/>
      <w:rPr>
        <w:rFonts w:ascii="FrankRuehl" w:hAnsi="FrankRuehl" w:cs="FrankRuehl"/>
        <w:color w:val="000000"/>
      </w:rPr>
    </w:pPr>
    <w:r w:rsidRPr="009F06D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1E975" w14:textId="77777777" w:rsidR="009F06D7" w:rsidRDefault="009F06D7" w:rsidP="009F06D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20EB8">
      <w:rPr>
        <w:rFonts w:ascii="FrankRuehl" w:hAnsi="FrankRuehl" w:cs="FrankRuehl"/>
        <w:noProof/>
        <w:rtl/>
      </w:rPr>
      <w:t>2</w:t>
    </w:r>
    <w:r>
      <w:rPr>
        <w:rFonts w:ascii="FrankRuehl" w:hAnsi="FrankRuehl" w:cs="FrankRuehl"/>
        <w:rtl/>
      </w:rPr>
      <w:fldChar w:fldCharType="end"/>
    </w:r>
  </w:p>
  <w:p w14:paraId="5CB60698" w14:textId="77777777" w:rsidR="005B02B6" w:rsidRPr="009F06D7" w:rsidRDefault="009F06D7" w:rsidP="009F06D7">
    <w:pPr>
      <w:pStyle w:val="a5"/>
      <w:pBdr>
        <w:top w:val="single" w:sz="4" w:space="1" w:color="auto"/>
        <w:between w:val="single" w:sz="4" w:space="0" w:color="auto"/>
      </w:pBdr>
      <w:spacing w:after="60"/>
      <w:jc w:val="center"/>
      <w:rPr>
        <w:rFonts w:ascii="FrankRuehl" w:hAnsi="FrankRuehl" w:cs="FrankRuehl"/>
        <w:color w:val="000000"/>
      </w:rPr>
    </w:pPr>
    <w:r w:rsidRPr="009F06D7">
      <w:rPr>
        <w:rFonts w:ascii="FrankRuehl" w:hAnsi="FrankRuehl" w:cs="FrankRuehl"/>
        <w:color w:val="000000"/>
      </w:rPr>
      <w:pict w14:anchorId="6804FE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0AB25" w14:textId="77777777" w:rsidR="008665DA" w:rsidRPr="00B55007" w:rsidRDefault="008665DA">
      <w:pPr>
        <w:rPr>
          <w:rFonts w:cs="Arial"/>
          <w:szCs w:val="20"/>
        </w:rPr>
      </w:pPr>
      <w:r>
        <w:separator/>
      </w:r>
    </w:p>
  </w:footnote>
  <w:footnote w:type="continuationSeparator" w:id="0">
    <w:p w14:paraId="2BBF3F18" w14:textId="77777777" w:rsidR="008665DA" w:rsidRPr="00B55007" w:rsidRDefault="008665D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1CF78" w14:textId="77777777" w:rsidR="009F06D7" w:rsidRPr="009F06D7" w:rsidRDefault="009F06D7" w:rsidP="009F06D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(קריות) 29772-11-13</w:t>
    </w:r>
    <w:r>
      <w:rPr>
        <w:color w:val="000000"/>
        <w:sz w:val="22"/>
        <w:szCs w:val="22"/>
        <w:rtl/>
      </w:rPr>
      <w:tab/>
      <w:t xml:space="preserve"> מדינת ישראל נ' מחמוד גניים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66795" w14:textId="77777777" w:rsidR="009F06D7" w:rsidRPr="009F06D7" w:rsidRDefault="009F06D7" w:rsidP="009F06D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(קריות) 29772-11-13</w:t>
    </w:r>
    <w:r>
      <w:rPr>
        <w:color w:val="000000"/>
        <w:sz w:val="22"/>
        <w:szCs w:val="22"/>
        <w:rtl/>
      </w:rPr>
      <w:tab/>
      <w:t xml:space="preserve"> מדינת ישראל נ' מחמוד גניים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204D9B"/>
    <w:multiLevelType w:val="hybridMultilevel"/>
    <w:tmpl w:val="94169B9A"/>
    <w:lvl w:ilvl="0" w:tplc="0409000F">
      <w:start w:val="1"/>
      <w:numFmt w:val="decimal"/>
      <w:lvlText w:val="%1."/>
      <w:lvlJc w:val="left"/>
      <w:pPr>
        <w:tabs>
          <w:tab w:val="num" w:pos="720"/>
        </w:tabs>
        <w:ind w:left="720" w:hanging="360"/>
      </w:pPr>
    </w:lvl>
    <w:lvl w:ilvl="1" w:tplc="04090013">
      <w:start w:val="1"/>
      <w:numFmt w:val="hebrew1"/>
      <w:lvlText w:val="%2."/>
      <w:lvlJc w:val="center"/>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21271891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B02B6"/>
    <w:rsid w:val="00491130"/>
    <w:rsid w:val="005B02B6"/>
    <w:rsid w:val="00620EB8"/>
    <w:rsid w:val="0084596B"/>
    <w:rsid w:val="008665DA"/>
    <w:rsid w:val="009F06D7"/>
    <w:rsid w:val="00B20B4A"/>
    <w:rsid w:val="00D66488"/>
    <w:rsid w:val="00D75129"/>
    <w:rsid w:val="00F2737E"/>
    <w:rsid w:val="00FF14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116C468"/>
  <w15:chartTrackingRefBased/>
  <w15:docId w15:val="{662EF1F7-128C-4B76-B4B2-8421A0E3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B02B6"/>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5B02B6"/>
    <w:pPr>
      <w:tabs>
        <w:tab w:val="center" w:pos="4153"/>
        <w:tab w:val="right" w:pos="8306"/>
      </w:tabs>
    </w:pPr>
  </w:style>
  <w:style w:type="paragraph" w:styleId="a5">
    <w:name w:val="footer"/>
    <w:basedOn w:val="a"/>
    <w:rsid w:val="005B02B6"/>
    <w:pPr>
      <w:tabs>
        <w:tab w:val="center" w:pos="4153"/>
        <w:tab w:val="right" w:pos="8306"/>
      </w:tabs>
    </w:pPr>
  </w:style>
  <w:style w:type="character" w:styleId="a6">
    <w:name w:val="page number"/>
    <w:basedOn w:val="a0"/>
    <w:rsid w:val="005B02B6"/>
  </w:style>
  <w:style w:type="character" w:customStyle="1" w:styleId="TimesNewRomanTimesNewRoman">
    <w:name w:val="סגנון (לטיני) Times New Roman (עברית ושפות אחרות) Times New Roman..."/>
    <w:rsid w:val="005B02B6"/>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5B02B6"/>
    <w:rPr>
      <w:rFonts w:ascii="Times New Roman" w:eastAsia="Times New Roman" w:hAnsi="Times New Roman"/>
      <w:b/>
      <w:bCs/>
      <w:u w:val="single"/>
    </w:rPr>
  </w:style>
  <w:style w:type="character" w:customStyle="1" w:styleId="a4">
    <w:name w:val="כותרת עליונה תו"/>
    <w:link w:val="a3"/>
    <w:rsid w:val="005B02B6"/>
    <w:rPr>
      <w:rFonts w:ascii="David" w:eastAsia="David" w:hAnsi="David" w:cs="David"/>
      <w:sz w:val="24"/>
      <w:szCs w:val="24"/>
      <w:lang w:val="en-US" w:eastAsia="en-US" w:bidi="he-IL"/>
    </w:rPr>
  </w:style>
  <w:style w:type="character" w:styleId="Hyperlink">
    <w:name w:val="Hyperlink"/>
    <w:rsid w:val="005B02B6"/>
    <w:rPr>
      <w:color w:val="0000FF"/>
      <w:u w:val="single"/>
    </w:rPr>
  </w:style>
  <w:style w:type="character" w:styleId="a7">
    <w:name w:val="line number"/>
    <w:basedOn w:val="a0"/>
    <w:rsid w:val="005B0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7697147" TargetMode="External"/><Relationship Id="rId39" Type="http://schemas.openxmlformats.org/officeDocument/2006/relationships/hyperlink" Target="http://www.nevo.co.il/case/5891605" TargetMode="External"/><Relationship Id="rId21" Type="http://schemas.openxmlformats.org/officeDocument/2006/relationships/hyperlink" Target="http://www.nevo.co.il/case/4565578" TargetMode="External"/><Relationship Id="rId34" Type="http://schemas.openxmlformats.org/officeDocument/2006/relationships/hyperlink" Target="http://www.nevo.co.il/case/5573417" TargetMode="External"/><Relationship Id="rId42" Type="http://schemas.openxmlformats.org/officeDocument/2006/relationships/hyperlink" Target="http://www.nevo.co.il/case/17929065"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40ja" TargetMode="External"/><Relationship Id="rId24" Type="http://schemas.openxmlformats.org/officeDocument/2006/relationships/hyperlink" Target="http://www.nevo.co.il/case/540835" TargetMode="External"/><Relationship Id="rId32" Type="http://schemas.openxmlformats.org/officeDocument/2006/relationships/hyperlink" Target="http://www.nevo.co.il/case/6824952" TargetMode="External"/><Relationship Id="rId37" Type="http://schemas.openxmlformats.org/officeDocument/2006/relationships/hyperlink" Target="http://www.nevo.co.il/case/7821883" TargetMode="External"/><Relationship Id="rId40" Type="http://schemas.openxmlformats.org/officeDocument/2006/relationships/hyperlink" Target="http://www.nevo.co.il/case/6000182" TargetMode="External"/><Relationship Id="rId45" Type="http://schemas.openxmlformats.org/officeDocument/2006/relationships/hyperlink" Target="http://www.nevo.co.il/law/70301/40d.a"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70301/144.a" TargetMode="External"/><Relationship Id="rId19" Type="http://schemas.openxmlformats.org/officeDocument/2006/relationships/hyperlink" Target="http://www.nevo.co.il/case/4338062" TargetMode="External"/><Relationship Id="rId31" Type="http://schemas.openxmlformats.org/officeDocument/2006/relationships/hyperlink" Target="http://www.nevo.co.il/case/6859579" TargetMode="External"/><Relationship Id="rId44" Type="http://schemas.openxmlformats.org/officeDocument/2006/relationships/hyperlink" Target="http://www.nevo.co.il/law/70301"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d.a" TargetMode="External"/><Relationship Id="rId14" Type="http://schemas.openxmlformats.org/officeDocument/2006/relationships/hyperlink" Target="http://www.nevo.co.il/law/70301/40d.a" TargetMode="External"/><Relationship Id="rId22" Type="http://schemas.openxmlformats.org/officeDocument/2006/relationships/hyperlink" Target="http://www.nevo.co.il/case/5078180" TargetMode="External"/><Relationship Id="rId27" Type="http://schemas.openxmlformats.org/officeDocument/2006/relationships/hyperlink" Target="http://www.nevo.co.il/law/70301/40c" TargetMode="External"/><Relationship Id="rId30" Type="http://schemas.openxmlformats.org/officeDocument/2006/relationships/hyperlink" Target="http://www.nevo.co.il/case/6018516" TargetMode="External"/><Relationship Id="rId35" Type="http://schemas.openxmlformats.org/officeDocument/2006/relationships/hyperlink" Target="http://www.nevo.co.il/case/10485615" TargetMode="External"/><Relationship Id="rId43" Type="http://schemas.openxmlformats.org/officeDocument/2006/relationships/hyperlink" Target="http://www.nevo.co.il/law/70301/40ja" TargetMode="External"/><Relationship Id="rId48" Type="http://schemas.openxmlformats.org/officeDocument/2006/relationships/header" Target="header1.xml"/><Relationship Id="rId8" Type="http://schemas.openxmlformats.org/officeDocument/2006/relationships/hyperlink" Target="http://www.nevo.co.il/law/70301/40c"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4551034" TargetMode="External"/><Relationship Id="rId33" Type="http://schemas.openxmlformats.org/officeDocument/2006/relationships/hyperlink" Target="http://www.nevo.co.il/case/6473037" TargetMode="External"/><Relationship Id="rId38" Type="http://schemas.openxmlformats.org/officeDocument/2006/relationships/hyperlink" Target="http://www.nevo.co.il/case/6040482" TargetMode="External"/><Relationship Id="rId46" Type="http://schemas.openxmlformats.org/officeDocument/2006/relationships/hyperlink" Target="http://www.nevo.co.il/law/70301" TargetMode="External"/><Relationship Id="rId20" Type="http://schemas.openxmlformats.org/officeDocument/2006/relationships/hyperlink" Target="http://www.nevo.co.il/case/12355019" TargetMode="External"/><Relationship Id="rId41" Type="http://schemas.openxmlformats.org/officeDocument/2006/relationships/hyperlink" Target="http://www.nevo.co.il/case/607294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case/687125"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5852404"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2414</Words>
  <Characters>12071</Characters>
  <Application>Microsoft Office Word</Application>
  <DocSecurity>0</DocSecurity>
  <Lines>100</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14457</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7995492</vt:i4>
      </vt:variant>
      <vt:variant>
        <vt:i4>117</vt:i4>
      </vt:variant>
      <vt:variant>
        <vt:i4>0</vt:i4>
      </vt:variant>
      <vt:variant>
        <vt:i4>5</vt:i4>
      </vt:variant>
      <vt:variant>
        <vt:lpwstr>http://www.nevo.co.il/law/70301</vt:lpwstr>
      </vt:variant>
      <vt:variant>
        <vt:lpwstr/>
      </vt:variant>
      <vt:variant>
        <vt:i4>4915205</vt:i4>
      </vt:variant>
      <vt:variant>
        <vt:i4>114</vt:i4>
      </vt:variant>
      <vt:variant>
        <vt:i4>0</vt:i4>
      </vt:variant>
      <vt:variant>
        <vt:i4>5</vt:i4>
      </vt:variant>
      <vt:variant>
        <vt:lpwstr>http://www.nevo.co.il/law/70301/40d.a</vt:lpwstr>
      </vt:variant>
      <vt:variant>
        <vt:lpwstr/>
      </vt:variant>
      <vt:variant>
        <vt:i4>7995492</vt:i4>
      </vt:variant>
      <vt:variant>
        <vt:i4>111</vt:i4>
      </vt:variant>
      <vt:variant>
        <vt:i4>0</vt:i4>
      </vt:variant>
      <vt:variant>
        <vt:i4>5</vt:i4>
      </vt:variant>
      <vt:variant>
        <vt:lpwstr>http://www.nevo.co.il/law/70301</vt:lpwstr>
      </vt:variant>
      <vt:variant>
        <vt:lpwstr/>
      </vt:variant>
      <vt:variant>
        <vt:i4>262155</vt:i4>
      </vt:variant>
      <vt:variant>
        <vt:i4>108</vt:i4>
      </vt:variant>
      <vt:variant>
        <vt:i4>0</vt:i4>
      </vt:variant>
      <vt:variant>
        <vt:i4>5</vt:i4>
      </vt:variant>
      <vt:variant>
        <vt:lpwstr>http://www.nevo.co.il/law/70301/40ja</vt:lpwstr>
      </vt:variant>
      <vt:variant>
        <vt:lpwstr/>
      </vt:variant>
      <vt:variant>
        <vt:i4>3604593</vt:i4>
      </vt:variant>
      <vt:variant>
        <vt:i4>105</vt:i4>
      </vt:variant>
      <vt:variant>
        <vt:i4>0</vt:i4>
      </vt:variant>
      <vt:variant>
        <vt:i4>5</vt:i4>
      </vt:variant>
      <vt:variant>
        <vt:lpwstr>http://www.nevo.co.il/case/17929065</vt:lpwstr>
      </vt:variant>
      <vt:variant>
        <vt:lpwstr/>
      </vt:variant>
      <vt:variant>
        <vt:i4>3997810</vt:i4>
      </vt:variant>
      <vt:variant>
        <vt:i4>102</vt:i4>
      </vt:variant>
      <vt:variant>
        <vt:i4>0</vt:i4>
      </vt:variant>
      <vt:variant>
        <vt:i4>5</vt:i4>
      </vt:variant>
      <vt:variant>
        <vt:lpwstr>http://www.nevo.co.il/case/6072945</vt:lpwstr>
      </vt:variant>
      <vt:variant>
        <vt:lpwstr/>
      </vt:variant>
      <vt:variant>
        <vt:i4>3473532</vt:i4>
      </vt:variant>
      <vt:variant>
        <vt:i4>99</vt:i4>
      </vt:variant>
      <vt:variant>
        <vt:i4>0</vt:i4>
      </vt:variant>
      <vt:variant>
        <vt:i4>5</vt:i4>
      </vt:variant>
      <vt:variant>
        <vt:lpwstr>http://www.nevo.co.il/case/6000182</vt:lpwstr>
      </vt:variant>
      <vt:variant>
        <vt:lpwstr/>
      </vt:variant>
      <vt:variant>
        <vt:i4>4128893</vt:i4>
      </vt:variant>
      <vt:variant>
        <vt:i4>96</vt:i4>
      </vt:variant>
      <vt:variant>
        <vt:i4>0</vt:i4>
      </vt:variant>
      <vt:variant>
        <vt:i4>5</vt:i4>
      </vt:variant>
      <vt:variant>
        <vt:lpwstr>http://www.nevo.co.il/case/5891605</vt:lpwstr>
      </vt:variant>
      <vt:variant>
        <vt:lpwstr/>
      </vt:variant>
      <vt:variant>
        <vt:i4>3407996</vt:i4>
      </vt:variant>
      <vt:variant>
        <vt:i4>93</vt:i4>
      </vt:variant>
      <vt:variant>
        <vt:i4>0</vt:i4>
      </vt:variant>
      <vt:variant>
        <vt:i4>5</vt:i4>
      </vt:variant>
      <vt:variant>
        <vt:lpwstr>http://www.nevo.co.il/case/6040482</vt:lpwstr>
      </vt:variant>
      <vt:variant>
        <vt:lpwstr/>
      </vt:variant>
      <vt:variant>
        <vt:i4>4063349</vt:i4>
      </vt:variant>
      <vt:variant>
        <vt:i4>90</vt:i4>
      </vt:variant>
      <vt:variant>
        <vt:i4>0</vt:i4>
      </vt:variant>
      <vt:variant>
        <vt:i4>5</vt:i4>
      </vt:variant>
      <vt:variant>
        <vt:lpwstr>http://www.nevo.co.il/case/7821883</vt:lpwstr>
      </vt:variant>
      <vt:variant>
        <vt:lpwstr/>
      </vt:variant>
      <vt:variant>
        <vt:i4>3145854</vt:i4>
      </vt:variant>
      <vt:variant>
        <vt:i4>87</vt:i4>
      </vt:variant>
      <vt:variant>
        <vt:i4>0</vt:i4>
      </vt:variant>
      <vt:variant>
        <vt:i4>5</vt:i4>
      </vt:variant>
      <vt:variant>
        <vt:lpwstr>http://www.nevo.co.il/case/5852404</vt:lpwstr>
      </vt:variant>
      <vt:variant>
        <vt:lpwstr/>
      </vt:variant>
      <vt:variant>
        <vt:i4>3211386</vt:i4>
      </vt:variant>
      <vt:variant>
        <vt:i4>84</vt:i4>
      </vt:variant>
      <vt:variant>
        <vt:i4>0</vt:i4>
      </vt:variant>
      <vt:variant>
        <vt:i4>5</vt:i4>
      </vt:variant>
      <vt:variant>
        <vt:lpwstr>http://www.nevo.co.il/case/10485615</vt:lpwstr>
      </vt:variant>
      <vt:variant>
        <vt:lpwstr/>
      </vt:variant>
      <vt:variant>
        <vt:i4>3211379</vt:i4>
      </vt:variant>
      <vt:variant>
        <vt:i4>81</vt:i4>
      </vt:variant>
      <vt:variant>
        <vt:i4>0</vt:i4>
      </vt:variant>
      <vt:variant>
        <vt:i4>5</vt:i4>
      </vt:variant>
      <vt:variant>
        <vt:lpwstr>http://www.nevo.co.il/case/5573417</vt:lpwstr>
      </vt:variant>
      <vt:variant>
        <vt:lpwstr/>
      </vt:variant>
      <vt:variant>
        <vt:i4>3539056</vt:i4>
      </vt:variant>
      <vt:variant>
        <vt:i4>78</vt:i4>
      </vt:variant>
      <vt:variant>
        <vt:i4>0</vt:i4>
      </vt:variant>
      <vt:variant>
        <vt:i4>5</vt:i4>
      </vt:variant>
      <vt:variant>
        <vt:lpwstr>http://www.nevo.co.il/case/6473037</vt:lpwstr>
      </vt:variant>
      <vt:variant>
        <vt:lpwstr/>
      </vt:variant>
      <vt:variant>
        <vt:i4>4128893</vt:i4>
      </vt:variant>
      <vt:variant>
        <vt:i4>75</vt:i4>
      </vt:variant>
      <vt:variant>
        <vt:i4>0</vt:i4>
      </vt:variant>
      <vt:variant>
        <vt:i4>5</vt:i4>
      </vt:variant>
      <vt:variant>
        <vt:lpwstr>http://www.nevo.co.il/case/6824952</vt:lpwstr>
      </vt:variant>
      <vt:variant>
        <vt:lpwstr/>
      </vt:variant>
      <vt:variant>
        <vt:i4>4128882</vt:i4>
      </vt:variant>
      <vt:variant>
        <vt:i4>72</vt:i4>
      </vt:variant>
      <vt:variant>
        <vt:i4>0</vt:i4>
      </vt:variant>
      <vt:variant>
        <vt:i4>5</vt:i4>
      </vt:variant>
      <vt:variant>
        <vt:lpwstr>http://www.nevo.co.il/case/6859579</vt:lpwstr>
      </vt:variant>
      <vt:variant>
        <vt:lpwstr/>
      </vt:variant>
      <vt:variant>
        <vt:i4>3407997</vt:i4>
      </vt:variant>
      <vt:variant>
        <vt:i4>69</vt:i4>
      </vt:variant>
      <vt:variant>
        <vt:i4>0</vt:i4>
      </vt:variant>
      <vt:variant>
        <vt:i4>5</vt:i4>
      </vt:variant>
      <vt:variant>
        <vt:lpwstr>http://www.nevo.co.il/case/6018516</vt:lpwstr>
      </vt:variant>
      <vt:variant>
        <vt:lpwstr/>
      </vt:variant>
      <vt:variant>
        <vt:i4>7995492</vt:i4>
      </vt:variant>
      <vt:variant>
        <vt:i4>66</vt:i4>
      </vt:variant>
      <vt:variant>
        <vt:i4>0</vt:i4>
      </vt:variant>
      <vt:variant>
        <vt:i4>5</vt:i4>
      </vt:variant>
      <vt:variant>
        <vt:lpwstr>http://www.nevo.co.il/law/70301</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http://www.nevo.co.il/law/70301/40c</vt:lpwstr>
      </vt:variant>
      <vt:variant>
        <vt:lpwstr/>
      </vt:variant>
      <vt:variant>
        <vt:i4>3670129</vt:i4>
      </vt:variant>
      <vt:variant>
        <vt:i4>57</vt:i4>
      </vt:variant>
      <vt:variant>
        <vt:i4>0</vt:i4>
      </vt:variant>
      <vt:variant>
        <vt:i4>5</vt:i4>
      </vt:variant>
      <vt:variant>
        <vt:lpwstr>http://www.nevo.co.il/case/7697147</vt:lpwstr>
      </vt:variant>
      <vt:variant>
        <vt:lpwstr/>
      </vt:variant>
      <vt:variant>
        <vt:i4>3473523</vt:i4>
      </vt:variant>
      <vt:variant>
        <vt:i4>54</vt:i4>
      </vt:variant>
      <vt:variant>
        <vt:i4>0</vt:i4>
      </vt:variant>
      <vt:variant>
        <vt:i4>5</vt:i4>
      </vt:variant>
      <vt:variant>
        <vt:lpwstr>http://www.nevo.co.il/case/4551034</vt:lpwstr>
      </vt:variant>
      <vt:variant>
        <vt:lpwstr/>
      </vt:variant>
      <vt:variant>
        <vt:i4>393288</vt:i4>
      </vt:variant>
      <vt:variant>
        <vt:i4>51</vt:i4>
      </vt:variant>
      <vt:variant>
        <vt:i4>0</vt:i4>
      </vt:variant>
      <vt:variant>
        <vt:i4>5</vt:i4>
      </vt:variant>
      <vt:variant>
        <vt:lpwstr>http://www.nevo.co.il/case/540835</vt:lpwstr>
      </vt:variant>
      <vt:variant>
        <vt:lpwstr/>
      </vt:variant>
      <vt:variant>
        <vt:i4>196685</vt:i4>
      </vt:variant>
      <vt:variant>
        <vt:i4>48</vt:i4>
      </vt:variant>
      <vt:variant>
        <vt:i4>0</vt:i4>
      </vt:variant>
      <vt:variant>
        <vt:i4>5</vt:i4>
      </vt:variant>
      <vt:variant>
        <vt:lpwstr>http://www.nevo.co.il/case/687125</vt:lpwstr>
      </vt:variant>
      <vt:variant>
        <vt:lpwstr/>
      </vt:variant>
      <vt:variant>
        <vt:i4>3342452</vt:i4>
      </vt:variant>
      <vt:variant>
        <vt:i4>45</vt:i4>
      </vt:variant>
      <vt:variant>
        <vt:i4>0</vt:i4>
      </vt:variant>
      <vt:variant>
        <vt:i4>5</vt:i4>
      </vt:variant>
      <vt:variant>
        <vt:lpwstr>http://www.nevo.co.il/case/5078180</vt:lpwstr>
      </vt:variant>
      <vt:variant>
        <vt:lpwstr/>
      </vt:variant>
      <vt:variant>
        <vt:i4>4128883</vt:i4>
      </vt:variant>
      <vt:variant>
        <vt:i4>42</vt:i4>
      </vt:variant>
      <vt:variant>
        <vt:i4>0</vt:i4>
      </vt:variant>
      <vt:variant>
        <vt:i4>5</vt:i4>
      </vt:variant>
      <vt:variant>
        <vt:lpwstr>http://www.nevo.co.il/case/4565578</vt:lpwstr>
      </vt:variant>
      <vt:variant>
        <vt:lpwstr/>
      </vt:variant>
      <vt:variant>
        <vt:i4>3539059</vt:i4>
      </vt:variant>
      <vt:variant>
        <vt:i4>39</vt:i4>
      </vt:variant>
      <vt:variant>
        <vt:i4>0</vt:i4>
      </vt:variant>
      <vt:variant>
        <vt:i4>5</vt:i4>
      </vt:variant>
      <vt:variant>
        <vt:lpwstr>http://www.nevo.co.il/case/12355019</vt:lpwstr>
      </vt:variant>
      <vt:variant>
        <vt:lpwstr/>
      </vt:variant>
      <vt:variant>
        <vt:i4>3473529</vt:i4>
      </vt:variant>
      <vt:variant>
        <vt:i4>36</vt:i4>
      </vt:variant>
      <vt:variant>
        <vt:i4>0</vt:i4>
      </vt:variant>
      <vt:variant>
        <vt:i4>5</vt:i4>
      </vt:variant>
      <vt:variant>
        <vt:lpwstr>http://www.nevo.co.il/case/4338062</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4915205</vt:i4>
      </vt:variant>
      <vt:variant>
        <vt:i4>21</vt:i4>
      </vt:variant>
      <vt:variant>
        <vt:i4>0</vt:i4>
      </vt:variant>
      <vt:variant>
        <vt:i4>5</vt:i4>
      </vt:variant>
      <vt:variant>
        <vt:lpwstr>http://www.nevo.co.il/law/70301/40d.a</vt:lpwstr>
      </vt:variant>
      <vt:variant>
        <vt:lpwstr/>
      </vt:variant>
      <vt:variant>
        <vt:i4>6619233</vt:i4>
      </vt:variant>
      <vt:variant>
        <vt:i4>18</vt:i4>
      </vt:variant>
      <vt:variant>
        <vt:i4>0</vt:i4>
      </vt:variant>
      <vt:variant>
        <vt:i4>5</vt:i4>
      </vt:variant>
      <vt:variant>
        <vt:lpwstr>http://www.nevo.co.il/law/70301/40c</vt:lpwstr>
      </vt:variant>
      <vt:variant>
        <vt:lpwstr/>
      </vt:variant>
      <vt:variant>
        <vt:i4>7995492</vt:i4>
      </vt:variant>
      <vt:variant>
        <vt:i4>15</vt:i4>
      </vt:variant>
      <vt:variant>
        <vt:i4>0</vt:i4>
      </vt:variant>
      <vt:variant>
        <vt:i4>5</vt:i4>
      </vt:variant>
      <vt:variant>
        <vt:lpwstr>http://www.nevo.co.il/law/70301</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4915205</vt:i4>
      </vt:variant>
      <vt:variant>
        <vt:i4>6</vt:i4>
      </vt:variant>
      <vt:variant>
        <vt:i4>0</vt:i4>
      </vt:variant>
      <vt:variant>
        <vt:i4>5</vt:i4>
      </vt:variant>
      <vt:variant>
        <vt:lpwstr>http://www.nevo.co.il/law/70301/40d.a</vt:lpwstr>
      </vt:variant>
      <vt:variant>
        <vt:lpwstr/>
      </vt:variant>
      <vt:variant>
        <vt:i4>6619233</vt:i4>
      </vt:variant>
      <vt:variant>
        <vt:i4>3</vt:i4>
      </vt:variant>
      <vt:variant>
        <vt:i4>0</vt:i4>
      </vt:variant>
      <vt:variant>
        <vt:i4>5</vt:i4>
      </vt:variant>
      <vt:variant>
        <vt:lpwstr>http://www.nevo.co.il/law/70301/40c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2025-01-19T17:33:00Z</dcterms:created>
  <dcterms:modified xsi:type="dcterms:W3CDTF">2025-01-19T17:33:00Z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29772</vt:lpwstr>
  </property>
  <property fmtid="{D5CDD505-2E9C-101B-9397-08002B2CF9AE}" pid="6" name="NEWPARTB">
    <vt:lpwstr>11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מחמוד גניים</vt:lpwstr>
  </property>
  <property fmtid="{D5CDD505-2E9C-101B-9397-08002B2CF9AE}" pid="10" name="LAWYER">
    <vt:lpwstr>בתאל עטיה;לידאוי</vt:lpwstr>
  </property>
  <property fmtid="{D5CDD505-2E9C-101B-9397-08002B2CF9AE}" pid="11" name="JUDGE">
    <vt:lpwstr>מוחמד עלי</vt:lpwstr>
  </property>
  <property fmtid="{D5CDD505-2E9C-101B-9397-08002B2CF9AE}" pid="12" name="CITY">
    <vt:lpwstr>קריות</vt:lpwstr>
  </property>
  <property fmtid="{D5CDD505-2E9C-101B-9397-08002B2CF9AE}" pid="13" name="DATE">
    <vt:lpwstr>20150120</vt:lpwstr>
  </property>
  <property fmtid="{D5CDD505-2E9C-101B-9397-08002B2CF9AE}" pid="14" name="TYPE_N_DATE">
    <vt:lpwstr>38020150120</vt:lpwstr>
  </property>
  <property fmtid="{D5CDD505-2E9C-101B-9397-08002B2CF9AE}" pid="15" name="WORDNUMPAGES">
    <vt:lpwstr>7</vt:lpwstr>
  </property>
  <property fmtid="{D5CDD505-2E9C-101B-9397-08002B2CF9AE}" pid="16" name="TYPE_ABS_DATE">
    <vt:lpwstr>380020150120</vt:lpwstr>
  </property>
  <property fmtid="{D5CDD505-2E9C-101B-9397-08002B2CF9AE}" pid="17" name="CASESLISTTMP1">
    <vt:lpwstr>4338062;12355019;4565578;5078180;687125;540835;4551034;7697147;6018516;6859579;6824952;6473037;5573417;10485615;5852404;7821883;6040482;5891605;6000182;6072945;17929065</vt:lpwstr>
  </property>
  <property fmtid="{D5CDD505-2E9C-101B-9397-08002B2CF9AE}" pid="18" name="LAWLISTTMP1">
    <vt:lpwstr>70301/144.a;040c;40ja;040d.a</vt:lpwstr>
  </property>
</Properties>
</file>