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B6DC8" w:rsidRPr="009D28FF" w14:paraId="1CE376B6" w14:textId="77777777">
        <w:trPr>
          <w:trHeight w:hRule="exact" w:val="418"/>
          <w:jc w:val="center"/>
        </w:trPr>
        <w:tc>
          <w:tcPr>
            <w:tcW w:w="8721" w:type="dxa"/>
            <w:gridSpan w:val="2"/>
          </w:tcPr>
          <w:p w14:paraId="23FF86CF" w14:textId="77777777" w:rsidR="00EB6DC8" w:rsidRPr="009D28FF" w:rsidRDefault="009D28FF">
            <w:pPr>
              <w:pStyle w:val="a3"/>
              <w:jc w:val="center"/>
              <w:rPr>
                <w:rFonts w:ascii="Tahoma" w:hAnsi="Tahoma" w:cs="Tahoma"/>
                <w:color w:val="000080"/>
                <w:rtl/>
              </w:rPr>
            </w:pPr>
            <w:bookmarkStart w:id="0" w:name="FirstLawyer"/>
            <w:bookmarkStart w:id="1" w:name="LastJudge"/>
            <w:r w:rsidRPr="009D28FF">
              <w:rPr>
                <w:rFonts w:ascii="Tahoma" w:hAnsi="Tahoma" w:cs="Tahoma"/>
                <w:b/>
                <w:bCs/>
                <w:color w:val="000080"/>
                <w:rtl/>
              </w:rPr>
              <w:t>בית משפט השלום בירושלים</w:t>
            </w:r>
          </w:p>
        </w:tc>
      </w:tr>
      <w:tr w:rsidR="00EB6DC8" w:rsidRPr="009D28FF" w14:paraId="22DEC5E7" w14:textId="77777777">
        <w:trPr>
          <w:trHeight w:val="337"/>
          <w:jc w:val="center"/>
        </w:trPr>
        <w:tc>
          <w:tcPr>
            <w:tcW w:w="5054" w:type="dxa"/>
          </w:tcPr>
          <w:p w14:paraId="5D4DF0D8" w14:textId="77777777" w:rsidR="00EB6DC8" w:rsidRPr="009D28FF" w:rsidRDefault="009D28FF">
            <w:pPr>
              <w:rPr>
                <w:rFonts w:cs="FrankRuehl"/>
                <w:sz w:val="28"/>
                <w:szCs w:val="28"/>
                <w:rtl/>
              </w:rPr>
            </w:pPr>
            <w:r w:rsidRPr="009D28FF">
              <w:rPr>
                <w:rFonts w:cs="FrankRuehl"/>
                <w:sz w:val="28"/>
                <w:szCs w:val="28"/>
                <w:rtl/>
              </w:rPr>
              <w:t>ת"פ</w:t>
            </w:r>
            <w:r w:rsidRPr="009D28FF">
              <w:rPr>
                <w:rFonts w:cs="FrankRuehl" w:hint="cs"/>
                <w:sz w:val="28"/>
                <w:szCs w:val="28"/>
                <w:rtl/>
              </w:rPr>
              <w:t xml:space="preserve"> </w:t>
            </w:r>
            <w:r w:rsidRPr="009D28FF">
              <w:rPr>
                <w:rFonts w:cs="FrankRuehl"/>
                <w:sz w:val="28"/>
                <w:szCs w:val="28"/>
                <w:rtl/>
              </w:rPr>
              <w:t>38303-12-13</w:t>
            </w:r>
            <w:r w:rsidRPr="009D28FF">
              <w:rPr>
                <w:rFonts w:cs="FrankRuehl" w:hint="cs"/>
                <w:sz w:val="28"/>
                <w:szCs w:val="28"/>
                <w:rtl/>
              </w:rPr>
              <w:t xml:space="preserve"> </w:t>
            </w:r>
            <w:r w:rsidRPr="009D28FF">
              <w:rPr>
                <w:rFonts w:cs="FrankRuehl"/>
                <w:sz w:val="28"/>
                <w:szCs w:val="28"/>
                <w:rtl/>
              </w:rPr>
              <w:t>מדינת ישראל נ' קורד</w:t>
            </w:r>
          </w:p>
          <w:p w14:paraId="121D6850" w14:textId="77777777" w:rsidR="00EB6DC8" w:rsidRPr="009D28FF" w:rsidRDefault="00EB6DC8">
            <w:pPr>
              <w:pStyle w:val="a3"/>
              <w:rPr>
                <w:rFonts w:cs="FrankRuehl"/>
                <w:sz w:val="28"/>
                <w:szCs w:val="28"/>
                <w:rtl/>
              </w:rPr>
            </w:pPr>
          </w:p>
        </w:tc>
        <w:tc>
          <w:tcPr>
            <w:tcW w:w="3667" w:type="dxa"/>
          </w:tcPr>
          <w:p w14:paraId="0D377060" w14:textId="77777777" w:rsidR="00EB6DC8" w:rsidRPr="009D28FF" w:rsidRDefault="00EB6DC8">
            <w:pPr>
              <w:pStyle w:val="a3"/>
              <w:jc w:val="right"/>
              <w:rPr>
                <w:rFonts w:cs="FrankRuehl"/>
                <w:sz w:val="28"/>
                <w:szCs w:val="28"/>
                <w:rtl/>
              </w:rPr>
            </w:pPr>
          </w:p>
        </w:tc>
      </w:tr>
    </w:tbl>
    <w:p w14:paraId="575AFD24" w14:textId="77777777" w:rsidR="00EB6DC8" w:rsidRPr="009D28FF" w:rsidRDefault="009D28FF">
      <w:pPr>
        <w:pStyle w:val="a3"/>
        <w:rPr>
          <w:rtl/>
        </w:rPr>
      </w:pPr>
      <w:r w:rsidRPr="009D28FF">
        <w:rPr>
          <w:rFonts w:hint="cs"/>
          <w:rtl/>
        </w:rPr>
        <w:t xml:space="preserve"> </w:t>
      </w:r>
    </w:p>
    <w:p w14:paraId="58AE4031" w14:textId="77777777" w:rsidR="00EB6DC8" w:rsidRPr="009D28FF" w:rsidRDefault="00EB6DC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B6DC8" w:rsidRPr="009D28FF" w14:paraId="4A0E2B40" w14:textId="77777777">
        <w:trPr>
          <w:trHeight w:val="295"/>
          <w:jc w:val="center"/>
        </w:trPr>
        <w:tc>
          <w:tcPr>
            <w:tcW w:w="923" w:type="dxa"/>
            <w:tcBorders>
              <w:top w:val="nil"/>
              <w:left w:val="nil"/>
              <w:bottom w:val="nil"/>
              <w:right w:val="nil"/>
            </w:tcBorders>
          </w:tcPr>
          <w:p w14:paraId="2FE18A25" w14:textId="77777777" w:rsidR="00EB6DC8" w:rsidRPr="009D28FF" w:rsidRDefault="009D28FF">
            <w:pPr>
              <w:jc w:val="both"/>
              <w:rPr>
                <w:rFonts w:ascii="Arial" w:hAnsi="Arial" w:cs="FrankRuehl"/>
                <w:sz w:val="28"/>
                <w:szCs w:val="28"/>
              </w:rPr>
            </w:pPr>
            <w:r w:rsidRPr="009D28FF">
              <w:rPr>
                <w:rFonts w:ascii="Arial" w:hAnsi="Arial" w:cs="FrankRuehl" w:hint="cs"/>
                <w:sz w:val="28"/>
                <w:szCs w:val="28"/>
                <w:rtl/>
              </w:rPr>
              <w:t>ב</w:t>
            </w:r>
            <w:r w:rsidRPr="009D28FF">
              <w:rPr>
                <w:rFonts w:ascii="Arial" w:hAnsi="Arial" w:cs="FrankRuehl"/>
                <w:sz w:val="28"/>
                <w:szCs w:val="28"/>
                <w:rtl/>
              </w:rPr>
              <w:t xml:space="preserve">פני </w:t>
            </w:r>
          </w:p>
        </w:tc>
        <w:tc>
          <w:tcPr>
            <w:tcW w:w="7897" w:type="dxa"/>
            <w:gridSpan w:val="2"/>
            <w:tcBorders>
              <w:top w:val="nil"/>
              <w:left w:val="nil"/>
              <w:bottom w:val="nil"/>
              <w:right w:val="nil"/>
            </w:tcBorders>
          </w:tcPr>
          <w:p w14:paraId="7A7D67F5" w14:textId="77777777" w:rsidR="00EB6DC8" w:rsidRPr="009D28FF" w:rsidRDefault="009D28FF">
            <w:pPr>
              <w:rPr>
                <w:rFonts w:ascii="Arial" w:hAnsi="Arial"/>
                <w:b/>
                <w:bCs/>
                <w:rtl/>
              </w:rPr>
            </w:pPr>
            <w:r w:rsidRPr="009D28FF">
              <w:rPr>
                <w:rFonts w:ascii="Arial" w:hAnsi="Arial" w:hint="cs"/>
                <w:b/>
                <w:bCs/>
                <w:rtl/>
              </w:rPr>
              <w:t>כב' ה</w:t>
            </w:r>
            <w:r w:rsidRPr="009D28FF">
              <w:rPr>
                <w:rFonts w:hint="cs"/>
                <w:rtl/>
              </w:rPr>
              <w:t>שופט</w:t>
            </w:r>
            <w:r w:rsidRPr="009D28FF">
              <w:rPr>
                <w:rFonts w:ascii="Arial" w:hAnsi="Arial" w:hint="cs"/>
                <w:b/>
                <w:bCs/>
                <w:rtl/>
              </w:rPr>
              <w:t xml:space="preserve">  </w:t>
            </w:r>
            <w:r w:rsidRPr="009D28FF">
              <w:rPr>
                <w:rFonts w:hint="cs"/>
                <w:rtl/>
              </w:rPr>
              <w:t>ירון מינטקביץ</w:t>
            </w:r>
          </w:p>
          <w:p w14:paraId="380A1CE3" w14:textId="77777777" w:rsidR="00EB6DC8" w:rsidRPr="009D28FF" w:rsidRDefault="00EB6DC8">
            <w:pPr>
              <w:rPr>
                <w:rtl/>
              </w:rPr>
            </w:pPr>
          </w:p>
          <w:p w14:paraId="7703061B" w14:textId="77777777" w:rsidR="00EB6DC8" w:rsidRPr="009D28FF" w:rsidRDefault="00EB6DC8">
            <w:pPr>
              <w:jc w:val="both"/>
              <w:rPr>
                <w:rFonts w:ascii="Arial" w:hAnsi="Arial" w:cs="FrankRuehl"/>
                <w:sz w:val="28"/>
                <w:szCs w:val="28"/>
              </w:rPr>
            </w:pPr>
          </w:p>
        </w:tc>
      </w:tr>
      <w:tr w:rsidR="00EB6DC8" w:rsidRPr="009D28FF" w14:paraId="45FBC4EF" w14:textId="77777777">
        <w:trPr>
          <w:trHeight w:val="355"/>
          <w:jc w:val="center"/>
        </w:trPr>
        <w:tc>
          <w:tcPr>
            <w:tcW w:w="923" w:type="dxa"/>
            <w:tcBorders>
              <w:top w:val="nil"/>
              <w:left w:val="nil"/>
              <w:bottom w:val="nil"/>
              <w:right w:val="nil"/>
            </w:tcBorders>
          </w:tcPr>
          <w:p w14:paraId="1C9E1064" w14:textId="77777777" w:rsidR="00EB6DC8" w:rsidRPr="009D28FF" w:rsidRDefault="009D28FF">
            <w:pPr>
              <w:jc w:val="both"/>
              <w:rPr>
                <w:rFonts w:ascii="Arial" w:hAnsi="Arial" w:cs="FrankRuehl"/>
                <w:sz w:val="28"/>
                <w:szCs w:val="28"/>
              </w:rPr>
            </w:pPr>
            <w:bookmarkStart w:id="2" w:name="FirstAppellant"/>
            <w:r w:rsidRPr="009D28FF">
              <w:rPr>
                <w:rFonts w:ascii="Arial" w:hAnsi="Arial" w:cs="FrankRuehl" w:hint="cs"/>
                <w:sz w:val="28"/>
                <w:szCs w:val="28"/>
                <w:rtl/>
              </w:rPr>
              <w:t>בעניין:</w:t>
            </w:r>
          </w:p>
        </w:tc>
        <w:tc>
          <w:tcPr>
            <w:tcW w:w="4126" w:type="dxa"/>
            <w:tcBorders>
              <w:top w:val="nil"/>
              <w:left w:val="nil"/>
              <w:bottom w:val="nil"/>
              <w:right w:val="nil"/>
            </w:tcBorders>
          </w:tcPr>
          <w:p w14:paraId="76E79382" w14:textId="77777777" w:rsidR="00EB6DC8" w:rsidRPr="009D28FF" w:rsidRDefault="009D28FF">
            <w:r w:rsidRPr="009D28FF">
              <w:rPr>
                <w:rFonts w:hint="cs"/>
                <w:rtl/>
              </w:rPr>
              <w:t>מדינת ישראל</w:t>
            </w:r>
            <w:r w:rsidRPr="009D28FF">
              <w:rPr>
                <w:rFonts w:hint="cs"/>
                <w:rtl/>
              </w:rPr>
              <w:br/>
              <w:t>ע"י עו"ד רוית צמח</w:t>
            </w:r>
          </w:p>
        </w:tc>
        <w:tc>
          <w:tcPr>
            <w:tcW w:w="3771" w:type="dxa"/>
            <w:tcBorders>
              <w:top w:val="nil"/>
              <w:left w:val="nil"/>
              <w:bottom w:val="nil"/>
              <w:right w:val="nil"/>
            </w:tcBorders>
          </w:tcPr>
          <w:p w14:paraId="2D12D17F" w14:textId="77777777" w:rsidR="00EB6DC8" w:rsidRPr="009D28FF" w:rsidRDefault="00EB6DC8">
            <w:pPr>
              <w:jc w:val="both"/>
              <w:rPr>
                <w:rFonts w:ascii="Arial" w:hAnsi="Arial" w:cs="FrankRuehl"/>
                <w:sz w:val="28"/>
                <w:szCs w:val="28"/>
              </w:rPr>
            </w:pPr>
          </w:p>
        </w:tc>
      </w:tr>
      <w:bookmarkEnd w:id="2"/>
      <w:tr w:rsidR="00EB6DC8" w:rsidRPr="009D28FF" w14:paraId="673E235A" w14:textId="77777777">
        <w:trPr>
          <w:trHeight w:val="355"/>
          <w:jc w:val="center"/>
        </w:trPr>
        <w:tc>
          <w:tcPr>
            <w:tcW w:w="923" w:type="dxa"/>
            <w:tcBorders>
              <w:top w:val="nil"/>
              <w:left w:val="nil"/>
              <w:bottom w:val="nil"/>
              <w:right w:val="nil"/>
            </w:tcBorders>
          </w:tcPr>
          <w:p w14:paraId="66BEEFD2" w14:textId="77777777" w:rsidR="00EB6DC8" w:rsidRPr="009D28FF" w:rsidRDefault="00EB6DC8">
            <w:pPr>
              <w:jc w:val="both"/>
              <w:rPr>
                <w:rFonts w:ascii="Arial" w:hAnsi="Arial" w:cs="FrankRuehl"/>
                <w:sz w:val="28"/>
                <w:szCs w:val="28"/>
                <w:rtl/>
              </w:rPr>
            </w:pPr>
          </w:p>
        </w:tc>
        <w:tc>
          <w:tcPr>
            <w:tcW w:w="4126" w:type="dxa"/>
            <w:tcBorders>
              <w:top w:val="nil"/>
              <w:left w:val="nil"/>
              <w:bottom w:val="nil"/>
              <w:right w:val="nil"/>
            </w:tcBorders>
          </w:tcPr>
          <w:p w14:paraId="460333D0" w14:textId="77777777" w:rsidR="00EB6DC8" w:rsidRPr="009D28FF" w:rsidRDefault="00EB6DC8">
            <w:pPr>
              <w:jc w:val="both"/>
              <w:rPr>
                <w:rtl/>
              </w:rPr>
            </w:pPr>
          </w:p>
        </w:tc>
        <w:tc>
          <w:tcPr>
            <w:tcW w:w="3771" w:type="dxa"/>
            <w:tcBorders>
              <w:top w:val="nil"/>
              <w:left w:val="nil"/>
              <w:bottom w:val="nil"/>
              <w:right w:val="nil"/>
            </w:tcBorders>
          </w:tcPr>
          <w:p w14:paraId="03E79B51" w14:textId="77777777" w:rsidR="00EB6DC8" w:rsidRPr="009D28FF" w:rsidRDefault="009D28FF">
            <w:pPr>
              <w:jc w:val="right"/>
              <w:rPr>
                <w:rFonts w:ascii="Arial" w:hAnsi="Arial" w:cs="FrankRuehl"/>
                <w:sz w:val="28"/>
                <w:szCs w:val="28"/>
                <w:rtl/>
              </w:rPr>
            </w:pPr>
            <w:r w:rsidRPr="009D28FF">
              <w:rPr>
                <w:rFonts w:ascii="Arial" w:hAnsi="Arial" w:cs="FrankRuehl" w:hint="cs"/>
                <w:sz w:val="28"/>
                <w:szCs w:val="28"/>
                <w:rtl/>
              </w:rPr>
              <w:t>ה</w:t>
            </w:r>
            <w:r w:rsidRPr="009D28FF">
              <w:rPr>
                <w:rFonts w:hint="cs"/>
                <w:rtl/>
              </w:rPr>
              <w:t>מאשימה</w:t>
            </w:r>
          </w:p>
        </w:tc>
      </w:tr>
      <w:tr w:rsidR="00EB6DC8" w:rsidRPr="009D28FF" w14:paraId="622D8CC8" w14:textId="77777777">
        <w:trPr>
          <w:trHeight w:val="355"/>
          <w:jc w:val="center"/>
        </w:trPr>
        <w:tc>
          <w:tcPr>
            <w:tcW w:w="923" w:type="dxa"/>
            <w:tcBorders>
              <w:top w:val="nil"/>
              <w:left w:val="nil"/>
              <w:bottom w:val="nil"/>
              <w:right w:val="nil"/>
            </w:tcBorders>
          </w:tcPr>
          <w:p w14:paraId="55DF24FC" w14:textId="77777777" w:rsidR="00EB6DC8" w:rsidRPr="009D28FF" w:rsidRDefault="00EB6DC8">
            <w:pPr>
              <w:jc w:val="both"/>
              <w:rPr>
                <w:rFonts w:ascii="Arial" w:hAnsi="Arial" w:cs="FrankRuehl"/>
                <w:sz w:val="28"/>
                <w:szCs w:val="28"/>
                <w:rtl/>
              </w:rPr>
            </w:pPr>
          </w:p>
        </w:tc>
        <w:tc>
          <w:tcPr>
            <w:tcW w:w="7897" w:type="dxa"/>
            <w:gridSpan w:val="2"/>
            <w:tcBorders>
              <w:top w:val="nil"/>
              <w:left w:val="nil"/>
              <w:bottom w:val="nil"/>
              <w:right w:val="nil"/>
            </w:tcBorders>
          </w:tcPr>
          <w:p w14:paraId="6C9AC9F6" w14:textId="77777777" w:rsidR="00EB6DC8" w:rsidRPr="009D28FF" w:rsidRDefault="00EB6DC8">
            <w:pPr>
              <w:jc w:val="center"/>
              <w:rPr>
                <w:rFonts w:ascii="Arial" w:hAnsi="Arial" w:cs="FrankRuehl"/>
                <w:b/>
                <w:bCs/>
                <w:sz w:val="28"/>
                <w:szCs w:val="28"/>
                <w:rtl/>
              </w:rPr>
            </w:pPr>
          </w:p>
          <w:p w14:paraId="0942CA39" w14:textId="77777777" w:rsidR="00EB6DC8" w:rsidRPr="009D28FF" w:rsidRDefault="009D28FF">
            <w:pPr>
              <w:jc w:val="center"/>
              <w:rPr>
                <w:rFonts w:ascii="Arial" w:hAnsi="Arial" w:cs="FrankRuehl"/>
                <w:b/>
                <w:bCs/>
                <w:sz w:val="28"/>
                <w:szCs w:val="28"/>
                <w:rtl/>
              </w:rPr>
            </w:pPr>
            <w:r w:rsidRPr="009D28FF">
              <w:rPr>
                <w:rFonts w:ascii="Arial" w:hAnsi="Arial" w:cs="FrankRuehl"/>
                <w:b/>
                <w:bCs/>
                <w:sz w:val="28"/>
                <w:szCs w:val="28"/>
                <w:rtl/>
              </w:rPr>
              <w:t>נגד</w:t>
            </w:r>
          </w:p>
          <w:p w14:paraId="625496E4" w14:textId="77777777" w:rsidR="00EB6DC8" w:rsidRPr="009D28FF" w:rsidRDefault="00EB6DC8">
            <w:pPr>
              <w:jc w:val="both"/>
              <w:rPr>
                <w:rFonts w:ascii="Arial" w:hAnsi="Arial" w:cs="FrankRuehl"/>
                <w:sz w:val="28"/>
                <w:szCs w:val="28"/>
              </w:rPr>
            </w:pPr>
          </w:p>
        </w:tc>
      </w:tr>
      <w:tr w:rsidR="00EB6DC8" w:rsidRPr="009D28FF" w14:paraId="48C05C1E" w14:textId="77777777">
        <w:trPr>
          <w:trHeight w:val="355"/>
          <w:jc w:val="center"/>
        </w:trPr>
        <w:tc>
          <w:tcPr>
            <w:tcW w:w="923" w:type="dxa"/>
            <w:tcBorders>
              <w:top w:val="nil"/>
              <w:left w:val="nil"/>
              <w:bottom w:val="nil"/>
              <w:right w:val="nil"/>
            </w:tcBorders>
          </w:tcPr>
          <w:p w14:paraId="087EBA56" w14:textId="77777777" w:rsidR="00EB6DC8" w:rsidRPr="009D28FF" w:rsidRDefault="00EB6DC8">
            <w:pPr>
              <w:rPr>
                <w:rFonts w:ascii="Arial" w:hAnsi="Arial" w:cs="FrankRuehl"/>
                <w:sz w:val="28"/>
                <w:szCs w:val="28"/>
                <w:rtl/>
              </w:rPr>
            </w:pPr>
          </w:p>
        </w:tc>
        <w:tc>
          <w:tcPr>
            <w:tcW w:w="4126" w:type="dxa"/>
            <w:tcBorders>
              <w:top w:val="nil"/>
              <w:left w:val="nil"/>
              <w:bottom w:val="nil"/>
              <w:right w:val="nil"/>
            </w:tcBorders>
          </w:tcPr>
          <w:p w14:paraId="00BF3B61" w14:textId="77777777" w:rsidR="00EB6DC8" w:rsidRPr="009D28FF" w:rsidRDefault="009D28FF">
            <w:pPr>
              <w:rPr>
                <w:rtl/>
              </w:rPr>
            </w:pPr>
            <w:r w:rsidRPr="009D28FF">
              <w:rPr>
                <w:rFonts w:hint="cs"/>
                <w:rtl/>
              </w:rPr>
              <w:t>עבד קורד</w:t>
            </w:r>
            <w:r w:rsidRPr="009D28FF">
              <w:rPr>
                <w:rFonts w:hint="cs"/>
                <w:rtl/>
              </w:rPr>
              <w:br/>
              <w:t>ע"י עו"ד יוסי זילברברג</w:t>
            </w:r>
          </w:p>
        </w:tc>
        <w:tc>
          <w:tcPr>
            <w:tcW w:w="3771" w:type="dxa"/>
            <w:tcBorders>
              <w:top w:val="nil"/>
              <w:left w:val="nil"/>
              <w:bottom w:val="nil"/>
              <w:right w:val="nil"/>
            </w:tcBorders>
          </w:tcPr>
          <w:p w14:paraId="4355AC50" w14:textId="77777777" w:rsidR="00EB6DC8" w:rsidRPr="009D28FF" w:rsidRDefault="00EB6DC8">
            <w:pPr>
              <w:jc w:val="right"/>
              <w:rPr>
                <w:rFonts w:ascii="Arial" w:hAnsi="Arial" w:cs="FrankRuehl"/>
                <w:sz w:val="28"/>
                <w:szCs w:val="28"/>
              </w:rPr>
            </w:pPr>
          </w:p>
        </w:tc>
      </w:tr>
      <w:tr w:rsidR="00EB6DC8" w:rsidRPr="009D28FF" w14:paraId="06F657B4" w14:textId="77777777">
        <w:trPr>
          <w:trHeight w:val="355"/>
          <w:jc w:val="center"/>
        </w:trPr>
        <w:tc>
          <w:tcPr>
            <w:tcW w:w="923" w:type="dxa"/>
            <w:tcBorders>
              <w:top w:val="nil"/>
              <w:left w:val="nil"/>
              <w:bottom w:val="nil"/>
              <w:right w:val="nil"/>
            </w:tcBorders>
          </w:tcPr>
          <w:p w14:paraId="169AD526" w14:textId="77777777" w:rsidR="00EB6DC8" w:rsidRPr="009D28FF" w:rsidRDefault="00EB6DC8">
            <w:pPr>
              <w:jc w:val="both"/>
              <w:rPr>
                <w:rFonts w:ascii="Arial" w:hAnsi="Arial" w:cs="FrankRuehl"/>
                <w:sz w:val="28"/>
                <w:szCs w:val="28"/>
                <w:rtl/>
              </w:rPr>
            </w:pPr>
          </w:p>
        </w:tc>
        <w:tc>
          <w:tcPr>
            <w:tcW w:w="4126" w:type="dxa"/>
            <w:tcBorders>
              <w:top w:val="nil"/>
              <w:left w:val="nil"/>
              <w:bottom w:val="nil"/>
              <w:right w:val="nil"/>
            </w:tcBorders>
          </w:tcPr>
          <w:p w14:paraId="4CEFDC02" w14:textId="77777777" w:rsidR="00EB6DC8" w:rsidRPr="009D28FF" w:rsidRDefault="00EB6DC8">
            <w:pPr>
              <w:jc w:val="both"/>
              <w:rPr>
                <w:rtl/>
              </w:rPr>
            </w:pPr>
          </w:p>
        </w:tc>
        <w:tc>
          <w:tcPr>
            <w:tcW w:w="3771" w:type="dxa"/>
            <w:tcBorders>
              <w:top w:val="nil"/>
              <w:left w:val="nil"/>
              <w:bottom w:val="nil"/>
              <w:right w:val="nil"/>
            </w:tcBorders>
          </w:tcPr>
          <w:p w14:paraId="28D82453" w14:textId="77777777" w:rsidR="00EB6DC8" w:rsidRPr="009D28FF" w:rsidRDefault="009D28FF">
            <w:pPr>
              <w:jc w:val="right"/>
              <w:rPr>
                <w:rFonts w:ascii="Arial" w:hAnsi="Arial" w:cs="FrankRuehl"/>
                <w:sz w:val="28"/>
                <w:szCs w:val="28"/>
              </w:rPr>
            </w:pPr>
            <w:r w:rsidRPr="009D28FF">
              <w:rPr>
                <w:rFonts w:ascii="Arial" w:hAnsi="Arial" w:cs="FrankRuehl" w:hint="cs"/>
                <w:sz w:val="28"/>
                <w:szCs w:val="28"/>
                <w:rtl/>
              </w:rPr>
              <w:t>ה</w:t>
            </w:r>
            <w:r w:rsidRPr="009D28FF">
              <w:rPr>
                <w:rFonts w:hint="cs"/>
                <w:rtl/>
              </w:rPr>
              <w:t>נאשמים</w:t>
            </w:r>
          </w:p>
        </w:tc>
      </w:tr>
    </w:tbl>
    <w:p w14:paraId="338F35CF" w14:textId="77777777" w:rsidR="002D6AF8" w:rsidRDefault="002D6AF8">
      <w:pPr>
        <w:rPr>
          <w:rtl/>
        </w:rPr>
      </w:pPr>
      <w:bookmarkStart w:id="3" w:name="LawTable"/>
      <w:bookmarkEnd w:id="3"/>
    </w:p>
    <w:p w14:paraId="1810207E" w14:textId="77777777" w:rsidR="002D6AF8" w:rsidRPr="002D6AF8" w:rsidRDefault="002D6AF8" w:rsidP="002D6AF8">
      <w:pPr>
        <w:spacing w:after="120" w:line="240" w:lineRule="exact"/>
        <w:ind w:left="283" w:hanging="283"/>
        <w:jc w:val="both"/>
        <w:rPr>
          <w:rFonts w:ascii="FrankRuehl" w:hAnsi="FrankRuehl" w:cs="FrankRuehl"/>
          <w:rtl/>
        </w:rPr>
      </w:pPr>
      <w:r w:rsidRPr="002D6AF8">
        <w:rPr>
          <w:rFonts w:ascii="FrankRuehl" w:hAnsi="FrankRuehl" w:cs="FrankRuehl"/>
          <w:rtl/>
        </w:rPr>
        <w:t xml:space="preserve">חקיקה שאוזכרה: </w:t>
      </w:r>
    </w:p>
    <w:p w14:paraId="3DBB3087" w14:textId="77777777" w:rsidR="002D6AF8" w:rsidRPr="002D6AF8" w:rsidRDefault="002D6AF8" w:rsidP="002D6AF8">
      <w:pPr>
        <w:spacing w:after="120" w:line="240" w:lineRule="exact"/>
        <w:ind w:left="283" w:hanging="283"/>
        <w:jc w:val="both"/>
        <w:rPr>
          <w:rFonts w:ascii="FrankRuehl" w:hAnsi="FrankRuehl" w:cs="FrankRuehl"/>
          <w:color w:val="0000FF"/>
          <w:u w:val="single"/>
          <w:rtl/>
        </w:rPr>
      </w:pPr>
      <w:hyperlink r:id="rId6" w:history="1">
        <w:r w:rsidRPr="002D6AF8">
          <w:rPr>
            <w:rStyle w:val="Hyperlink"/>
            <w:rFonts w:ascii="FrankRuehl" w:hAnsi="FrankRuehl" w:cs="FrankRuehl"/>
            <w:rtl/>
          </w:rPr>
          <w:t>חוק העונשין, תשל"ז-1977</w:t>
        </w:r>
      </w:hyperlink>
      <w:r w:rsidRPr="002D6AF8">
        <w:rPr>
          <w:rFonts w:ascii="FrankRuehl" w:hAnsi="FrankRuehl" w:cs="FrankRuehl"/>
          <w:color w:val="0000FF"/>
          <w:u w:val="single"/>
          <w:rtl/>
        </w:rPr>
        <w:t xml:space="preserve">: סע'  </w:t>
      </w:r>
      <w:hyperlink r:id="rId7" w:history="1">
        <w:r w:rsidRPr="002D6AF8">
          <w:rPr>
            <w:rStyle w:val="Hyperlink"/>
            <w:rFonts w:ascii="FrankRuehl" w:hAnsi="FrankRuehl" w:cs="FrankRuehl"/>
          </w:rPr>
          <w:t>144</w:t>
        </w:r>
      </w:hyperlink>
    </w:p>
    <w:p w14:paraId="51419212" w14:textId="77777777" w:rsidR="002D6AF8" w:rsidRPr="002D6AF8" w:rsidRDefault="002D6AF8" w:rsidP="002D6AF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B6DC8" w14:paraId="60678913" w14:textId="77777777">
        <w:trPr>
          <w:trHeight w:val="355"/>
          <w:jc w:val="center"/>
        </w:trPr>
        <w:tc>
          <w:tcPr>
            <w:tcW w:w="8820" w:type="dxa"/>
            <w:tcBorders>
              <w:top w:val="nil"/>
              <w:left w:val="nil"/>
              <w:bottom w:val="nil"/>
              <w:right w:val="nil"/>
            </w:tcBorders>
          </w:tcPr>
          <w:p w14:paraId="5B8D8D03" w14:textId="77777777" w:rsidR="00EB6DC8" w:rsidRPr="002D6AF8" w:rsidRDefault="009D28FF" w:rsidP="002D6AF8">
            <w:pPr>
              <w:spacing w:after="120" w:line="360" w:lineRule="auto"/>
              <w:jc w:val="center"/>
              <w:rPr>
                <w:rFonts w:ascii="Arial" w:hAnsi="Arial" w:cs="FrankRuehl" w:hint="cs"/>
                <w:b/>
                <w:bCs/>
                <w:sz w:val="32"/>
                <w:szCs w:val="32"/>
                <w:u w:val="single"/>
                <w:rtl/>
              </w:rPr>
            </w:pPr>
            <w:bookmarkStart w:id="4" w:name="LawTable_End"/>
            <w:bookmarkStart w:id="5" w:name="PsakDin" w:colFirst="0" w:colLast="0"/>
            <w:bookmarkEnd w:id="0"/>
            <w:bookmarkEnd w:id="1"/>
            <w:bookmarkEnd w:id="4"/>
            <w:r w:rsidRPr="009D28FF">
              <w:rPr>
                <w:rFonts w:ascii="Arial" w:hAnsi="Arial" w:cs="FrankRuehl"/>
                <w:b/>
                <w:bCs/>
                <w:sz w:val="32"/>
                <w:szCs w:val="32"/>
                <w:u w:val="single"/>
                <w:rtl/>
              </w:rPr>
              <w:t>גזר דין</w:t>
            </w:r>
          </w:p>
        </w:tc>
      </w:tr>
    </w:tbl>
    <w:bookmarkEnd w:id="5"/>
    <w:p w14:paraId="7F0287B3" w14:textId="77777777" w:rsidR="00EB6DC8" w:rsidRDefault="009D28FF">
      <w:pPr>
        <w:spacing w:after="120" w:line="360" w:lineRule="auto"/>
        <w:jc w:val="both"/>
        <w:rPr>
          <w:rFonts w:ascii="Arial" w:hAnsi="Arial"/>
          <w:b/>
          <w:bCs/>
          <w:rtl/>
        </w:rPr>
      </w:pPr>
      <w:r>
        <w:rPr>
          <w:rFonts w:ascii="Arial" w:hAnsi="Arial" w:hint="cs"/>
          <w:b/>
          <w:bCs/>
          <w:rtl/>
        </w:rPr>
        <w:t>רקע ועמדות הצדדים</w:t>
      </w:r>
    </w:p>
    <w:p w14:paraId="1F1CCA27" w14:textId="77777777" w:rsidR="00EB6DC8" w:rsidRDefault="009D28FF">
      <w:pPr>
        <w:spacing w:after="120" w:line="360" w:lineRule="auto"/>
        <w:jc w:val="both"/>
        <w:rPr>
          <w:rFonts w:ascii="Arial" w:hAnsi="Arial"/>
          <w:rtl/>
        </w:rPr>
      </w:pPr>
      <w:r>
        <w:rPr>
          <w:rFonts w:ascii="Arial" w:hAnsi="Arial" w:hint="cs"/>
          <w:rtl/>
        </w:rPr>
        <w:t>הנאשם הורשע על פי הודאתו בעבירה של החזקת נשק.</w:t>
      </w:r>
    </w:p>
    <w:p w14:paraId="2E83F1D7" w14:textId="77777777" w:rsidR="00EB6DC8" w:rsidRDefault="009D28FF">
      <w:pPr>
        <w:spacing w:after="120" w:line="360" w:lineRule="auto"/>
        <w:jc w:val="both"/>
        <w:rPr>
          <w:rFonts w:ascii="Arial" w:hAnsi="Arial"/>
          <w:rtl/>
        </w:rPr>
      </w:pPr>
      <w:r>
        <w:rPr>
          <w:rFonts w:ascii="Arial" w:hAnsi="Arial" w:hint="cs"/>
          <w:rtl/>
        </w:rPr>
        <w:t>על פי עובדות כתב האשום, הנאשם החזיק ברשותו למשך כחמש שנים אקדח ותחמושת, אותם נשא מביתו למקום עבודתו הסמוך וחזרה, לצרכי הגנה עצמית, בשל עיסוקו במסחר.</w:t>
      </w:r>
    </w:p>
    <w:p w14:paraId="16E19D60" w14:textId="77777777" w:rsidR="00EB6DC8" w:rsidRDefault="009D28FF">
      <w:pPr>
        <w:spacing w:after="120" w:line="360" w:lineRule="auto"/>
        <w:jc w:val="both"/>
        <w:rPr>
          <w:rFonts w:ascii="Arial" w:hAnsi="Arial"/>
          <w:rtl/>
        </w:rPr>
      </w:pPr>
      <w:r>
        <w:rPr>
          <w:rFonts w:ascii="Arial" w:hAnsi="Arial" w:hint="cs"/>
          <w:rtl/>
        </w:rPr>
        <w:t>ב"כ המאשימה עתרה להשית על הנאשם עונש מאסר בפועל, במתחם שבין שנה לשנתיים. בטעונה שמה דגש על הסכנה הטמונה בהחזקת נשק, אשר יוצר פוטנציאל הסלמה לארועים ועל הפגיעה בבטחון הנגרמת כתוצאה מן העבירה.</w:t>
      </w:r>
    </w:p>
    <w:p w14:paraId="685F1E4D" w14:textId="77777777" w:rsidR="00EB6DC8" w:rsidRDefault="009D28FF">
      <w:pPr>
        <w:spacing w:after="120" w:line="360" w:lineRule="auto"/>
        <w:jc w:val="both"/>
        <w:rPr>
          <w:rFonts w:ascii="Arial" w:hAnsi="Arial"/>
          <w:rtl/>
        </w:rPr>
      </w:pPr>
      <w:r>
        <w:rPr>
          <w:rFonts w:ascii="Arial" w:hAnsi="Arial" w:hint="cs"/>
          <w:rtl/>
        </w:rPr>
        <w:t>ב"כ הנאשם שם דגש על נסיבותיו האישיות של הנאשם כפי שפורטו על ידי שירות המבחן, על כך שהנשק נועד להגנה עצמית ועל הודאת הנאשם. לאור זאת ביקש להסתפק בהטלת התחייבות להמנע מעבירה, כפי שהמליץ שירות המבחן. במסגרת טעונו הגיש פסיקה רבה, בה נמנעו בתי משפט מגזירת מאסר בפועל והסתפקו בהטלת מאסרים מותנים בגין עבירות דומות.</w:t>
      </w:r>
    </w:p>
    <w:p w14:paraId="241A532E" w14:textId="77777777" w:rsidR="00EB6DC8" w:rsidRDefault="009D28FF">
      <w:pPr>
        <w:spacing w:after="120" w:line="360" w:lineRule="auto"/>
        <w:jc w:val="both"/>
        <w:rPr>
          <w:rFonts w:ascii="Arial" w:hAnsi="Arial"/>
          <w:rtl/>
        </w:rPr>
      </w:pPr>
      <w:r>
        <w:rPr>
          <w:rFonts w:ascii="Arial" w:hAnsi="Arial" w:hint="cs"/>
          <w:rtl/>
        </w:rPr>
        <w:t>הנאשם ביקש לומר את המילה האחרונה. בדבריו הביע צער על מעשיו והדגיש כי הבין את טעותו וכי אין המעשה מאפיין את דרכו.</w:t>
      </w:r>
    </w:p>
    <w:p w14:paraId="20F5D212" w14:textId="77777777" w:rsidR="00EB6DC8" w:rsidRDefault="009D28FF">
      <w:pPr>
        <w:spacing w:after="120" w:line="360" w:lineRule="auto"/>
        <w:jc w:val="both"/>
        <w:rPr>
          <w:rFonts w:ascii="Arial" w:hAnsi="Arial"/>
          <w:b/>
          <w:bCs/>
          <w:rtl/>
        </w:rPr>
      </w:pPr>
      <w:r>
        <w:rPr>
          <w:rFonts w:ascii="Arial" w:hAnsi="Arial" w:hint="cs"/>
          <w:b/>
          <w:bCs/>
          <w:rtl/>
        </w:rPr>
        <w:t>מתחם העונש ההולם</w:t>
      </w:r>
    </w:p>
    <w:p w14:paraId="1188C586" w14:textId="77777777" w:rsidR="00EB6DC8" w:rsidRDefault="009D28FF">
      <w:pPr>
        <w:spacing w:after="120" w:line="360" w:lineRule="auto"/>
        <w:jc w:val="both"/>
        <w:rPr>
          <w:rFonts w:ascii="Arial" w:hAnsi="Arial"/>
          <w:rtl/>
        </w:rPr>
      </w:pPr>
      <w:r>
        <w:rPr>
          <w:rFonts w:ascii="Arial" w:hAnsi="Arial" w:hint="cs"/>
          <w:rtl/>
        </w:rPr>
        <w:lastRenderedPageBreak/>
        <w:t xml:space="preserve">חומרתה של העבירה אותה עבר הנאשם ברורה ורבה. אקדח הוא נשק קטלני ומטרתו אחת היא </w:t>
      </w:r>
      <w:r>
        <w:rPr>
          <w:rFonts w:ascii="Arial" w:hAnsi="Arial"/>
          <w:rtl/>
        </w:rPr>
        <w:t>–</w:t>
      </w:r>
      <w:r>
        <w:rPr>
          <w:rFonts w:ascii="Arial" w:hAnsi="Arial" w:hint="cs"/>
          <w:rtl/>
        </w:rPr>
        <w:t xml:space="preserve"> לפגוע באחרים. הערכים המוגנים הנפגעים כתוצאה מעבירות נשק הם הערכים החשובים מכל, של הגנה של קדושת החיים ושלמות הגוף. החזקת נשק על ידי מי שאינו מורשה לכך טומנת בחובה סיכונים רבים ושונים ובהם שימוש בנשק לצורך ביצוע עבירות פליליות או מעשי טרור. המצאות נשק בידי עבריינים מאפשרת ביצוע עבירות אלימות ורכוש ומעלה את דרגת החומרה שבמעשים ואת פוטנציאל הסכנה שבהם. לפיכך, תיקי החזקת נשק "שגרתיים" מחייבים השתת עונשי מאסר משמעותיים, בשל חומרת העבירה והצורך להרתיע מביצועה.</w:t>
      </w:r>
    </w:p>
    <w:p w14:paraId="470E5602" w14:textId="77777777" w:rsidR="00EB6DC8" w:rsidRDefault="009D28FF">
      <w:pPr>
        <w:spacing w:after="120" w:line="360" w:lineRule="auto"/>
        <w:jc w:val="both"/>
        <w:rPr>
          <w:rFonts w:ascii="Arial" w:hAnsi="Arial"/>
          <w:rtl/>
        </w:rPr>
      </w:pPr>
      <w:r>
        <w:rPr>
          <w:rFonts w:ascii="Arial" w:hAnsi="Arial" w:hint="cs"/>
          <w:rtl/>
        </w:rPr>
        <w:t>נסיבה המחריגה את המקרה שלפני מרובם המכריע של תיקי החזקת הנשק, היא העובדה המוסכמת, כי הנאשם החזיק האקדח רק לצורך הגנה עצמית, שכן הוא סוחר ונוהג להחזיק סכומי כסף גדולים. המדובר ברף הנמוך של עבירות החזקת נשק, שכן מנסיבות התיק עולה, כי לא היתה לנאשם כל כוונה לעשות שימוש יזום בנשק, מעבר להחזקתו לצורך הגנה.</w:t>
      </w:r>
    </w:p>
    <w:p w14:paraId="0C066AA3" w14:textId="77777777" w:rsidR="00EB6DC8" w:rsidRDefault="009D28FF">
      <w:pPr>
        <w:spacing w:after="120" w:line="360" w:lineRule="auto"/>
        <w:jc w:val="both"/>
        <w:rPr>
          <w:rFonts w:ascii="Arial" w:hAnsi="Arial"/>
          <w:rtl/>
        </w:rPr>
      </w:pPr>
      <w:r>
        <w:rPr>
          <w:rFonts w:ascii="Arial" w:hAnsi="Arial" w:hint="cs"/>
          <w:rtl/>
        </w:rPr>
        <w:t>עם זאת, גם החזקת נשק לצורך הגנה עצמית בלבד, על ידי אדם שאין לו כל כוונת זדון, טומנת בחובה סיכונים רבים. קיים חשש, שמחזיק הנשק יעשה בו שימוש לא מבוקר ולא פרופורציונלי, במקרה בו יחוש איום או במקרה של סכסוך. וכפי שהטיבה לנסח זאת ב"כ המאשימה, יש בכך כדי להשאיר ביד העבריין המחזיק בנשק את שיקול הדעת מתי לעשות בו שימוש, וזאת מבלי שכל גורם בדק את יכולתו להפעיל שיקול דעת. כמו כן, קיים חשש, כי הנשק יגיע לידיים אחרות או כי המחזיק בנשק יעשה בו שימוש פלילי מכוון.</w:t>
      </w:r>
    </w:p>
    <w:p w14:paraId="6D35B5DF" w14:textId="77777777" w:rsidR="00EB6DC8" w:rsidRDefault="009D28FF">
      <w:pPr>
        <w:spacing w:after="120" w:line="360" w:lineRule="auto"/>
        <w:jc w:val="both"/>
        <w:rPr>
          <w:rFonts w:ascii="Arial" w:hAnsi="Arial"/>
          <w:rtl/>
        </w:rPr>
      </w:pPr>
      <w:r>
        <w:rPr>
          <w:rFonts w:ascii="Arial" w:hAnsi="Arial" w:hint="cs"/>
          <w:rtl/>
        </w:rPr>
        <w:t>שיקול נוסף הוא, כי אדם המחזיק נשק שלא כדין, ממילא משיג אותו שלא כדין - דבר המעודד סחר בלתי חוקי בנשק, שהוא תחום עבריינות פרוץ הטומן בחובו סיכונים רבים.</w:t>
      </w:r>
    </w:p>
    <w:p w14:paraId="408F10DE" w14:textId="77777777" w:rsidR="00EB6DC8" w:rsidRDefault="009D28FF">
      <w:pPr>
        <w:spacing w:after="120" w:line="360" w:lineRule="auto"/>
        <w:jc w:val="both"/>
        <w:rPr>
          <w:rFonts w:ascii="Arial" w:hAnsi="Arial"/>
          <w:rtl/>
        </w:rPr>
      </w:pPr>
      <w:r>
        <w:rPr>
          <w:rFonts w:ascii="Arial" w:hAnsi="Arial" w:hint="cs"/>
          <w:rtl/>
        </w:rPr>
        <w:t xml:space="preserve">נתתי דעתי לפסיקה הרבה אותה הגיש ב"כ הנאשם, אך כולה של בתי משפט השלום ולא של ערכאות גבוהות יותר וניתנה לפני חקיקתו של תיקון 113 לוק העונשין - ועל כן לא ראיתי לאמצה במקרה שלפני. ר' לענין זה </w:t>
      </w:r>
      <w:hyperlink r:id="rId8" w:history="1">
        <w:r w:rsidRPr="009D28FF">
          <w:rPr>
            <w:rFonts w:ascii="Arial" w:hAnsi="Arial"/>
            <w:color w:val="0000FF"/>
            <w:u w:val="single"/>
            <w:rtl/>
          </w:rPr>
          <w:t>ע"פ 1323/13</w:t>
        </w:r>
      </w:hyperlink>
      <w:r>
        <w:rPr>
          <w:rFonts w:ascii="Arial" w:hAnsi="Arial" w:hint="cs"/>
          <w:rtl/>
        </w:rPr>
        <w:t>, חסן רך נ' מדינת ישראל.</w:t>
      </w:r>
    </w:p>
    <w:p w14:paraId="4B86DB01" w14:textId="77777777" w:rsidR="00EB6DC8" w:rsidRDefault="009D28FF">
      <w:pPr>
        <w:spacing w:after="120" w:line="360" w:lineRule="auto"/>
        <w:jc w:val="both"/>
        <w:rPr>
          <w:rFonts w:ascii="Arial" w:hAnsi="Arial"/>
          <w:rtl/>
        </w:rPr>
      </w:pPr>
      <w:r>
        <w:rPr>
          <w:rFonts w:ascii="Arial" w:hAnsi="Arial" w:hint="cs"/>
          <w:rtl/>
        </w:rPr>
        <w:t xml:space="preserve">לאור אלה, מתחם העונש ההולם את העבירה הוא מאסר בפועל לתקופה שבין חצי שנה ועד שנתיים. ר' למשל </w:t>
      </w:r>
      <w:hyperlink r:id="rId9" w:history="1">
        <w:r w:rsidRPr="009D28FF">
          <w:rPr>
            <w:rFonts w:ascii="Arial" w:hAnsi="Arial"/>
            <w:color w:val="0000FF"/>
            <w:u w:val="single"/>
            <w:rtl/>
          </w:rPr>
          <w:t>ע"פ 5555/11</w:t>
        </w:r>
      </w:hyperlink>
      <w:r>
        <w:rPr>
          <w:rFonts w:ascii="Arial" w:hAnsi="Arial" w:hint="cs"/>
          <w:rtl/>
        </w:rPr>
        <w:t>, מחאג'נה נ' מדינת ישראל (פורסם במאגרים), שם הוטל עונש של שנת מאסר בגין עבירה דומה.</w:t>
      </w:r>
    </w:p>
    <w:p w14:paraId="0F8CA4B6" w14:textId="77777777" w:rsidR="00EB6DC8" w:rsidRDefault="009D28FF">
      <w:pPr>
        <w:spacing w:after="120" w:line="360" w:lineRule="auto"/>
        <w:jc w:val="both"/>
        <w:rPr>
          <w:b/>
          <w:bCs/>
          <w:rtl/>
        </w:rPr>
      </w:pPr>
      <w:r>
        <w:rPr>
          <w:rFonts w:hint="cs"/>
          <w:b/>
          <w:bCs/>
          <w:rtl/>
        </w:rPr>
        <w:t>נסיבות אשר אינן קשורות לעבירה</w:t>
      </w:r>
    </w:p>
    <w:p w14:paraId="21978A73" w14:textId="77777777" w:rsidR="00EB6DC8" w:rsidRDefault="009D28FF">
      <w:pPr>
        <w:spacing w:after="120" w:line="360" w:lineRule="auto"/>
        <w:jc w:val="both"/>
        <w:rPr>
          <w:rtl/>
        </w:rPr>
      </w:pPr>
      <w:r>
        <w:rPr>
          <w:rFonts w:hint="cs"/>
          <w:rtl/>
        </w:rPr>
        <w:t>הנאשם בן 47. נשוי ואב לששה ילדים. בעל עסק מצליח בתחום הנגרות וסחר בעץ. אין לחובתו הרשעות קודמות.</w:t>
      </w:r>
    </w:p>
    <w:p w14:paraId="4DA71752" w14:textId="77777777" w:rsidR="00EB6DC8" w:rsidRDefault="009D28FF">
      <w:pPr>
        <w:spacing w:after="120" w:line="360" w:lineRule="auto"/>
        <w:jc w:val="both"/>
        <w:rPr>
          <w:rtl/>
        </w:rPr>
      </w:pPr>
      <w:r>
        <w:rPr>
          <w:rFonts w:hint="cs"/>
          <w:rtl/>
        </w:rPr>
        <w:t>מתסקיר שירות המבחן עולה, כי מדובר באדם נורמטיבי ומצליח בעסקיו, אשר העבירה אינה מאפיינת אותו. בפני השירות הביע חרטה ובושה על העבירה. להערכת השירות הרקע לעבירה הוא הפעלת שיקול דעת מוטעה וההליך המשפטי היה בו כדי להרתיעו.</w:t>
      </w:r>
    </w:p>
    <w:p w14:paraId="1E3691D0" w14:textId="77777777" w:rsidR="00EB6DC8" w:rsidRDefault="009D28FF">
      <w:pPr>
        <w:spacing w:after="120" w:line="360" w:lineRule="auto"/>
        <w:jc w:val="both"/>
        <w:rPr>
          <w:rtl/>
        </w:rPr>
      </w:pPr>
      <w:r>
        <w:rPr>
          <w:rFonts w:hint="cs"/>
          <w:rtl/>
        </w:rPr>
        <w:t>כמו כן, הנאשם הודה במיוחס לו בהזדמנות הראשונה, ללא כל הסדר או תמורה מצד המאשימה.</w:t>
      </w:r>
    </w:p>
    <w:p w14:paraId="2E84970E" w14:textId="77777777" w:rsidR="00EB6DC8" w:rsidRDefault="009D28FF">
      <w:pPr>
        <w:spacing w:after="120" w:line="360" w:lineRule="auto"/>
        <w:jc w:val="both"/>
        <w:rPr>
          <w:b/>
          <w:bCs/>
          <w:rtl/>
        </w:rPr>
      </w:pPr>
      <w:r>
        <w:rPr>
          <w:rFonts w:hint="cs"/>
          <w:b/>
          <w:bCs/>
          <w:rtl/>
        </w:rPr>
        <w:lastRenderedPageBreak/>
        <w:t>דיון והכרעה</w:t>
      </w:r>
    </w:p>
    <w:p w14:paraId="2FA3BA4C" w14:textId="77777777" w:rsidR="00EB6DC8" w:rsidRDefault="009D28FF">
      <w:pPr>
        <w:spacing w:after="120" w:line="360" w:lineRule="auto"/>
        <w:jc w:val="both"/>
        <w:rPr>
          <w:rtl/>
        </w:rPr>
      </w:pPr>
      <w:r>
        <w:rPr>
          <w:rFonts w:hint="cs"/>
          <w:rtl/>
        </w:rPr>
        <w:t>לאחר שנתתי דעתי לטעוני הצדדים ונסיבות הענין, ולאחר לבטים לא מעטים, ראיתי לגזור על הנאשם עונש הנמצא בתחתית מתחם העונש ההולם, קרי ששה חודשי מאסר בפועל, אשר ירוצה בדרך של עבודות שירות.</w:t>
      </w:r>
    </w:p>
    <w:p w14:paraId="372EB0A7" w14:textId="77777777" w:rsidR="00EB6DC8" w:rsidRDefault="009D28FF">
      <w:pPr>
        <w:spacing w:after="120" w:line="360" w:lineRule="auto"/>
        <w:jc w:val="both"/>
        <w:rPr>
          <w:rtl/>
        </w:rPr>
      </w:pPr>
      <w:r>
        <w:rPr>
          <w:rFonts w:hint="cs"/>
          <w:rtl/>
        </w:rPr>
        <w:t xml:space="preserve">אכן, ככלל דינו של מי שמחזיק נשק הוא מאסר ממש, כפי שנקבע בשורה ארוכה של פסקי דין. עם זאת, לאור נסיבותיו החריגות של תיק זה ונתוניו האישיים של הנאשם, אשר אינם אופייניים למחזיקי נשק, ראיתי להשית עונש הנמצא ברף התחתון של המתחם, </w:t>
      </w:r>
      <w:r>
        <w:rPr>
          <w:rFonts w:hint="cs"/>
          <w:b/>
          <w:bCs/>
          <w:u w:val="single"/>
          <w:rtl/>
        </w:rPr>
        <w:t>ובאופן חריג</w:t>
      </w:r>
      <w:r>
        <w:rPr>
          <w:rFonts w:hint="cs"/>
          <w:rtl/>
        </w:rPr>
        <w:t xml:space="preserve"> לאפשר לנאשם לרצות העונש בדרך של עבודות שירות. אדגיש, כי אלמלא מכלול הנסיבות המקלות שהצטברו בתיק זה, לא הייתי מהסס להשית על הנאשם עונש חמור בהרבה.</w:t>
      </w:r>
    </w:p>
    <w:p w14:paraId="153BD59B" w14:textId="77777777" w:rsidR="00EB6DC8" w:rsidRDefault="009D28FF">
      <w:pPr>
        <w:spacing w:after="120" w:line="360" w:lineRule="auto"/>
        <w:jc w:val="both"/>
        <w:rPr>
          <w:rtl/>
        </w:rPr>
      </w:pPr>
      <w:r>
        <w:rPr>
          <w:rtl/>
        </w:rPr>
        <w:t>לפיכך גוזר על הנאשם את הענשים הבאים:</w:t>
      </w:r>
    </w:p>
    <w:p w14:paraId="337E541B" w14:textId="77777777" w:rsidR="00EB6DC8" w:rsidRDefault="009D28FF">
      <w:pPr>
        <w:spacing w:after="120" w:line="360" w:lineRule="auto"/>
        <w:ind w:left="720" w:hanging="720"/>
        <w:jc w:val="both"/>
        <w:rPr>
          <w:rtl/>
        </w:rPr>
      </w:pPr>
      <w:r>
        <w:rPr>
          <w:rtl/>
        </w:rPr>
        <w:t>א.</w:t>
      </w:r>
      <w:r>
        <w:rPr>
          <w:rtl/>
        </w:rPr>
        <w:tab/>
      </w:r>
      <w:r>
        <w:rPr>
          <w:rFonts w:hint="cs"/>
          <w:rtl/>
        </w:rPr>
        <w:t>ששה</w:t>
      </w:r>
      <w:r>
        <w:rPr>
          <w:rtl/>
        </w:rPr>
        <w:t xml:space="preserve"> חודשי מאסר בפועל, אשר ירוצו בעבודות שירות. תחילת ריצוי העונש ביום </w:t>
      </w:r>
      <w:r>
        <w:rPr>
          <w:rFonts w:hint="cs"/>
          <w:rtl/>
        </w:rPr>
        <w:t>5.11.14.</w:t>
      </w:r>
      <w:r>
        <w:rPr>
          <w:rtl/>
        </w:rPr>
        <w:t xml:space="preserve"> ככל שלא יקבל הנאשם הנחיה אחרת, עליו להתייצב עד השעה 8:00 במשרדי הממונה על עבודות שירות במחוז </w:t>
      </w:r>
      <w:r>
        <w:rPr>
          <w:rFonts w:hint="cs"/>
          <w:rtl/>
        </w:rPr>
        <w:t>הדרום.</w:t>
      </w:r>
    </w:p>
    <w:p w14:paraId="106D5D83" w14:textId="77777777" w:rsidR="00EB6DC8" w:rsidRDefault="009D28FF">
      <w:pPr>
        <w:spacing w:after="120" w:line="360" w:lineRule="auto"/>
        <w:ind w:left="720" w:hanging="720"/>
        <w:jc w:val="both"/>
        <w:rPr>
          <w:rtl/>
        </w:rPr>
      </w:pPr>
      <w:r>
        <w:rPr>
          <w:rtl/>
        </w:rPr>
        <w:tab/>
        <w:t>ככל שיהיה צורך בשינוי מקום ההשמה או מועד תחילת הריצוי, הדבר יעשה על ידי ממונה עבודות שירות ללא צורך בצו שיפוטי נוסף.</w:t>
      </w:r>
    </w:p>
    <w:p w14:paraId="4EA92BED" w14:textId="77777777" w:rsidR="00EB6DC8" w:rsidRDefault="009D28FF">
      <w:pPr>
        <w:spacing w:after="120" w:line="360" w:lineRule="auto"/>
        <w:ind w:left="720" w:hanging="720"/>
        <w:jc w:val="both"/>
        <w:rPr>
          <w:rtl/>
        </w:rPr>
      </w:pPr>
      <w:r>
        <w:rPr>
          <w:rtl/>
        </w:rPr>
        <w:t>ב.</w:t>
      </w:r>
      <w:r>
        <w:rPr>
          <w:rtl/>
        </w:rPr>
        <w:tab/>
      </w:r>
      <w:r>
        <w:rPr>
          <w:rFonts w:hint="cs"/>
          <w:rtl/>
        </w:rPr>
        <w:t>חמישה חודשי</w:t>
      </w:r>
      <w:r>
        <w:rPr>
          <w:rtl/>
        </w:rPr>
        <w:t xml:space="preserve"> מאסר, אותו לא ירצה אלא אם יעבור </w:t>
      </w:r>
      <w:r>
        <w:rPr>
          <w:rFonts w:hint="cs"/>
          <w:rtl/>
        </w:rPr>
        <w:t xml:space="preserve">עבירה על </w:t>
      </w:r>
      <w:hyperlink r:id="rId10" w:history="1">
        <w:r w:rsidR="002D6AF8" w:rsidRPr="002D6AF8">
          <w:rPr>
            <w:rStyle w:val="Hyperlink"/>
            <w:rFonts w:hint="eastAsia"/>
            <w:rtl/>
          </w:rPr>
          <w:t>סעיף</w:t>
        </w:r>
        <w:r w:rsidR="002D6AF8" w:rsidRPr="002D6AF8">
          <w:rPr>
            <w:rStyle w:val="Hyperlink"/>
            <w:rtl/>
          </w:rPr>
          <w:t xml:space="preserve"> 144</w:t>
        </w:r>
      </w:hyperlink>
      <w:r>
        <w:rPr>
          <w:rFonts w:hint="cs"/>
          <w:rtl/>
        </w:rPr>
        <w:t xml:space="preserve"> ל</w:t>
      </w:r>
      <w:hyperlink r:id="rId11" w:history="1">
        <w:r w:rsidRPr="009D28FF">
          <w:rPr>
            <w:color w:val="0000FF"/>
            <w:u w:val="single"/>
            <w:rtl/>
          </w:rPr>
          <w:t>חוק העונשין</w:t>
        </w:r>
      </w:hyperlink>
      <w:r>
        <w:rPr>
          <w:rFonts w:hint="cs"/>
          <w:rtl/>
        </w:rPr>
        <w:t>, או כל עבירה אחרת תוך שימוש בנשק,</w:t>
      </w:r>
      <w:r>
        <w:rPr>
          <w:rtl/>
        </w:rPr>
        <w:t xml:space="preserve"> תוך שלוש שנים מהיום.</w:t>
      </w:r>
    </w:p>
    <w:p w14:paraId="4B070BEC" w14:textId="77777777" w:rsidR="00EB6DC8" w:rsidRDefault="00EB6DC8">
      <w:pPr>
        <w:spacing w:after="120" w:line="360" w:lineRule="auto"/>
        <w:ind w:left="720" w:hanging="720"/>
        <w:jc w:val="both"/>
        <w:rPr>
          <w:rtl/>
        </w:rPr>
      </w:pPr>
    </w:p>
    <w:p w14:paraId="68613AFE" w14:textId="77777777" w:rsidR="00EB6DC8" w:rsidRDefault="009D28FF">
      <w:pPr>
        <w:spacing w:after="120" w:line="360" w:lineRule="auto"/>
        <w:ind w:left="720" w:hanging="720"/>
        <w:jc w:val="both"/>
        <w:rPr>
          <w:rtl/>
        </w:rPr>
      </w:pPr>
      <w:r>
        <w:rPr>
          <w:rtl/>
        </w:rPr>
        <w:t>זכות ערעור לבית המשפט המחוזי בירושלים תוך 45 יום.</w:t>
      </w:r>
    </w:p>
    <w:p w14:paraId="75210F71" w14:textId="77777777" w:rsidR="00EB6DC8" w:rsidRDefault="00EB6DC8">
      <w:pPr>
        <w:spacing w:after="120" w:line="360" w:lineRule="auto"/>
        <w:jc w:val="both"/>
        <w:rPr>
          <w:rtl/>
        </w:rPr>
      </w:pPr>
    </w:p>
    <w:p w14:paraId="105A54D8" w14:textId="77777777" w:rsidR="00EB6DC8" w:rsidRPr="009D28FF" w:rsidRDefault="009D28FF">
      <w:pPr>
        <w:spacing w:after="120" w:line="360" w:lineRule="auto"/>
        <w:rPr>
          <w:color w:val="FFFFFF"/>
          <w:sz w:val="2"/>
          <w:szCs w:val="2"/>
          <w:rtl/>
        </w:rPr>
      </w:pPr>
      <w:r w:rsidRPr="009D28FF">
        <w:rPr>
          <w:color w:val="FFFFFF"/>
          <w:sz w:val="2"/>
          <w:szCs w:val="2"/>
          <w:rtl/>
        </w:rPr>
        <w:t>5129371</w:t>
      </w:r>
    </w:p>
    <w:p w14:paraId="7475A06E" w14:textId="77777777" w:rsidR="00EB6DC8" w:rsidRDefault="009D28FF">
      <w:pPr>
        <w:spacing w:after="120" w:line="360" w:lineRule="auto"/>
        <w:rPr>
          <w:rFonts w:cs="FrankRuehl"/>
          <w:sz w:val="28"/>
          <w:szCs w:val="28"/>
          <w:rtl/>
        </w:rPr>
      </w:pPr>
      <w:r w:rsidRPr="009D28FF">
        <w:rPr>
          <w:rFonts w:ascii="Arial" w:hAnsi="Arial"/>
          <w:color w:val="FFFFFF"/>
          <w:sz w:val="2"/>
          <w:szCs w:val="2"/>
          <w:rtl/>
        </w:rPr>
        <w:t>54678313</w:t>
      </w:r>
      <w:r>
        <w:rPr>
          <w:rFonts w:ascii="Arial" w:hAnsi="Arial"/>
          <w:rtl/>
        </w:rPr>
        <w:t xml:space="preserve">ניתן היום,  ח' תשרי תשע"ה, 02 אוקטובר 2014, במעמד הצדדים. </w:t>
      </w:r>
    </w:p>
    <w:p w14:paraId="5F98A47B" w14:textId="77777777" w:rsidR="00EB6DC8" w:rsidRDefault="009D28F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DEADAB9" w14:textId="77777777" w:rsidR="00EB6DC8" w:rsidRDefault="00EB6DC8">
      <w:pPr>
        <w:jc w:val="center"/>
        <w:rPr>
          <w:rFonts w:ascii="Arial" w:hAnsi="Arial" w:cs="FrankRuehl"/>
          <w:sz w:val="28"/>
          <w:szCs w:val="28"/>
          <w:rtl/>
        </w:rPr>
      </w:pPr>
    </w:p>
    <w:p w14:paraId="35D5D575" w14:textId="77777777" w:rsidR="00EB6DC8" w:rsidRDefault="00EB6DC8">
      <w:pPr>
        <w:rPr>
          <w:rFonts w:cs="FrankRuehl"/>
          <w:sz w:val="28"/>
          <w:szCs w:val="28"/>
          <w:rtl/>
        </w:rPr>
      </w:pPr>
    </w:p>
    <w:p w14:paraId="676AB2DB" w14:textId="77777777" w:rsidR="00EB6DC8" w:rsidRDefault="00EB6DC8">
      <w:pPr>
        <w:pStyle w:val="a3"/>
        <w:jc w:val="center"/>
        <w:rPr>
          <w:rtl/>
        </w:rPr>
      </w:pPr>
    </w:p>
    <w:p w14:paraId="035C7519" w14:textId="77777777" w:rsidR="009D28FF" w:rsidRPr="009D28FF" w:rsidRDefault="009D28FF" w:rsidP="009D28FF">
      <w:pPr>
        <w:keepNext/>
        <w:rPr>
          <w:rFonts w:ascii="David" w:hAnsi="David"/>
          <w:color w:val="000000"/>
          <w:sz w:val="22"/>
          <w:szCs w:val="22"/>
          <w:rtl/>
        </w:rPr>
      </w:pPr>
    </w:p>
    <w:p w14:paraId="0D04E506" w14:textId="77777777" w:rsidR="009D28FF" w:rsidRPr="009D28FF" w:rsidRDefault="009D28FF" w:rsidP="009D28FF">
      <w:pPr>
        <w:keepNext/>
        <w:rPr>
          <w:rFonts w:ascii="David" w:hAnsi="David"/>
          <w:color w:val="000000"/>
          <w:sz w:val="22"/>
          <w:szCs w:val="22"/>
          <w:rtl/>
        </w:rPr>
      </w:pPr>
      <w:r w:rsidRPr="009D28FF">
        <w:rPr>
          <w:rFonts w:ascii="David" w:hAnsi="David"/>
          <w:color w:val="000000"/>
          <w:sz w:val="22"/>
          <w:szCs w:val="22"/>
          <w:rtl/>
        </w:rPr>
        <w:t>ירון מינטקביץ 54678313</w:t>
      </w:r>
    </w:p>
    <w:p w14:paraId="0FD2DFB7" w14:textId="77777777" w:rsidR="009D28FF" w:rsidRDefault="009D28FF" w:rsidP="009D28FF">
      <w:r w:rsidRPr="009D28FF">
        <w:rPr>
          <w:color w:val="000000"/>
          <w:rtl/>
        </w:rPr>
        <w:t>נוסח מסמך זה כפוף לשינויי ניסוח ועריכה</w:t>
      </w:r>
    </w:p>
    <w:p w14:paraId="27DD1C5D" w14:textId="77777777" w:rsidR="009D28FF" w:rsidRDefault="009D28FF" w:rsidP="009D28FF">
      <w:pPr>
        <w:rPr>
          <w:rtl/>
        </w:rPr>
      </w:pPr>
    </w:p>
    <w:p w14:paraId="6895EE0E" w14:textId="77777777" w:rsidR="009D28FF" w:rsidRDefault="009D28FF" w:rsidP="009D28FF">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5ADA79DC" w14:textId="77777777" w:rsidR="00EB6DC8" w:rsidRPr="009D28FF" w:rsidRDefault="00EB6DC8" w:rsidP="009D28FF">
      <w:pPr>
        <w:jc w:val="center"/>
        <w:rPr>
          <w:color w:val="0000FF"/>
          <w:u w:val="single"/>
        </w:rPr>
      </w:pPr>
    </w:p>
    <w:sectPr w:rsidR="00EB6DC8" w:rsidRPr="009D28FF" w:rsidSect="009D28FF">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DA7A4D" w14:textId="77777777" w:rsidR="00863C05" w:rsidRDefault="00863C05">
      <w:r>
        <w:separator/>
      </w:r>
    </w:p>
  </w:endnote>
  <w:endnote w:type="continuationSeparator" w:id="0">
    <w:p w14:paraId="095697CA" w14:textId="77777777" w:rsidR="00863C05" w:rsidRDefault="00863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4B0B1" w14:textId="77777777" w:rsidR="009D28FF" w:rsidRDefault="009D28FF" w:rsidP="009D28F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28B2834" w14:textId="77777777" w:rsidR="00EB6DC8" w:rsidRPr="009D28FF" w:rsidRDefault="009D28FF" w:rsidP="009D28FF">
    <w:pPr>
      <w:pStyle w:val="a4"/>
      <w:pBdr>
        <w:top w:val="single" w:sz="4" w:space="1" w:color="auto"/>
        <w:between w:val="single" w:sz="4" w:space="0" w:color="auto"/>
      </w:pBdr>
      <w:spacing w:after="60"/>
      <w:jc w:val="center"/>
      <w:rPr>
        <w:rFonts w:ascii="FrankRuehl" w:hAnsi="FrankRuehl" w:cs="FrankRuehl"/>
        <w:color w:val="000000"/>
      </w:rPr>
    </w:pPr>
    <w:r w:rsidRPr="009D28F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2956A" w14:textId="77777777" w:rsidR="009D28FF" w:rsidRDefault="009D28FF" w:rsidP="009D28F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1124">
      <w:rPr>
        <w:rFonts w:ascii="FrankRuehl" w:hAnsi="FrankRuehl" w:cs="FrankRuehl"/>
        <w:noProof/>
        <w:rtl/>
      </w:rPr>
      <w:t>3</w:t>
    </w:r>
    <w:r>
      <w:rPr>
        <w:rFonts w:ascii="FrankRuehl" w:hAnsi="FrankRuehl" w:cs="FrankRuehl"/>
        <w:rtl/>
      </w:rPr>
      <w:fldChar w:fldCharType="end"/>
    </w:r>
  </w:p>
  <w:p w14:paraId="794AF03A" w14:textId="77777777" w:rsidR="00EB6DC8" w:rsidRPr="009D28FF" w:rsidRDefault="009D28FF" w:rsidP="009D28FF">
    <w:pPr>
      <w:pStyle w:val="a4"/>
      <w:pBdr>
        <w:top w:val="single" w:sz="4" w:space="1" w:color="auto"/>
        <w:between w:val="single" w:sz="4" w:space="0" w:color="auto"/>
      </w:pBdr>
      <w:spacing w:after="60"/>
      <w:jc w:val="center"/>
      <w:rPr>
        <w:rFonts w:ascii="FrankRuehl" w:hAnsi="FrankRuehl" w:cs="FrankRuehl"/>
        <w:color w:val="000000"/>
      </w:rPr>
    </w:pPr>
    <w:r w:rsidRPr="009D28FF">
      <w:rPr>
        <w:rFonts w:ascii="FrankRuehl" w:hAnsi="FrankRuehl" w:cs="FrankRuehl"/>
        <w:color w:val="000000"/>
      </w:rPr>
      <w:pict w14:anchorId="7B5453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4633F" w14:textId="77777777" w:rsidR="00863C05" w:rsidRDefault="00863C05">
      <w:r>
        <w:separator/>
      </w:r>
    </w:p>
  </w:footnote>
  <w:footnote w:type="continuationSeparator" w:id="0">
    <w:p w14:paraId="52F97494" w14:textId="77777777" w:rsidR="00863C05" w:rsidRDefault="00863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DDE6E" w14:textId="77777777" w:rsidR="009D28FF" w:rsidRPr="009D28FF" w:rsidRDefault="009D28FF" w:rsidP="009D28F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38303-12-13</w:t>
    </w:r>
    <w:r>
      <w:rPr>
        <w:rFonts w:ascii="David" w:hAnsi="David"/>
        <w:color w:val="000000"/>
        <w:sz w:val="22"/>
        <w:szCs w:val="22"/>
        <w:rtl/>
      </w:rPr>
      <w:tab/>
      <w:t xml:space="preserve"> מדינת ישראל נ' עבד קורד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50B933" w14:textId="77777777" w:rsidR="009D28FF" w:rsidRPr="009D28FF" w:rsidRDefault="009D28FF" w:rsidP="009D28F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38303-12-13</w:t>
    </w:r>
    <w:r>
      <w:rPr>
        <w:rFonts w:ascii="David" w:hAnsi="David"/>
        <w:color w:val="000000"/>
        <w:sz w:val="22"/>
        <w:szCs w:val="22"/>
        <w:rtl/>
      </w:rPr>
      <w:tab/>
      <w:t xml:space="preserve"> מדינת ישראל נ' עבד קורד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6DC8"/>
    <w:rsid w:val="001C1C62"/>
    <w:rsid w:val="00251124"/>
    <w:rsid w:val="002D6AF8"/>
    <w:rsid w:val="00863C05"/>
    <w:rsid w:val="009D28FF"/>
    <w:rsid w:val="00EB6DC8"/>
    <w:rsid w:val="00FA6D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4D4077"/>
  <w15:chartTrackingRefBased/>
  <w15:docId w15:val="{92C89194-8C4B-4EFD-8085-B120E98CF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6DC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B6DC8"/>
    <w:pPr>
      <w:tabs>
        <w:tab w:val="center" w:pos="4153"/>
        <w:tab w:val="right" w:pos="8306"/>
      </w:tabs>
    </w:pPr>
  </w:style>
  <w:style w:type="paragraph" w:styleId="a4">
    <w:name w:val="footer"/>
    <w:basedOn w:val="a"/>
    <w:rsid w:val="00EB6DC8"/>
    <w:pPr>
      <w:tabs>
        <w:tab w:val="center" w:pos="4153"/>
        <w:tab w:val="right" w:pos="8306"/>
      </w:tabs>
    </w:pPr>
  </w:style>
  <w:style w:type="character" w:styleId="a5">
    <w:name w:val="page number"/>
    <w:basedOn w:val="a0"/>
    <w:rsid w:val="00EB6DC8"/>
  </w:style>
  <w:style w:type="character" w:styleId="Hyperlink">
    <w:name w:val="Hyperlink"/>
    <w:basedOn w:val="a0"/>
    <w:rsid w:val="009D28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6473037"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144"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70301/144" TargetMode="External"/><Relationship Id="rId4" Type="http://schemas.openxmlformats.org/officeDocument/2006/relationships/footnotes" Target="footnotes.xml"/><Relationship Id="rId9" Type="http://schemas.openxmlformats.org/officeDocument/2006/relationships/hyperlink" Target="http://www.nevo.co.il/case/6015045"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847</Words>
  <Characters>4239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5076</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3276917</vt:i4>
      </vt:variant>
      <vt:variant>
        <vt:i4>9</vt:i4>
      </vt:variant>
      <vt:variant>
        <vt:i4>0</vt:i4>
      </vt:variant>
      <vt:variant>
        <vt:i4>5</vt:i4>
      </vt:variant>
      <vt:variant>
        <vt:lpwstr>http://www.nevo.co.il/case/6015045</vt:lpwstr>
      </vt:variant>
      <vt:variant>
        <vt:lpwstr/>
      </vt:variant>
      <vt:variant>
        <vt:i4>3539056</vt:i4>
      </vt:variant>
      <vt:variant>
        <vt:i4>6</vt:i4>
      </vt:variant>
      <vt:variant>
        <vt:i4>0</vt:i4>
      </vt:variant>
      <vt:variant>
        <vt:i4>5</vt:i4>
      </vt:variant>
      <vt:variant>
        <vt:lpwstr>http://www.nevo.co.il/case/6473037</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2025-01-19T17:34:00Z</dcterms:created>
  <dcterms:modified xsi:type="dcterms:W3CDTF">2025-01-19T17:34:00Z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38303</vt:lpwstr>
  </property>
  <property fmtid="{D5CDD505-2E9C-101B-9397-08002B2CF9AE}" pid="6" name="NEWPARTB">
    <vt:lpwstr>12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עבד קורד</vt:lpwstr>
  </property>
  <property fmtid="{D5CDD505-2E9C-101B-9397-08002B2CF9AE}" pid="10" name="LAWYER">
    <vt:lpwstr>רוית צמח;יוסי זילברברג</vt:lpwstr>
  </property>
  <property fmtid="{D5CDD505-2E9C-101B-9397-08002B2CF9AE}" pid="11" name="JUDGE">
    <vt:lpwstr>ירון מינטקביץ</vt:lpwstr>
  </property>
  <property fmtid="{D5CDD505-2E9C-101B-9397-08002B2CF9AE}" pid="12" name="CITY">
    <vt:lpwstr>י-ם</vt:lpwstr>
  </property>
  <property fmtid="{D5CDD505-2E9C-101B-9397-08002B2CF9AE}" pid="13" name="DATE">
    <vt:lpwstr>20141002</vt:lpwstr>
  </property>
  <property fmtid="{D5CDD505-2E9C-101B-9397-08002B2CF9AE}" pid="14" name="TYPE_N_DATE">
    <vt:lpwstr>38020141002</vt:lpwstr>
  </property>
  <property fmtid="{D5CDD505-2E9C-101B-9397-08002B2CF9AE}" pid="15" name="CASESLISTTMP1">
    <vt:lpwstr>6473037;6015045</vt:lpwstr>
  </property>
  <property fmtid="{D5CDD505-2E9C-101B-9397-08002B2CF9AE}" pid="16" name="WORDNUMPAGES">
    <vt:lpwstr>3</vt:lpwstr>
  </property>
  <property fmtid="{D5CDD505-2E9C-101B-9397-08002B2CF9AE}" pid="17" name="TYPE_ABS_DATE">
    <vt:lpwstr>380020141002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vt:lpwstr>
  </property>
</Properties>
</file>