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F53022" w:rsidRPr="00026C53" w14:paraId="66832678" w14:textId="77777777">
        <w:trPr>
          <w:trHeight w:hRule="exact" w:val="418"/>
          <w:jc w:val="center"/>
        </w:trPr>
        <w:tc>
          <w:tcPr>
            <w:tcW w:w="8720" w:type="dxa"/>
            <w:gridSpan w:val="3"/>
          </w:tcPr>
          <w:p w14:paraId="1A05AB23" w14:textId="77777777" w:rsidR="00F53022" w:rsidRPr="00026C53" w:rsidRDefault="00026C53">
            <w:pPr>
              <w:pStyle w:val="a3"/>
              <w:tabs>
                <w:tab w:val="clear" w:pos="8306"/>
              </w:tabs>
              <w:jc w:val="center"/>
              <w:rPr>
                <w:rFonts w:ascii="Tahoma" w:hAnsi="Tahoma" w:cs="Tahoma"/>
                <w:b/>
                <w:bCs/>
                <w:color w:val="000080"/>
                <w:sz w:val="20"/>
                <w:szCs w:val="20"/>
                <w:rtl/>
              </w:rPr>
            </w:pPr>
            <w:bookmarkStart w:id="0" w:name="LastJudge"/>
            <w:r w:rsidRPr="00026C53">
              <w:rPr>
                <w:rFonts w:ascii="Tahoma" w:hAnsi="Tahoma" w:cs="Tahoma"/>
                <w:b/>
                <w:bCs/>
                <w:color w:val="000080"/>
                <w:sz w:val="20"/>
                <w:szCs w:val="20"/>
                <w:rtl/>
              </w:rPr>
              <w:t>בית משפט השלום בטבריה</w:t>
            </w:r>
          </w:p>
        </w:tc>
      </w:tr>
      <w:tr w:rsidR="00F53022" w:rsidRPr="00026C53" w14:paraId="5C36D324" w14:textId="77777777">
        <w:trPr>
          <w:gridAfter w:val="1"/>
          <w:wAfter w:w="108" w:type="dxa"/>
          <w:trHeight w:val="360"/>
          <w:jc w:val="center"/>
        </w:trPr>
        <w:tc>
          <w:tcPr>
            <w:tcW w:w="4188" w:type="dxa"/>
          </w:tcPr>
          <w:p w14:paraId="5067B1BE" w14:textId="77777777" w:rsidR="00F53022" w:rsidRPr="00026C53" w:rsidRDefault="00026C53">
            <w:pPr>
              <w:rPr>
                <w:b/>
                <w:bCs/>
                <w:rtl/>
              </w:rPr>
            </w:pPr>
            <w:r w:rsidRPr="00026C53">
              <w:rPr>
                <w:rFonts w:hint="cs"/>
                <w:b/>
                <w:bCs/>
                <w:rtl/>
              </w:rPr>
              <w:t>בפני כב' ה</w:t>
            </w:r>
            <w:r w:rsidRPr="00026C53">
              <w:rPr>
                <w:b/>
                <w:bCs/>
                <w:rtl/>
              </w:rPr>
              <w:t>שופט ניר מישורי לב טוב</w:t>
            </w:r>
          </w:p>
        </w:tc>
        <w:tc>
          <w:tcPr>
            <w:tcW w:w="4424" w:type="dxa"/>
          </w:tcPr>
          <w:p w14:paraId="351AB24C" w14:textId="77777777" w:rsidR="00F53022" w:rsidRPr="00026C53" w:rsidRDefault="00026C53">
            <w:pPr>
              <w:jc w:val="right"/>
              <w:rPr>
                <w:rtl/>
              </w:rPr>
            </w:pPr>
            <w:r w:rsidRPr="00026C53">
              <w:rPr>
                <w:rtl/>
              </w:rPr>
              <w:t>ת"פ</w:t>
            </w:r>
            <w:r w:rsidRPr="00026C53">
              <w:rPr>
                <w:rFonts w:hint="cs"/>
                <w:rtl/>
              </w:rPr>
              <w:t xml:space="preserve"> </w:t>
            </w:r>
            <w:r w:rsidRPr="00026C53">
              <w:rPr>
                <w:rtl/>
              </w:rPr>
              <w:t>33342-01-14</w:t>
            </w:r>
            <w:r w:rsidRPr="00026C53">
              <w:rPr>
                <w:rFonts w:hint="cs"/>
                <w:rtl/>
              </w:rPr>
              <w:t xml:space="preserve"> </w:t>
            </w:r>
            <w:r w:rsidRPr="00026C53">
              <w:rPr>
                <w:rtl/>
              </w:rPr>
              <w:t>מדינת ישראל נ' חאג' עלי(עציר)</w:t>
            </w:r>
          </w:p>
        </w:tc>
      </w:tr>
      <w:tr w:rsidR="00F53022" w:rsidRPr="00026C53" w14:paraId="3211B1E6" w14:textId="77777777">
        <w:trPr>
          <w:gridAfter w:val="1"/>
          <w:wAfter w:w="108" w:type="dxa"/>
          <w:trHeight w:val="360"/>
          <w:jc w:val="center"/>
        </w:trPr>
        <w:tc>
          <w:tcPr>
            <w:tcW w:w="4188" w:type="dxa"/>
          </w:tcPr>
          <w:p w14:paraId="3E4EFB7F" w14:textId="77777777" w:rsidR="00F53022" w:rsidRPr="00026C53" w:rsidRDefault="00F53022">
            <w:pPr>
              <w:rPr>
                <w:rtl/>
              </w:rPr>
            </w:pPr>
          </w:p>
        </w:tc>
        <w:tc>
          <w:tcPr>
            <w:tcW w:w="4424" w:type="dxa"/>
          </w:tcPr>
          <w:p w14:paraId="771314CB" w14:textId="77777777" w:rsidR="00F53022" w:rsidRPr="00026C53" w:rsidRDefault="00026C53">
            <w:pPr>
              <w:jc w:val="right"/>
              <w:rPr>
                <w:b/>
                <w:bCs/>
                <w:rtl/>
              </w:rPr>
            </w:pPr>
            <w:r w:rsidRPr="00026C53">
              <w:rPr>
                <w:b/>
                <w:bCs/>
                <w:rtl/>
              </w:rPr>
              <w:t>01 ספטמבר 2014</w:t>
            </w:r>
          </w:p>
        </w:tc>
      </w:tr>
    </w:tbl>
    <w:p w14:paraId="6BE28BA9" w14:textId="77777777" w:rsidR="00F53022" w:rsidRPr="00026C53" w:rsidRDefault="00F53022">
      <w:pPr>
        <w:pStyle w:val="a3"/>
        <w:rPr>
          <w:rFonts w:ascii="Tahoma" w:hAnsi="Tahoma" w:cs="Tahoma"/>
          <w:b/>
          <w:bCs/>
          <w:color w:val="000080"/>
          <w:sz w:val="20"/>
          <w:szCs w:val="20"/>
          <w:rtl/>
        </w:rPr>
      </w:pPr>
    </w:p>
    <w:p w14:paraId="6D14BAB1" w14:textId="77777777" w:rsidR="00F53022" w:rsidRPr="00026C53" w:rsidRDefault="00026C53">
      <w:pPr>
        <w:spacing w:line="360" w:lineRule="auto"/>
        <w:jc w:val="both"/>
        <w:rPr>
          <w:rtl/>
        </w:rPr>
      </w:pPr>
      <w:r w:rsidRPr="00026C53">
        <w:rPr>
          <w:rtl/>
        </w:rPr>
        <w:t xml:space="preserve"> </w:t>
      </w:r>
    </w:p>
    <w:tbl>
      <w:tblPr>
        <w:bidiVisual/>
        <w:tblW w:w="0" w:type="auto"/>
        <w:jc w:val="center"/>
        <w:tblLook w:val="0000" w:firstRow="0" w:lastRow="0" w:firstColumn="0" w:lastColumn="0" w:noHBand="0" w:noVBand="0"/>
      </w:tblPr>
      <w:tblGrid>
        <w:gridCol w:w="3935"/>
        <w:gridCol w:w="700"/>
        <w:gridCol w:w="361"/>
        <w:gridCol w:w="3643"/>
        <w:gridCol w:w="81"/>
      </w:tblGrid>
      <w:tr w:rsidR="00F53022" w:rsidRPr="00026C53" w14:paraId="3289D7CA" w14:textId="77777777">
        <w:trPr>
          <w:gridAfter w:val="1"/>
          <w:wAfter w:w="54" w:type="dxa"/>
          <w:trHeight w:val="337"/>
          <w:jc w:val="center"/>
        </w:trPr>
        <w:tc>
          <w:tcPr>
            <w:tcW w:w="3973" w:type="dxa"/>
          </w:tcPr>
          <w:p w14:paraId="4F4B1282" w14:textId="77777777" w:rsidR="00F53022" w:rsidRPr="00026C53" w:rsidRDefault="00026C53">
            <w:pPr>
              <w:rPr>
                <w:rFonts w:ascii="Times New Roman" w:hAnsi="Times New Roman"/>
                <w:sz w:val="26"/>
                <w:szCs w:val="26"/>
                <w:rtl/>
              </w:rPr>
            </w:pPr>
            <w:r w:rsidRPr="00026C53">
              <w:rPr>
                <w:rFonts w:hint="cs"/>
                <w:sz w:val="26"/>
                <w:szCs w:val="26"/>
                <w:rtl/>
              </w:rPr>
              <w:t>בעניין:</w:t>
            </w:r>
          </w:p>
        </w:tc>
        <w:tc>
          <w:tcPr>
            <w:tcW w:w="1071" w:type="dxa"/>
            <w:gridSpan w:val="2"/>
          </w:tcPr>
          <w:p w14:paraId="0E11E8F6" w14:textId="77777777" w:rsidR="00F53022" w:rsidRPr="00026C53" w:rsidRDefault="00F53022">
            <w:pPr>
              <w:pStyle w:val="a3"/>
              <w:jc w:val="both"/>
              <w:rPr>
                <w:sz w:val="26"/>
                <w:szCs w:val="26"/>
                <w:rtl/>
              </w:rPr>
            </w:pPr>
          </w:p>
        </w:tc>
        <w:tc>
          <w:tcPr>
            <w:tcW w:w="3676" w:type="dxa"/>
          </w:tcPr>
          <w:p w14:paraId="6022CFC6" w14:textId="77777777" w:rsidR="00F53022" w:rsidRPr="00026C53" w:rsidRDefault="00F53022">
            <w:pPr>
              <w:pStyle w:val="a3"/>
              <w:jc w:val="right"/>
              <w:rPr>
                <w:rtl/>
              </w:rPr>
            </w:pPr>
          </w:p>
        </w:tc>
      </w:tr>
      <w:tr w:rsidR="00F53022" w:rsidRPr="00026C53" w14:paraId="0A9A33B6" w14:textId="77777777">
        <w:tblPrEx>
          <w:jc w:val="left"/>
          <w:tblLook w:val="01E0" w:firstRow="1" w:lastRow="1" w:firstColumn="1" w:lastColumn="1" w:noHBand="0" w:noVBand="0"/>
        </w:tblPrEx>
        <w:tc>
          <w:tcPr>
            <w:tcW w:w="4680" w:type="dxa"/>
            <w:gridSpan w:val="2"/>
          </w:tcPr>
          <w:p w14:paraId="6D2839B2" w14:textId="77777777" w:rsidR="00F53022" w:rsidRPr="00026C53" w:rsidRDefault="00026C53">
            <w:bookmarkStart w:id="1" w:name="FirstAppellant"/>
            <w:r w:rsidRPr="00026C53">
              <w:rPr>
                <w:rFonts w:ascii="Times New Roman" w:eastAsia="Times New Roman" w:hAnsi="Times New Roman" w:hint="cs"/>
                <w:sz w:val="26"/>
                <w:szCs w:val="26"/>
                <w:rtl/>
              </w:rPr>
              <w:t xml:space="preserve"> </w:t>
            </w:r>
            <w:r w:rsidRPr="00026C53">
              <w:rPr>
                <w:rFonts w:ascii="Times New Roman" w:eastAsia="Times New Roman" w:hAnsi="Times New Roman" w:hint="cs"/>
                <w:rtl/>
              </w:rPr>
              <w:t>מדינת ישראל</w:t>
            </w:r>
          </w:p>
          <w:p w14:paraId="3B3A4F49" w14:textId="77777777" w:rsidR="00F53022" w:rsidRPr="00026C53" w:rsidRDefault="00F53022">
            <w:pPr>
              <w:ind w:left="26"/>
              <w:rPr>
                <w:rFonts w:ascii="Times New Roman" w:eastAsia="Times New Roman" w:hAnsi="Times New Roman"/>
                <w:sz w:val="26"/>
                <w:szCs w:val="26"/>
                <w:rtl/>
              </w:rPr>
            </w:pPr>
          </w:p>
        </w:tc>
        <w:tc>
          <w:tcPr>
            <w:tcW w:w="4122" w:type="dxa"/>
            <w:gridSpan w:val="3"/>
          </w:tcPr>
          <w:p w14:paraId="47007378" w14:textId="77777777" w:rsidR="00F53022" w:rsidRPr="00026C53" w:rsidRDefault="00F53022">
            <w:pPr>
              <w:rPr>
                <w:rFonts w:ascii="Times New Roman" w:eastAsia="Times New Roman" w:hAnsi="Times New Roman"/>
                <w:sz w:val="26"/>
                <w:szCs w:val="26"/>
                <w:rtl/>
              </w:rPr>
            </w:pPr>
          </w:p>
          <w:p w14:paraId="775A9529" w14:textId="77777777" w:rsidR="00F53022" w:rsidRPr="00026C53" w:rsidRDefault="00F53022">
            <w:pPr>
              <w:rPr>
                <w:rFonts w:ascii="Times New Roman" w:eastAsia="Times New Roman" w:hAnsi="Times New Roman"/>
                <w:sz w:val="26"/>
                <w:szCs w:val="26"/>
                <w:rtl/>
              </w:rPr>
            </w:pPr>
          </w:p>
          <w:p w14:paraId="69194C8A" w14:textId="77777777" w:rsidR="00F53022" w:rsidRPr="00026C53" w:rsidRDefault="00026C53">
            <w:pPr>
              <w:jc w:val="right"/>
              <w:rPr>
                <w:rFonts w:ascii="Times New Roman" w:eastAsia="Times New Roman" w:hAnsi="Times New Roman"/>
                <w:sz w:val="26"/>
                <w:szCs w:val="26"/>
                <w:rtl/>
              </w:rPr>
            </w:pPr>
            <w:r w:rsidRPr="00026C53">
              <w:rPr>
                <w:rFonts w:ascii="Times New Roman" w:eastAsia="Times New Roman" w:hAnsi="Times New Roman" w:hint="cs"/>
                <w:sz w:val="26"/>
                <w:szCs w:val="26"/>
                <w:rtl/>
              </w:rPr>
              <w:t>ה</w:t>
            </w:r>
            <w:r w:rsidRPr="00026C53">
              <w:rPr>
                <w:rFonts w:ascii="Times New Roman" w:eastAsia="Times New Roman" w:hAnsi="Times New Roman" w:hint="cs"/>
                <w:rtl/>
              </w:rPr>
              <w:t>מאשימה</w:t>
            </w:r>
          </w:p>
        </w:tc>
      </w:tr>
      <w:bookmarkEnd w:id="1"/>
      <w:tr w:rsidR="00F53022" w:rsidRPr="00026C53" w14:paraId="1035877A" w14:textId="77777777">
        <w:tblPrEx>
          <w:jc w:val="left"/>
          <w:tblLook w:val="01E0" w:firstRow="1" w:lastRow="1" w:firstColumn="1" w:lastColumn="1" w:noHBand="0" w:noVBand="0"/>
        </w:tblPrEx>
        <w:tc>
          <w:tcPr>
            <w:tcW w:w="8802" w:type="dxa"/>
            <w:gridSpan w:val="5"/>
          </w:tcPr>
          <w:p w14:paraId="58BE7DF8" w14:textId="77777777" w:rsidR="00F53022" w:rsidRPr="00026C53" w:rsidRDefault="00F53022">
            <w:pPr>
              <w:jc w:val="both"/>
              <w:rPr>
                <w:rFonts w:ascii="Arial" w:eastAsia="Times New Roman" w:hAnsi="Arial"/>
                <w:sz w:val="26"/>
                <w:szCs w:val="26"/>
                <w:rtl/>
              </w:rPr>
            </w:pPr>
          </w:p>
          <w:p w14:paraId="1EF37D6B" w14:textId="77777777" w:rsidR="00F53022" w:rsidRPr="00026C53" w:rsidRDefault="00026C53">
            <w:pPr>
              <w:jc w:val="center"/>
              <w:rPr>
                <w:rFonts w:ascii="Arial" w:eastAsia="Times New Roman" w:hAnsi="Arial"/>
                <w:sz w:val="26"/>
                <w:szCs w:val="26"/>
                <w:rtl/>
              </w:rPr>
            </w:pPr>
            <w:r w:rsidRPr="00026C53">
              <w:rPr>
                <w:rFonts w:ascii="Arial" w:eastAsia="Times New Roman" w:hAnsi="Arial"/>
                <w:sz w:val="26"/>
                <w:szCs w:val="26"/>
                <w:rtl/>
              </w:rPr>
              <w:t>נגד</w:t>
            </w:r>
          </w:p>
          <w:p w14:paraId="7E1F420A" w14:textId="77777777" w:rsidR="00F53022" w:rsidRPr="00026C53" w:rsidRDefault="00F53022">
            <w:pPr>
              <w:jc w:val="center"/>
              <w:rPr>
                <w:rFonts w:ascii="Arial" w:eastAsia="Times New Roman" w:hAnsi="Arial"/>
                <w:sz w:val="26"/>
                <w:szCs w:val="26"/>
              </w:rPr>
            </w:pPr>
          </w:p>
        </w:tc>
      </w:tr>
      <w:tr w:rsidR="00F53022" w:rsidRPr="00026C53" w14:paraId="515EAD29" w14:textId="77777777">
        <w:tblPrEx>
          <w:jc w:val="left"/>
          <w:tblLook w:val="01E0" w:firstRow="1" w:lastRow="1" w:firstColumn="1" w:lastColumn="1" w:noHBand="0" w:noVBand="0"/>
        </w:tblPrEx>
        <w:tc>
          <w:tcPr>
            <w:tcW w:w="4680" w:type="dxa"/>
            <w:gridSpan w:val="2"/>
          </w:tcPr>
          <w:p w14:paraId="709B00F3" w14:textId="77777777" w:rsidR="00F53022" w:rsidRPr="00026C53" w:rsidRDefault="00026C53">
            <w:r w:rsidRPr="00026C53">
              <w:rPr>
                <w:rFonts w:ascii="Times New Roman" w:eastAsia="Times New Roman" w:hAnsi="Times New Roman" w:hint="cs"/>
                <w:sz w:val="26"/>
                <w:szCs w:val="26"/>
                <w:rtl/>
              </w:rPr>
              <w:t xml:space="preserve"> </w:t>
            </w:r>
            <w:r w:rsidRPr="00026C53">
              <w:rPr>
                <w:rFonts w:ascii="Times New Roman" w:eastAsia="Times New Roman" w:hAnsi="Times New Roman" w:hint="cs"/>
                <w:rtl/>
              </w:rPr>
              <w:t xml:space="preserve">סאוסן חאג' עלי </w:t>
            </w:r>
          </w:p>
          <w:p w14:paraId="05805BDF" w14:textId="77777777" w:rsidR="00F53022" w:rsidRPr="00026C53" w:rsidRDefault="00F53022">
            <w:pPr>
              <w:ind w:left="26"/>
              <w:rPr>
                <w:rFonts w:ascii="Times New Roman" w:eastAsia="Times New Roman" w:hAnsi="Times New Roman"/>
                <w:sz w:val="26"/>
                <w:szCs w:val="26"/>
                <w:rtl/>
              </w:rPr>
            </w:pPr>
          </w:p>
        </w:tc>
        <w:tc>
          <w:tcPr>
            <w:tcW w:w="4122" w:type="dxa"/>
            <w:gridSpan w:val="3"/>
          </w:tcPr>
          <w:p w14:paraId="28513B93" w14:textId="77777777" w:rsidR="00F53022" w:rsidRPr="00026C53" w:rsidRDefault="00F53022">
            <w:pPr>
              <w:jc w:val="right"/>
              <w:rPr>
                <w:rFonts w:ascii="Times New Roman" w:eastAsia="Times New Roman" w:hAnsi="Times New Roman"/>
                <w:sz w:val="26"/>
                <w:szCs w:val="26"/>
                <w:rtl/>
              </w:rPr>
            </w:pPr>
          </w:p>
          <w:p w14:paraId="4F674DC5" w14:textId="77777777" w:rsidR="00F53022" w:rsidRPr="00026C53" w:rsidRDefault="00F53022">
            <w:pPr>
              <w:jc w:val="right"/>
              <w:rPr>
                <w:rFonts w:ascii="Times New Roman" w:eastAsia="Times New Roman" w:hAnsi="Times New Roman"/>
                <w:sz w:val="26"/>
                <w:szCs w:val="26"/>
                <w:rtl/>
              </w:rPr>
            </w:pPr>
          </w:p>
          <w:p w14:paraId="491F5076" w14:textId="77777777" w:rsidR="00F53022" w:rsidRPr="00026C53" w:rsidRDefault="00026C53">
            <w:pPr>
              <w:jc w:val="right"/>
              <w:rPr>
                <w:rFonts w:ascii="Times New Roman" w:eastAsia="Times New Roman" w:hAnsi="Times New Roman"/>
                <w:sz w:val="26"/>
                <w:szCs w:val="26"/>
                <w:rtl/>
              </w:rPr>
            </w:pPr>
            <w:r w:rsidRPr="00026C53">
              <w:rPr>
                <w:rFonts w:ascii="Times New Roman" w:eastAsia="Times New Roman" w:hAnsi="Times New Roman" w:hint="cs"/>
                <w:sz w:val="26"/>
                <w:szCs w:val="26"/>
                <w:rtl/>
              </w:rPr>
              <w:t>הנאשמת</w:t>
            </w:r>
          </w:p>
        </w:tc>
      </w:tr>
    </w:tbl>
    <w:p w14:paraId="3825E61F" w14:textId="77777777" w:rsidR="00F53022" w:rsidRPr="00026C53" w:rsidRDefault="00F53022"/>
    <w:p w14:paraId="20FA0024" w14:textId="77777777" w:rsidR="00F53022" w:rsidRPr="00026C53" w:rsidRDefault="00F53022">
      <w:pPr>
        <w:spacing w:line="360" w:lineRule="auto"/>
        <w:jc w:val="both"/>
        <w:rPr>
          <w:rtl/>
        </w:rPr>
      </w:pPr>
    </w:p>
    <w:p w14:paraId="31E4267E" w14:textId="77777777" w:rsidR="00F53022" w:rsidRPr="00026C53" w:rsidRDefault="00026C53">
      <w:pPr>
        <w:spacing w:line="360" w:lineRule="auto"/>
        <w:jc w:val="both"/>
        <w:rPr>
          <w:sz w:val="6"/>
          <w:szCs w:val="6"/>
          <w:rtl/>
        </w:rPr>
      </w:pPr>
      <w:r w:rsidRPr="00026C53">
        <w:rPr>
          <w:sz w:val="6"/>
          <w:szCs w:val="6"/>
          <w:rtl/>
        </w:rPr>
        <w:t>&lt;#1#&gt;</w:t>
      </w:r>
    </w:p>
    <w:p w14:paraId="18A57935" w14:textId="77777777" w:rsidR="00F53022" w:rsidRPr="00026C53" w:rsidRDefault="00026C53">
      <w:pPr>
        <w:pStyle w:val="12"/>
        <w:rPr>
          <w:u w:val="none"/>
          <w:rtl/>
        </w:rPr>
      </w:pPr>
      <w:r w:rsidRPr="00026C53">
        <w:rPr>
          <w:rFonts w:hint="cs"/>
          <w:u w:val="none"/>
          <w:rtl/>
        </w:rPr>
        <w:t>נוכחים:</w:t>
      </w:r>
    </w:p>
    <w:p w14:paraId="1F279A08" w14:textId="77777777" w:rsidR="00F53022" w:rsidRPr="00026C53" w:rsidRDefault="00026C53">
      <w:pPr>
        <w:pStyle w:val="12"/>
        <w:bidi w:val="0"/>
        <w:jc w:val="right"/>
        <w:rPr>
          <w:b w:val="0"/>
          <w:bCs w:val="0"/>
          <w:u w:val="none"/>
        </w:rPr>
      </w:pPr>
      <w:r w:rsidRPr="00026C53">
        <w:rPr>
          <w:rFonts w:hint="cs"/>
          <w:b w:val="0"/>
          <w:bCs w:val="0"/>
          <w:u w:val="none"/>
          <w:rtl/>
        </w:rPr>
        <w:t xml:space="preserve">מטעם המאשימה מתחמה  שחר חסון, פרקליטות מחוז צפון </w:t>
      </w:r>
      <w:bookmarkStart w:id="2" w:name="_GoBack"/>
      <w:bookmarkEnd w:id="2"/>
      <w:r w:rsidRPr="00026C53">
        <w:rPr>
          <w:rFonts w:hint="cs"/>
          <w:b w:val="0"/>
          <w:bCs w:val="0"/>
          <w:u w:val="none"/>
          <w:rtl/>
        </w:rPr>
        <w:t xml:space="preserve"> </w:t>
      </w:r>
    </w:p>
    <w:p w14:paraId="4D4CEC16" w14:textId="77777777" w:rsidR="00F53022" w:rsidRPr="00026C53" w:rsidRDefault="00026C53">
      <w:pPr>
        <w:pStyle w:val="12"/>
        <w:bidi w:val="0"/>
        <w:jc w:val="right"/>
        <w:rPr>
          <w:b w:val="0"/>
          <w:bCs w:val="0"/>
          <w:u w:val="none"/>
          <w:rtl/>
        </w:rPr>
      </w:pPr>
      <w:r w:rsidRPr="00026C53">
        <w:rPr>
          <w:rFonts w:hint="cs"/>
          <w:b w:val="0"/>
          <w:bCs w:val="0"/>
          <w:u w:val="none"/>
          <w:rtl/>
        </w:rPr>
        <w:t>מטעם הנאשמת בעצמה ו</w:t>
      </w:r>
      <w:bookmarkStart w:id="3" w:name="FirstLawyer"/>
      <w:r w:rsidRPr="00026C53">
        <w:rPr>
          <w:rFonts w:hint="cs"/>
          <w:b w:val="0"/>
          <w:bCs w:val="0"/>
          <w:u w:val="none"/>
          <w:rtl/>
        </w:rPr>
        <w:t>ע"י</w:t>
      </w:r>
      <w:bookmarkEnd w:id="3"/>
      <w:r w:rsidRPr="00026C53">
        <w:rPr>
          <w:rFonts w:hint="cs"/>
          <w:b w:val="0"/>
          <w:bCs w:val="0"/>
          <w:u w:val="none"/>
          <w:rtl/>
        </w:rPr>
        <w:t xml:space="preserve"> עו"ד ניזאר  עבוד  </w:t>
      </w:r>
    </w:p>
    <w:p w14:paraId="1B09F743" w14:textId="77777777" w:rsidR="00F53022" w:rsidRPr="00026C53" w:rsidRDefault="00F53022">
      <w:pPr>
        <w:spacing w:line="360" w:lineRule="auto"/>
        <w:jc w:val="both"/>
        <w:rPr>
          <w:rtl/>
        </w:rPr>
      </w:pPr>
    </w:p>
    <w:p w14:paraId="685F9510" w14:textId="77777777" w:rsidR="00633541" w:rsidRDefault="00026C53">
      <w:pPr>
        <w:spacing w:line="360" w:lineRule="auto"/>
        <w:jc w:val="both"/>
        <w:rPr>
          <w:sz w:val="6"/>
          <w:szCs w:val="6"/>
          <w:rtl/>
        </w:rPr>
      </w:pPr>
      <w:r w:rsidRPr="00026C53">
        <w:rPr>
          <w:sz w:val="6"/>
          <w:szCs w:val="6"/>
          <w:rtl/>
        </w:rPr>
        <w:t>&lt;#2#&gt;</w:t>
      </w:r>
      <w:bookmarkStart w:id="4" w:name="LawTable"/>
      <w:bookmarkEnd w:id="4"/>
    </w:p>
    <w:p w14:paraId="35E66AD8" w14:textId="77777777" w:rsidR="00633541" w:rsidRPr="00633541" w:rsidRDefault="00633541" w:rsidP="00633541">
      <w:pPr>
        <w:spacing w:after="120" w:line="240" w:lineRule="exact"/>
        <w:ind w:left="283" w:hanging="283"/>
        <w:jc w:val="both"/>
        <w:rPr>
          <w:rFonts w:ascii="FrankRuehl" w:hAnsi="FrankRuehl" w:cs="FrankRuehl"/>
          <w:rtl/>
        </w:rPr>
      </w:pPr>
    </w:p>
    <w:p w14:paraId="639DA6C0" w14:textId="77777777" w:rsidR="00633541" w:rsidRPr="00633541" w:rsidRDefault="00633541" w:rsidP="00633541">
      <w:pPr>
        <w:spacing w:after="120" w:line="240" w:lineRule="exact"/>
        <w:ind w:left="283" w:hanging="283"/>
        <w:jc w:val="both"/>
        <w:rPr>
          <w:rFonts w:ascii="FrankRuehl" w:hAnsi="FrankRuehl" w:cs="FrankRuehl"/>
          <w:rtl/>
        </w:rPr>
      </w:pPr>
      <w:r w:rsidRPr="00633541">
        <w:rPr>
          <w:rFonts w:ascii="FrankRuehl" w:hAnsi="FrankRuehl" w:cs="FrankRuehl"/>
          <w:rtl/>
        </w:rPr>
        <w:t xml:space="preserve">חקיקה שאוזכרה: </w:t>
      </w:r>
    </w:p>
    <w:p w14:paraId="3212FC20" w14:textId="77777777" w:rsidR="00633541" w:rsidRPr="00633541" w:rsidRDefault="00633541" w:rsidP="00633541">
      <w:pPr>
        <w:spacing w:after="120" w:line="240" w:lineRule="exact"/>
        <w:ind w:left="283" w:hanging="283"/>
        <w:jc w:val="both"/>
        <w:rPr>
          <w:rFonts w:ascii="FrankRuehl" w:hAnsi="FrankRuehl" w:cs="FrankRuehl"/>
          <w:rtl/>
        </w:rPr>
      </w:pPr>
      <w:hyperlink r:id="rId7" w:history="1">
        <w:r w:rsidRPr="00633541">
          <w:rPr>
            <w:rFonts w:ascii="FrankRuehl" w:hAnsi="FrankRuehl" w:cs="FrankRuehl"/>
            <w:color w:val="0000FF"/>
            <w:u w:val="single"/>
            <w:rtl/>
          </w:rPr>
          <w:t>חוק העונשין, תשל"ז-1977</w:t>
        </w:r>
      </w:hyperlink>
      <w:r w:rsidRPr="00633541">
        <w:rPr>
          <w:rFonts w:ascii="FrankRuehl" w:hAnsi="FrankRuehl" w:cs="FrankRuehl"/>
          <w:rtl/>
        </w:rPr>
        <w:t xml:space="preserve">: סע'  </w:t>
      </w:r>
      <w:hyperlink r:id="rId8" w:history="1">
        <w:r w:rsidRPr="00633541">
          <w:rPr>
            <w:rFonts w:ascii="FrankRuehl" w:hAnsi="FrankRuehl" w:cs="FrankRuehl"/>
            <w:color w:val="0000FF"/>
            <w:u w:val="single"/>
            <w:rtl/>
          </w:rPr>
          <w:t>4 ג (א)</w:t>
        </w:r>
      </w:hyperlink>
      <w:r w:rsidRPr="00633541">
        <w:rPr>
          <w:rFonts w:ascii="FrankRuehl" w:hAnsi="FrankRuehl" w:cs="FrankRuehl"/>
          <w:rtl/>
        </w:rPr>
        <w:t xml:space="preserve">, </w:t>
      </w:r>
      <w:hyperlink r:id="rId9" w:history="1">
        <w:r w:rsidRPr="00633541">
          <w:rPr>
            <w:rFonts w:ascii="FrankRuehl" w:hAnsi="FrankRuehl" w:cs="FrankRuehl"/>
            <w:color w:val="0000FF"/>
            <w:u w:val="single"/>
            <w:rtl/>
          </w:rPr>
          <w:t>31</w:t>
        </w:r>
      </w:hyperlink>
      <w:r w:rsidRPr="00633541">
        <w:rPr>
          <w:rFonts w:ascii="FrankRuehl" w:hAnsi="FrankRuehl" w:cs="FrankRuehl"/>
          <w:rtl/>
        </w:rPr>
        <w:t xml:space="preserve">, </w:t>
      </w:r>
      <w:hyperlink r:id="rId10" w:history="1">
        <w:r w:rsidRPr="00633541">
          <w:rPr>
            <w:rFonts w:ascii="FrankRuehl" w:hAnsi="FrankRuehl" w:cs="FrankRuehl"/>
            <w:color w:val="0000FF"/>
            <w:u w:val="single"/>
            <w:rtl/>
          </w:rPr>
          <w:t>40 ט'</w:t>
        </w:r>
      </w:hyperlink>
      <w:r w:rsidRPr="00633541">
        <w:rPr>
          <w:rFonts w:ascii="FrankRuehl" w:hAnsi="FrankRuehl" w:cs="FrankRuehl"/>
          <w:rtl/>
        </w:rPr>
        <w:t xml:space="preserve">, </w:t>
      </w:r>
      <w:hyperlink r:id="rId11" w:history="1">
        <w:r w:rsidRPr="00633541">
          <w:rPr>
            <w:rFonts w:ascii="FrankRuehl" w:hAnsi="FrankRuehl" w:cs="FrankRuehl"/>
            <w:color w:val="0000FF"/>
            <w:u w:val="single"/>
            <w:rtl/>
          </w:rPr>
          <w:t>144</w:t>
        </w:r>
      </w:hyperlink>
      <w:r w:rsidRPr="00633541">
        <w:rPr>
          <w:rFonts w:ascii="FrankRuehl" w:hAnsi="FrankRuehl" w:cs="FrankRuehl"/>
          <w:rtl/>
        </w:rPr>
        <w:t xml:space="preserve">, </w:t>
      </w:r>
      <w:hyperlink r:id="rId12" w:history="1">
        <w:r w:rsidRPr="00633541">
          <w:rPr>
            <w:rFonts w:ascii="FrankRuehl" w:hAnsi="FrankRuehl" w:cs="FrankRuehl"/>
            <w:color w:val="0000FF"/>
            <w:u w:val="single"/>
            <w:rtl/>
          </w:rPr>
          <w:t>144 (א)</w:t>
        </w:r>
      </w:hyperlink>
    </w:p>
    <w:p w14:paraId="1D5F3271" w14:textId="77777777" w:rsidR="00633541" w:rsidRPr="00633541" w:rsidRDefault="00633541" w:rsidP="00633541">
      <w:pPr>
        <w:spacing w:after="120" w:line="240" w:lineRule="exact"/>
        <w:ind w:left="283" w:hanging="283"/>
        <w:jc w:val="both"/>
        <w:rPr>
          <w:rFonts w:ascii="FrankRuehl" w:hAnsi="FrankRuehl" w:cs="FrankRuehl"/>
          <w:rtl/>
        </w:rPr>
      </w:pPr>
      <w:hyperlink r:id="rId13" w:history="1">
        <w:r w:rsidRPr="00633541">
          <w:rPr>
            <w:rFonts w:ascii="FrankRuehl" w:hAnsi="FrankRuehl" w:cs="FrankRuehl"/>
            <w:color w:val="0000FF"/>
            <w:u w:val="single"/>
            <w:rtl/>
          </w:rPr>
          <w:t>חוק שחרור על-תנאי ממאסר, תשס"א-2001</w:t>
        </w:r>
      </w:hyperlink>
      <w:r w:rsidRPr="00633541">
        <w:rPr>
          <w:rFonts w:ascii="FrankRuehl" w:hAnsi="FrankRuehl" w:cs="FrankRuehl"/>
          <w:rtl/>
        </w:rPr>
        <w:t xml:space="preserve">: סע'  </w:t>
      </w:r>
      <w:hyperlink r:id="rId14" w:history="1">
        <w:r w:rsidRPr="00633541">
          <w:rPr>
            <w:rFonts w:ascii="FrankRuehl" w:hAnsi="FrankRuehl" w:cs="FrankRuehl"/>
            <w:color w:val="0000FF"/>
            <w:u w:val="single"/>
            <w:rtl/>
          </w:rPr>
          <w:t>7</w:t>
        </w:r>
      </w:hyperlink>
    </w:p>
    <w:p w14:paraId="681ED238" w14:textId="77777777" w:rsidR="00633541" w:rsidRPr="00633541" w:rsidRDefault="00633541" w:rsidP="00633541">
      <w:pPr>
        <w:spacing w:after="120" w:line="240" w:lineRule="exact"/>
        <w:ind w:left="283" w:hanging="283"/>
        <w:jc w:val="both"/>
        <w:rPr>
          <w:rFonts w:ascii="FrankRuehl" w:hAnsi="FrankRuehl" w:cs="FrankRuehl"/>
          <w:rtl/>
        </w:rPr>
      </w:pPr>
    </w:p>
    <w:p w14:paraId="01739EE4" w14:textId="77777777" w:rsidR="00026C53" w:rsidRPr="00026C53" w:rsidRDefault="00026C53" w:rsidP="00026C53">
      <w:pPr>
        <w:jc w:val="center"/>
        <w:rPr>
          <w:rFonts w:ascii="Arial" w:hAnsi="Arial"/>
          <w:b/>
          <w:bCs/>
          <w:sz w:val="28"/>
          <w:szCs w:val="28"/>
          <w:u w:val="single"/>
          <w:rtl/>
        </w:rPr>
      </w:pPr>
      <w:bookmarkStart w:id="5" w:name="LawTable_End"/>
      <w:bookmarkStart w:id="6" w:name="PsakDin"/>
      <w:bookmarkEnd w:id="0"/>
      <w:bookmarkEnd w:id="5"/>
      <w:r w:rsidRPr="00026C53">
        <w:rPr>
          <w:rFonts w:ascii="Arial" w:hAnsi="Arial"/>
          <w:b/>
          <w:bCs/>
          <w:sz w:val="28"/>
          <w:szCs w:val="28"/>
          <w:u w:val="single"/>
          <w:rtl/>
        </w:rPr>
        <w:t>גזר דין</w:t>
      </w:r>
    </w:p>
    <w:bookmarkEnd w:id="6"/>
    <w:p w14:paraId="4BA33D8F" w14:textId="77777777" w:rsidR="00F53022" w:rsidRDefault="00F53022">
      <w:pPr>
        <w:rPr>
          <w:rFonts w:ascii="Arial" w:hAnsi="Arial"/>
        </w:rPr>
      </w:pPr>
    </w:p>
    <w:p w14:paraId="507D81A6" w14:textId="77777777" w:rsidR="00F53022" w:rsidRDefault="00026C53">
      <w:pPr>
        <w:numPr>
          <w:ilvl w:val="0"/>
          <w:numId w:val="1"/>
        </w:numPr>
        <w:spacing w:after="200" w:line="360" w:lineRule="auto"/>
        <w:rPr>
          <w:rFonts w:ascii="Calibri" w:hAnsi="Calibri"/>
          <w:rtl/>
        </w:rPr>
      </w:pPr>
      <w:bookmarkStart w:id="7" w:name="ABSTRACT_START"/>
      <w:bookmarkEnd w:id="7"/>
      <w:r>
        <w:rPr>
          <w:rFonts w:ascii="Calibri" w:hAnsi="Calibri" w:hint="cs"/>
          <w:rtl/>
        </w:rPr>
        <w:t xml:space="preserve">הנאשמת הורשעה, על פי הודאתה, בעבירה של החזקת נשק, עבירה לפי סעיף </w:t>
      </w:r>
      <w:hyperlink r:id="rId15" w:history="1">
        <w:r w:rsidR="00633541" w:rsidRPr="00633541">
          <w:rPr>
            <w:rFonts w:ascii="Calibri" w:hAnsi="Calibri"/>
            <w:color w:val="0000FF"/>
            <w:u w:val="single"/>
            <w:rtl/>
          </w:rPr>
          <w:t>144 (</w:t>
        </w:r>
        <w:r w:rsidR="00633541" w:rsidRPr="00633541">
          <w:rPr>
            <w:rFonts w:ascii="Calibri" w:hAnsi="Calibri" w:hint="eastAsia"/>
            <w:color w:val="0000FF"/>
            <w:u w:val="single"/>
            <w:rtl/>
          </w:rPr>
          <w:t>א</w:t>
        </w:r>
        <w:r w:rsidR="00633541" w:rsidRPr="00633541">
          <w:rPr>
            <w:rFonts w:ascii="Calibri" w:hAnsi="Calibri"/>
            <w:color w:val="0000FF"/>
            <w:u w:val="single"/>
            <w:rtl/>
          </w:rPr>
          <w:t>)</w:t>
        </w:r>
      </w:hyperlink>
      <w:r>
        <w:rPr>
          <w:rFonts w:ascii="Calibri" w:hAnsi="Calibri" w:hint="cs"/>
          <w:rtl/>
        </w:rPr>
        <w:t xml:space="preserve"> (רישא וסיפא) ל</w:t>
      </w:r>
      <w:hyperlink r:id="rId16" w:history="1">
        <w:r w:rsidRPr="00026C53">
          <w:rPr>
            <w:rFonts w:ascii="Calibri" w:hAnsi="Calibri" w:hint="eastAsia"/>
            <w:color w:val="0000FF"/>
            <w:u w:val="single"/>
            <w:rtl/>
          </w:rPr>
          <w:t>חוק</w:t>
        </w:r>
        <w:r w:rsidRPr="00026C53">
          <w:rPr>
            <w:rFonts w:ascii="Calibri" w:hAnsi="Calibri"/>
            <w:color w:val="0000FF"/>
            <w:u w:val="single"/>
            <w:rtl/>
          </w:rPr>
          <w:t xml:space="preserve"> </w:t>
        </w:r>
        <w:r w:rsidRPr="00026C53">
          <w:rPr>
            <w:rFonts w:ascii="Calibri" w:hAnsi="Calibri" w:hint="eastAsia"/>
            <w:color w:val="0000FF"/>
            <w:u w:val="single"/>
            <w:rtl/>
          </w:rPr>
          <w:t>העונשין</w:t>
        </w:r>
      </w:hyperlink>
      <w:r>
        <w:rPr>
          <w:rFonts w:ascii="Calibri" w:hAnsi="Calibri" w:hint="cs"/>
          <w:rtl/>
        </w:rPr>
        <w:t>, התשל"ז – 1977 (</w:t>
      </w:r>
      <w:r>
        <w:rPr>
          <w:rFonts w:ascii="Calibri" w:hAnsi="Calibri" w:hint="cs"/>
          <w:b/>
          <w:bCs/>
          <w:rtl/>
        </w:rPr>
        <w:t>להלן:"חוק העונשין"</w:t>
      </w:r>
      <w:r>
        <w:rPr>
          <w:rFonts w:ascii="Calibri" w:hAnsi="Calibri" w:hint="cs"/>
          <w:rtl/>
        </w:rPr>
        <w:t xml:space="preserve">). </w:t>
      </w:r>
    </w:p>
    <w:p w14:paraId="79E3956B" w14:textId="77777777" w:rsidR="00F53022" w:rsidRDefault="00026C53">
      <w:pPr>
        <w:numPr>
          <w:ilvl w:val="0"/>
          <w:numId w:val="1"/>
        </w:numPr>
        <w:spacing w:after="200" w:line="360" w:lineRule="auto"/>
        <w:rPr>
          <w:rFonts w:ascii="Calibri" w:hAnsi="Calibri"/>
          <w:rtl/>
        </w:rPr>
      </w:pPr>
      <w:bookmarkStart w:id="8" w:name="ABSTRACT_END"/>
      <w:bookmarkEnd w:id="8"/>
      <w:r>
        <w:rPr>
          <w:rFonts w:ascii="Calibri" w:hAnsi="Calibri" w:hint="cs"/>
          <w:rtl/>
        </w:rPr>
        <w:t>על פי עובדות כתב האישום המתוקן בו הודתה הנאשמת, בתקופה הרלוונטית לכתב האישום ניהלו הנאשמת ואחמד מנסור (</w:t>
      </w:r>
      <w:r>
        <w:rPr>
          <w:rFonts w:ascii="Calibri" w:hAnsi="Calibri" w:hint="cs"/>
          <w:b/>
          <w:bCs/>
          <w:rtl/>
        </w:rPr>
        <w:t>להלן: "בן זוגה אחמד"</w:t>
      </w:r>
      <w:r>
        <w:rPr>
          <w:rFonts w:ascii="Calibri" w:hAnsi="Calibri" w:hint="cs"/>
          <w:rtl/>
        </w:rPr>
        <w:t xml:space="preserve">) מערכת יחסים של בני זוג. </w:t>
      </w:r>
    </w:p>
    <w:p w14:paraId="2AE81B17" w14:textId="77777777" w:rsidR="00F53022" w:rsidRDefault="00026C53">
      <w:pPr>
        <w:spacing w:after="200" w:line="360" w:lineRule="auto"/>
        <w:ind w:left="1080"/>
        <w:rPr>
          <w:rFonts w:ascii="Calibri" w:hAnsi="Calibri"/>
          <w:rtl/>
        </w:rPr>
      </w:pPr>
      <w:r>
        <w:rPr>
          <w:rFonts w:ascii="Calibri" w:hAnsi="Calibri" w:hint="cs"/>
          <w:rtl/>
        </w:rPr>
        <w:t xml:space="preserve">עובר להגשת כתב האישום, החזיקה הנאשמת, ביחד עם בן זוגה אחמד, בכספת שבארון חדר השינה שבביתה בנצרת, אקדח מסוג 7.65 שהוא כלי שסוגל לירות כדור ובכוחו להמית, וכן מחסנית ובה 13 כדורים המהווים תחמושת לכלי זה. הנאשמת החזיקה הנשק והתחמושת בלא רשות על פי דין להחזקתם. </w:t>
      </w:r>
    </w:p>
    <w:p w14:paraId="25640684" w14:textId="77777777" w:rsidR="00F53022" w:rsidRDefault="00026C53">
      <w:pPr>
        <w:numPr>
          <w:ilvl w:val="0"/>
          <w:numId w:val="1"/>
        </w:numPr>
        <w:spacing w:after="200" w:line="360" w:lineRule="auto"/>
        <w:rPr>
          <w:rFonts w:ascii="Calibri" w:hAnsi="Calibri"/>
        </w:rPr>
      </w:pPr>
      <w:r>
        <w:rPr>
          <w:rFonts w:ascii="Calibri" w:hAnsi="Calibri" w:hint="cs"/>
          <w:rtl/>
        </w:rPr>
        <w:t xml:space="preserve">הנאשמת הודתה בביצוע העבירה בהזדמנות הראשונה, לאחר תיקון כתב האישום ונשלחה בהסכמת הצדדים לקבלת תסקיר שירות המבחן מבלי שתוצאותיו יחייבו את </w:t>
      </w:r>
      <w:r>
        <w:rPr>
          <w:rFonts w:ascii="Calibri" w:hAnsi="Calibri" w:hint="cs"/>
          <w:rtl/>
        </w:rPr>
        <w:lastRenderedPageBreak/>
        <w:t xml:space="preserve">הצדדים, וזאת ביום 17.01.2014. ביום 03.04.2014 נתקבל בתיק בית המשפט תסקיר שירות המבחן בעניינה של הנאשמת מיום 01.04.2014. </w:t>
      </w:r>
    </w:p>
    <w:p w14:paraId="095AC289" w14:textId="77777777" w:rsidR="00F53022" w:rsidRDefault="00026C53">
      <w:pPr>
        <w:spacing w:after="200" w:line="360" w:lineRule="auto"/>
        <w:ind w:left="1080"/>
        <w:rPr>
          <w:rFonts w:ascii="Calibri" w:hAnsi="Calibri"/>
          <w:b/>
          <w:bCs/>
          <w:u w:val="single"/>
        </w:rPr>
      </w:pPr>
      <w:r>
        <w:rPr>
          <w:rFonts w:ascii="Calibri" w:hAnsi="Calibri" w:hint="cs"/>
          <w:b/>
          <w:bCs/>
          <w:u w:val="single"/>
          <w:rtl/>
        </w:rPr>
        <w:t xml:space="preserve">תסקיר שירות המבחן מיום 01.04.2014 : </w:t>
      </w:r>
    </w:p>
    <w:p w14:paraId="79E5A74E" w14:textId="77777777" w:rsidR="00F53022" w:rsidRDefault="00026C53">
      <w:pPr>
        <w:numPr>
          <w:ilvl w:val="0"/>
          <w:numId w:val="1"/>
        </w:numPr>
        <w:spacing w:after="200" w:line="360" w:lineRule="auto"/>
        <w:rPr>
          <w:rFonts w:ascii="Calibri" w:hAnsi="Calibri"/>
        </w:rPr>
      </w:pPr>
      <w:r>
        <w:rPr>
          <w:rFonts w:ascii="Calibri" w:hAnsi="Calibri" w:hint="cs"/>
          <w:rtl/>
        </w:rPr>
        <w:t xml:space="preserve">במסגרת התסקיר סוקרת קצינת המבחן את נסיבותיה האישיות, המשפחתיות, הכלכליות והרפואיות של הנאשמת, היותה אלמנה בת 54, אם ל – 3 ילדים בוגרים בגילאים 24 – 28 שנים, היותה תושבת העיר נצרת. </w:t>
      </w:r>
    </w:p>
    <w:p w14:paraId="7A505B9C" w14:textId="77777777" w:rsidR="00F53022" w:rsidRDefault="00026C53">
      <w:pPr>
        <w:spacing w:after="200" w:line="360" w:lineRule="auto"/>
        <w:ind w:left="1080" w:firstLine="15"/>
        <w:rPr>
          <w:rFonts w:ascii="Calibri" w:hAnsi="Calibri"/>
        </w:rPr>
      </w:pPr>
      <w:r>
        <w:rPr>
          <w:rFonts w:ascii="Calibri" w:hAnsi="Calibri" w:hint="cs"/>
          <w:rtl/>
        </w:rPr>
        <w:t xml:space="preserve">מזה כ – 3 שנים מנהלת הנאשמת קשר זוגי עם בן זוגה אחמד, שותפה לעבירה נשוא כתב אישום זה וכנגדו הוגש כתב אישום נפרד בבית המשפט השלום  בנצרת. </w:t>
      </w:r>
      <w:r>
        <w:rPr>
          <w:rFonts w:ascii="Calibri" w:hAnsi="Calibri" w:hint="cs"/>
          <w:rtl/>
        </w:rPr>
        <w:tab/>
      </w:r>
    </w:p>
    <w:p w14:paraId="77D76EAC" w14:textId="77777777" w:rsidR="00F53022" w:rsidRDefault="00026C53">
      <w:pPr>
        <w:spacing w:after="200" w:line="360" w:lineRule="auto"/>
        <w:ind w:left="1080" w:firstLine="15"/>
        <w:rPr>
          <w:rFonts w:ascii="Calibri" w:hAnsi="Calibri"/>
          <w:rtl/>
        </w:rPr>
      </w:pPr>
      <w:r>
        <w:rPr>
          <w:rFonts w:ascii="Calibri" w:hAnsi="Calibri" w:hint="cs"/>
          <w:rtl/>
        </w:rPr>
        <w:t xml:space="preserve">הנאשמת עקרת בית, סיימה 11 כיתות לימוד ומתקיימת מקצבת ביטוח לאומי. </w:t>
      </w:r>
    </w:p>
    <w:p w14:paraId="1EBDB831" w14:textId="77777777" w:rsidR="00F53022" w:rsidRDefault="00026C53">
      <w:pPr>
        <w:spacing w:after="200" w:line="360" w:lineRule="auto"/>
        <w:ind w:left="1080" w:firstLine="15"/>
        <w:rPr>
          <w:rFonts w:ascii="Calibri" w:hAnsi="Calibri"/>
          <w:rtl/>
        </w:rPr>
      </w:pPr>
      <w:r>
        <w:rPr>
          <w:rFonts w:ascii="Calibri" w:hAnsi="Calibri" w:hint="cs"/>
          <w:rtl/>
        </w:rPr>
        <w:t xml:space="preserve">הנאשמת סובלת מבעיות רפואיות קשות לרבות מחלה ממארת ובשנים האחרונות,  מתוך בחירה אישית, היא מתנגדת לטיפול ומעקב רפואי. </w:t>
      </w:r>
    </w:p>
    <w:p w14:paraId="6F500571" w14:textId="77777777" w:rsidR="00F53022" w:rsidRDefault="00026C53">
      <w:pPr>
        <w:spacing w:after="200" w:line="360" w:lineRule="auto"/>
        <w:ind w:left="1080" w:firstLine="15"/>
        <w:rPr>
          <w:rFonts w:ascii="Calibri" w:hAnsi="Calibri"/>
          <w:rtl/>
        </w:rPr>
      </w:pPr>
      <w:r>
        <w:rPr>
          <w:rFonts w:ascii="Calibri" w:hAnsi="Calibri" w:hint="cs"/>
          <w:rtl/>
        </w:rPr>
        <w:t>הנאשמת הודתה בפני שירות המבחן במיוחס לה בכתב האישום, תוך שלקחה היא אחריות פורמאלית בלבד על מעשיה והתקשתה להכיר בכשל התנהגותי. היא שללה כל  כוונות שליליות להתנהגותה ומסרה שהסכמתה לאחסן את כלי הנשק נבעה מרכישת אמונה בבן זוגה אחמד.</w:t>
      </w:r>
    </w:p>
    <w:p w14:paraId="6BEDB17D" w14:textId="77777777" w:rsidR="00F53022" w:rsidRDefault="00026C53">
      <w:pPr>
        <w:spacing w:after="200" w:line="360" w:lineRule="auto"/>
        <w:ind w:left="1080" w:firstLine="15"/>
        <w:rPr>
          <w:rFonts w:ascii="Calibri" w:hAnsi="Calibri"/>
          <w:rtl/>
        </w:rPr>
      </w:pPr>
      <w:r>
        <w:rPr>
          <w:rFonts w:ascii="Calibri" w:hAnsi="Calibri" w:hint="cs"/>
          <w:rtl/>
        </w:rPr>
        <w:t xml:space="preserve">התרשמותה של קצינת המבחן הינה כי  במצבה של הנאשמת ולאור התנגדותה לכל קשר טיפולי סוציאלי, תתקשה הנאשמת לערוך שינוי מהותי באורחות חייה ועל כן אין שירות המבחן בא בהמלצה טיפולית בעניינה. יחד עם זאת, סברה קצינת המבחן כי חווית המעצר וההליך הפלילי המתנהל נגדה מהווה עבורה גורם מרתיע, ובהיעדר הרשעות קודמות סבורה היא כי מיצוי הדין עימה בין כותלי הכלא יחמיר את מצבה הנפשי והסוציאלי.  </w:t>
      </w:r>
    </w:p>
    <w:p w14:paraId="18BF08EA" w14:textId="77777777" w:rsidR="00F53022" w:rsidRDefault="00026C53">
      <w:pPr>
        <w:numPr>
          <w:ilvl w:val="0"/>
          <w:numId w:val="1"/>
        </w:numPr>
        <w:spacing w:after="200" w:line="360" w:lineRule="auto"/>
        <w:rPr>
          <w:rFonts w:ascii="Calibri" w:hAnsi="Calibri"/>
          <w:rtl/>
        </w:rPr>
      </w:pPr>
      <w:r>
        <w:rPr>
          <w:rFonts w:ascii="Calibri" w:hAnsi="Calibri" w:hint="cs"/>
          <w:rtl/>
        </w:rPr>
        <w:t>לאור תסקיר שירות המבחן כמפורט לעיל, ביקש ב"כ הנאשמת ביום 07.04.2014 לחזור ולהפנות הנאשמת בשנית לשירות המבחן במטרה לקבל תסקיר משלים, ולבחון את רצונה של הנאשמת להשתלב בתוכנית טיפולית שהוצעה לה על ידי שירות המבחן מיום 01.04.2014. בית משפט זה נעתר לבקשת הסניגור ביום 07.04.2014, והפנה הנאשמת לתסקיר משלים שהתקבל ביום 05.06.2014.</w:t>
      </w:r>
    </w:p>
    <w:p w14:paraId="73C5C043" w14:textId="77777777" w:rsidR="00F53022" w:rsidRDefault="00026C53">
      <w:pPr>
        <w:spacing w:after="200" w:line="360" w:lineRule="auto"/>
        <w:ind w:left="1080"/>
        <w:rPr>
          <w:rFonts w:ascii="Calibri" w:hAnsi="Calibri"/>
          <w:b/>
          <w:bCs/>
          <w:u w:val="single"/>
          <w:rtl/>
        </w:rPr>
      </w:pPr>
      <w:r>
        <w:rPr>
          <w:rFonts w:ascii="Calibri" w:hAnsi="Calibri" w:hint="cs"/>
          <w:b/>
          <w:bCs/>
          <w:u w:val="single"/>
          <w:rtl/>
        </w:rPr>
        <w:t xml:space="preserve">תסקיר שירות המבחן מיום 05.06.2014 : </w:t>
      </w:r>
    </w:p>
    <w:p w14:paraId="046DC095" w14:textId="77777777" w:rsidR="00F53022" w:rsidRDefault="00026C53">
      <w:pPr>
        <w:numPr>
          <w:ilvl w:val="0"/>
          <w:numId w:val="1"/>
        </w:numPr>
        <w:spacing w:after="200" w:line="360" w:lineRule="auto"/>
        <w:rPr>
          <w:rFonts w:ascii="Calibri" w:hAnsi="Calibri"/>
        </w:rPr>
      </w:pPr>
      <w:r>
        <w:rPr>
          <w:rFonts w:ascii="Calibri" w:hAnsi="Calibri" w:hint="cs"/>
          <w:rtl/>
        </w:rPr>
        <w:t xml:space="preserve">במסגרת תסקיר המבחן המשלים, ראתה קצינת המבחן צורך להדגיש כי הובהרה והוסברה לנאשמת התוכנית הטיפולית, אך זו האחרונה התנגדה בכל תוקף להיכנס להליך טיפולי חרף העובדה שהבינה כי המדובר בהליך טיפולי סוציאלי ולא רפואי. </w:t>
      </w:r>
    </w:p>
    <w:p w14:paraId="0181B986" w14:textId="77777777" w:rsidR="00F53022" w:rsidRDefault="00026C53">
      <w:pPr>
        <w:spacing w:after="200" w:line="360" w:lineRule="auto"/>
        <w:ind w:left="1080"/>
        <w:rPr>
          <w:rFonts w:ascii="Calibri" w:hAnsi="Calibri"/>
        </w:rPr>
      </w:pPr>
      <w:r>
        <w:rPr>
          <w:rFonts w:ascii="Calibri" w:hAnsi="Calibri" w:hint="cs"/>
          <w:rtl/>
        </w:rPr>
        <w:lastRenderedPageBreak/>
        <w:t xml:space="preserve">קצינת המבחן התרשמה כי לנאשמת קושי להתבונן במניעים הרגשיים שיכולים להיות בבסיס התנהלותה בכלל ובעבירה בפרט, הנאשמת הסבירה כי העבירה בוצעה מתוך תמימות ויחד עם זאת הביעה חרטה . הנאשמת הביעה יותר צער מהחומרה הנשקפת מהתנהגותה ולא מעצם המעשה. </w:t>
      </w:r>
    </w:p>
    <w:p w14:paraId="68B6EF4B" w14:textId="77777777" w:rsidR="00F53022" w:rsidRDefault="00026C53">
      <w:pPr>
        <w:spacing w:after="200" w:line="360" w:lineRule="auto"/>
        <w:ind w:left="1080"/>
        <w:rPr>
          <w:rFonts w:ascii="Calibri" w:hAnsi="Calibri"/>
          <w:rtl/>
        </w:rPr>
      </w:pPr>
      <w:r>
        <w:rPr>
          <w:rFonts w:ascii="Calibri" w:hAnsi="Calibri" w:hint="cs"/>
          <w:rtl/>
        </w:rPr>
        <w:t xml:space="preserve">נוכח עמדתה האמביוולנטית של הנאשמת בעניין הטיפול, נמנעת קצינת המבחן מהמלצה טיפולית בעניינה של הנאשמת. יחד עם זאת, לא התרשמה  מקיומה של זהות עבריינית כמשמעות המילה ביחס לנאשמת, ובהיעדר הרשעות קודמות, חזרה קצינת המבחן על עמדתה כי  אין למצות הדין עם הנאשמת, ענישה שיש בה כדי להחמיר מצבה הבריאותי, הנפשי והסוציאלי של הנאשמת. </w:t>
      </w:r>
    </w:p>
    <w:p w14:paraId="4D06F121" w14:textId="77777777" w:rsidR="00F53022" w:rsidRDefault="00026C53">
      <w:pPr>
        <w:spacing w:after="200" w:line="360" w:lineRule="auto"/>
        <w:ind w:left="1080"/>
        <w:rPr>
          <w:rFonts w:ascii="Calibri" w:hAnsi="Calibri"/>
          <w:b/>
          <w:bCs/>
          <w:u w:val="single"/>
          <w:rtl/>
        </w:rPr>
      </w:pPr>
      <w:r>
        <w:rPr>
          <w:rFonts w:ascii="Calibri" w:hAnsi="Calibri" w:hint="cs"/>
          <w:b/>
          <w:bCs/>
          <w:u w:val="single"/>
          <w:rtl/>
        </w:rPr>
        <w:t>טענות הצדדים:</w:t>
      </w:r>
    </w:p>
    <w:p w14:paraId="1E5D5EF9" w14:textId="77777777" w:rsidR="00F53022" w:rsidRDefault="00026C53">
      <w:pPr>
        <w:numPr>
          <w:ilvl w:val="0"/>
          <w:numId w:val="1"/>
        </w:numPr>
        <w:spacing w:after="200" w:line="360" w:lineRule="auto"/>
        <w:rPr>
          <w:rFonts w:ascii="Calibri" w:hAnsi="Calibri"/>
          <w:rtl/>
        </w:rPr>
      </w:pPr>
      <w:r>
        <w:rPr>
          <w:rFonts w:ascii="Calibri" w:hAnsi="Calibri" w:hint="cs"/>
          <w:rtl/>
        </w:rPr>
        <w:t xml:space="preserve">בטיעוני המאשימה לעונש, עמד ב"כ המאשימה על חומרתן של עבירות הנשק והסכנה הטמונה בהחזקתם שלא כדין. </w:t>
      </w:r>
    </w:p>
    <w:p w14:paraId="7F114414" w14:textId="77777777" w:rsidR="00F53022" w:rsidRDefault="00026C53">
      <w:pPr>
        <w:spacing w:after="200" w:line="360" w:lineRule="auto"/>
        <w:ind w:left="1080"/>
        <w:rPr>
          <w:rFonts w:ascii="Calibri" w:hAnsi="Calibri"/>
          <w:rtl/>
        </w:rPr>
      </w:pPr>
      <w:r>
        <w:rPr>
          <w:rFonts w:ascii="Calibri" w:hAnsi="Calibri" w:hint="cs"/>
          <w:rtl/>
        </w:rPr>
        <w:t xml:space="preserve">ב"כ המאשימה טענה כי מתחם העונש ההולם בנסיבות תיק זה נע בין 6 חודשי מאסר בפועל ל – 20 חודשי מאסר בפועל וכן קנס כספי הנע בין 2,500 ₪ ל – 10,000 ₪ . התובעת טענה כי יש להטיל על הנאשמת ענישה במרכז המתחם וכי יש להטיל עליה עונש מאסר בפועל, מאסר על תנאי מרתיע וכן קנס עונשי גבוה, וזאת לאור הנסיבות הקשורות בביצוע העבירה, הצורך בהרתעת היחיד והרבים וזאת תוך  הבאה בחשבון של הודאת הנאשמת בהזדמנות הראשונה. </w:t>
      </w:r>
    </w:p>
    <w:p w14:paraId="546DBA5C" w14:textId="77777777" w:rsidR="00F53022" w:rsidRDefault="00026C53">
      <w:pPr>
        <w:numPr>
          <w:ilvl w:val="0"/>
          <w:numId w:val="1"/>
        </w:numPr>
        <w:spacing w:after="200" w:line="360" w:lineRule="auto"/>
        <w:rPr>
          <w:rFonts w:ascii="Calibri" w:hAnsi="Calibri"/>
        </w:rPr>
      </w:pPr>
      <w:r>
        <w:rPr>
          <w:rFonts w:ascii="Calibri" w:hAnsi="Calibri" w:hint="cs"/>
          <w:rtl/>
        </w:rPr>
        <w:t xml:space="preserve">ב"כ הנאשמת טען  כי נסיבות המקרה אינן מצדיקות מיצוי הדין עימה. לגישתו, עקב נסיבות המקרה ונסיבותיה האישיות והרפואיות של הנאשמת, ניתן להסתפק בענישה שצופה  פני העתיד והטלת התחייבות כספית בלבד. </w:t>
      </w:r>
    </w:p>
    <w:p w14:paraId="10934872" w14:textId="77777777" w:rsidR="00F53022" w:rsidRDefault="00026C53">
      <w:pPr>
        <w:spacing w:after="200" w:line="360" w:lineRule="auto"/>
        <w:ind w:left="1080"/>
        <w:rPr>
          <w:rFonts w:ascii="Calibri" w:hAnsi="Calibri"/>
          <w:rtl/>
        </w:rPr>
      </w:pPr>
      <w:r>
        <w:rPr>
          <w:rFonts w:ascii="Calibri" w:hAnsi="Calibri" w:hint="cs"/>
          <w:rtl/>
        </w:rPr>
        <w:t xml:space="preserve">בטיעוניו ציין כי מדובר באשה בת 54 ללא עבר פלילי, אלמנה מגיל צעיר ואמא ל – 3 ילדים בוגרים שגידלה אותם בקושי רב בעקבות התאלמנותה, טענות שנתמכו באופן נרחב במסגרת שני התסקירים שהוגשו  בעניינה של הנאשמת, הראשון מיום 01.04.2014 והשני מיום 05.06.2014, כמפורט לעיל. </w:t>
      </w:r>
    </w:p>
    <w:p w14:paraId="7D4EFBE7" w14:textId="77777777" w:rsidR="00F53022" w:rsidRDefault="00026C53">
      <w:pPr>
        <w:spacing w:after="200" w:line="360" w:lineRule="auto"/>
        <w:ind w:left="1080"/>
        <w:rPr>
          <w:rFonts w:ascii="Calibri" w:hAnsi="Calibri"/>
        </w:rPr>
      </w:pPr>
      <w:r>
        <w:rPr>
          <w:rFonts w:ascii="Calibri" w:hAnsi="Calibri" w:hint="cs"/>
          <w:rtl/>
        </w:rPr>
        <w:t xml:space="preserve">הנאשמת מנהלת מזה כ – 3 שנים מערכת יחסים זוגית עם אחמד, בן זוגה ושותפה לעבירה נשוא כתב אישום מתוקן זה, וכנגדו הוגש כתב אישום נפרד  בבית המשפט השלום בנצרת, בגין עבירת החזקת נשק לפי סעיף </w:t>
      </w:r>
      <w:hyperlink r:id="rId17" w:history="1">
        <w:r w:rsidR="00633541" w:rsidRPr="00633541">
          <w:rPr>
            <w:rFonts w:ascii="Calibri" w:hAnsi="Calibri"/>
            <w:color w:val="0000FF"/>
            <w:u w:val="single"/>
            <w:rtl/>
          </w:rPr>
          <w:t>144 (</w:t>
        </w:r>
        <w:r w:rsidR="00633541" w:rsidRPr="00633541">
          <w:rPr>
            <w:rFonts w:ascii="Calibri" w:hAnsi="Calibri" w:hint="eastAsia"/>
            <w:color w:val="0000FF"/>
            <w:u w:val="single"/>
            <w:rtl/>
          </w:rPr>
          <w:t>א</w:t>
        </w:r>
        <w:r w:rsidR="00633541" w:rsidRPr="00633541">
          <w:rPr>
            <w:rFonts w:ascii="Calibri" w:hAnsi="Calibri"/>
            <w:color w:val="0000FF"/>
            <w:u w:val="single"/>
            <w:rtl/>
          </w:rPr>
          <w:t>)</w:t>
        </w:r>
      </w:hyperlink>
      <w:r>
        <w:rPr>
          <w:rFonts w:ascii="Calibri" w:hAnsi="Calibri" w:hint="cs"/>
          <w:rtl/>
        </w:rPr>
        <w:t xml:space="preserve"> ל</w:t>
      </w:r>
      <w:hyperlink r:id="rId18" w:history="1">
        <w:r w:rsidRPr="00026C53">
          <w:rPr>
            <w:rFonts w:ascii="Calibri" w:hAnsi="Calibri" w:hint="eastAsia"/>
            <w:color w:val="0000FF"/>
            <w:u w:val="single"/>
            <w:rtl/>
          </w:rPr>
          <w:t>חוק</w:t>
        </w:r>
        <w:r w:rsidRPr="00026C53">
          <w:rPr>
            <w:rFonts w:ascii="Calibri" w:hAnsi="Calibri"/>
            <w:color w:val="0000FF"/>
            <w:u w:val="single"/>
            <w:rtl/>
          </w:rPr>
          <w:t xml:space="preserve"> </w:t>
        </w:r>
        <w:r w:rsidRPr="00026C53">
          <w:rPr>
            <w:rFonts w:ascii="Calibri" w:hAnsi="Calibri" w:hint="eastAsia"/>
            <w:color w:val="0000FF"/>
            <w:u w:val="single"/>
            <w:rtl/>
          </w:rPr>
          <w:t>העונשין</w:t>
        </w:r>
      </w:hyperlink>
      <w:r>
        <w:rPr>
          <w:rFonts w:ascii="Calibri" w:hAnsi="Calibri" w:hint="cs"/>
          <w:rtl/>
        </w:rPr>
        <w:t xml:space="preserve">, וביום 28.07.2014 נגזר דינו. </w:t>
      </w:r>
    </w:p>
    <w:p w14:paraId="5A22B97D" w14:textId="77777777" w:rsidR="00F53022" w:rsidRDefault="00026C53">
      <w:pPr>
        <w:spacing w:after="200" w:line="360" w:lineRule="auto"/>
        <w:ind w:left="1080"/>
        <w:rPr>
          <w:rFonts w:ascii="Calibri" w:hAnsi="Calibri"/>
          <w:rtl/>
        </w:rPr>
      </w:pPr>
      <w:r>
        <w:rPr>
          <w:rFonts w:ascii="Calibri" w:hAnsi="Calibri" w:hint="cs"/>
          <w:rtl/>
        </w:rPr>
        <w:t xml:space="preserve">כעולה מחומר הראיות בתיק, האקדח נשוא כתב האישום נתפס כשהיה מוסתר בתוך כספת בחדר ארונות בביתה של הנאשמת, כלי הנשק והתחמושת שייכים לבן זוגה של הנאשמת - אחמד והוא זה שביקש ממנה להסתירם עבורו והיא עשתה זאת בתמימות ומבלי לדעת את חומרת המעשה, מתוך רצון למלא אחר הוראותיו של בן זוגה אחמד ולשמר את הקשר המשפחתי. </w:t>
      </w:r>
    </w:p>
    <w:p w14:paraId="0132D1E5" w14:textId="77777777" w:rsidR="00F53022" w:rsidRDefault="00026C53">
      <w:pPr>
        <w:spacing w:after="200" w:line="360" w:lineRule="auto"/>
        <w:ind w:left="1080"/>
        <w:rPr>
          <w:rFonts w:ascii="Calibri" w:hAnsi="Calibri"/>
          <w:rtl/>
        </w:rPr>
      </w:pPr>
      <w:r>
        <w:rPr>
          <w:rFonts w:ascii="Calibri" w:hAnsi="Calibri" w:hint="cs"/>
          <w:rtl/>
        </w:rPr>
        <w:t xml:space="preserve">הנאשמת הודתה בהזדמנות הראשונה בביצוע העבירה. כאשר כוחות המשטרה הגיעו לביתה, היא התנדבה לתת להם את המפתחות והכווינה אותם לכלי הנשק והתחמושת. היא שיתפה פעולה באופן מלא בחקירה. </w:t>
      </w:r>
    </w:p>
    <w:p w14:paraId="15AAFDBC" w14:textId="77777777" w:rsidR="00F53022" w:rsidRDefault="00026C53">
      <w:pPr>
        <w:spacing w:after="200" w:line="360" w:lineRule="auto"/>
        <w:ind w:left="1080"/>
        <w:rPr>
          <w:rFonts w:ascii="Calibri" w:hAnsi="Calibri"/>
          <w:rtl/>
        </w:rPr>
      </w:pPr>
      <w:r>
        <w:rPr>
          <w:rFonts w:ascii="Calibri" w:hAnsi="Calibri" w:hint="cs"/>
          <w:rtl/>
        </w:rPr>
        <w:t xml:space="preserve">המדובר בנאשמת הסובלת ממחלה ממארת וממגוון בעיות רפואיות נוספות. לתמיכה בטענותיה הומצאו לתיק בית המשפט מסמכים רפואיים. </w:t>
      </w:r>
      <w:r>
        <w:rPr>
          <w:rFonts w:ascii="Calibri" w:hAnsi="Calibri" w:hint="cs"/>
          <w:rtl/>
        </w:rPr>
        <w:tab/>
        <w:t xml:space="preserve">       </w:t>
      </w:r>
      <w:r>
        <w:rPr>
          <w:rFonts w:ascii="Calibri" w:hAnsi="Calibri" w:hint="cs"/>
          <w:rtl/>
        </w:rPr>
        <w:tab/>
      </w:r>
    </w:p>
    <w:p w14:paraId="5BD4C9F9" w14:textId="77777777" w:rsidR="00F53022" w:rsidRDefault="00026C53">
      <w:pPr>
        <w:numPr>
          <w:ilvl w:val="0"/>
          <w:numId w:val="1"/>
        </w:numPr>
        <w:spacing w:after="200" w:line="360" w:lineRule="auto"/>
        <w:rPr>
          <w:rFonts w:ascii="Calibri" w:hAnsi="Calibri"/>
          <w:rtl/>
        </w:rPr>
      </w:pPr>
      <w:r>
        <w:rPr>
          <w:rFonts w:ascii="Calibri" w:hAnsi="Calibri" w:hint="cs"/>
          <w:rtl/>
        </w:rPr>
        <w:t xml:space="preserve">הנאשמת היתה נתונה במעצר מאחורי סורג ובריח מיום 11.01.2014 ועד ליום 17.01.2014 ובסה"כ 6 ימים. היא שוחררה למעצר בית חלקי. </w:t>
      </w:r>
    </w:p>
    <w:p w14:paraId="0D552F0A" w14:textId="77777777" w:rsidR="00F53022" w:rsidRDefault="00026C53">
      <w:pPr>
        <w:numPr>
          <w:ilvl w:val="0"/>
          <w:numId w:val="1"/>
        </w:numPr>
        <w:spacing w:after="200" w:line="360" w:lineRule="auto"/>
        <w:rPr>
          <w:rFonts w:ascii="Calibri" w:hAnsi="Calibri"/>
          <w:b/>
          <w:bCs/>
        </w:rPr>
      </w:pPr>
      <w:r>
        <w:rPr>
          <w:rFonts w:ascii="Calibri" w:hAnsi="Calibri" w:hint="cs"/>
          <w:rtl/>
        </w:rPr>
        <w:t xml:space="preserve">הנאשמת עצמה הביעה חרטה על המעשה, ביקשה להתחשב בנסיבותיה האישיות, במצבה הרפואי, במצבה הכלכלי ובעובדה שהיא מתקיימת מקצבת ביטוח לאומי וכתמיכה הגישה לתיק בית המשפט אישורי תשלומי קצבאות נכות מהמל"ל בשיעור 100% . סומן </w:t>
      </w:r>
      <w:r>
        <w:rPr>
          <w:rFonts w:ascii="Calibri" w:hAnsi="Calibri" w:hint="cs"/>
          <w:b/>
          <w:bCs/>
          <w:rtl/>
        </w:rPr>
        <w:t xml:space="preserve">נ/1.  </w:t>
      </w:r>
    </w:p>
    <w:p w14:paraId="17FA38B3" w14:textId="77777777" w:rsidR="00F53022" w:rsidRDefault="00026C53">
      <w:pPr>
        <w:numPr>
          <w:ilvl w:val="0"/>
          <w:numId w:val="1"/>
        </w:numPr>
        <w:spacing w:after="200" w:line="360" w:lineRule="auto"/>
        <w:rPr>
          <w:rFonts w:ascii="Calibri" w:hAnsi="Calibri"/>
        </w:rPr>
      </w:pPr>
      <w:r>
        <w:rPr>
          <w:rFonts w:ascii="Calibri" w:hAnsi="Calibri" w:hint="cs"/>
          <w:rtl/>
        </w:rPr>
        <w:t xml:space="preserve">בטרם גזירת דינה של הנאשמת, הורה בית משפט זה על קבלת חוות דעת הממונה לעבודות שירות בעניינה של הנאשמת . </w:t>
      </w:r>
    </w:p>
    <w:p w14:paraId="755DE8FD" w14:textId="77777777" w:rsidR="00F53022" w:rsidRDefault="00026C53">
      <w:pPr>
        <w:spacing w:after="200" w:line="360" w:lineRule="auto"/>
        <w:ind w:left="1080"/>
        <w:rPr>
          <w:rFonts w:ascii="Calibri" w:hAnsi="Calibri"/>
        </w:rPr>
      </w:pPr>
      <w:r>
        <w:rPr>
          <w:rFonts w:ascii="Calibri" w:hAnsi="Calibri" w:hint="cs"/>
          <w:rtl/>
        </w:rPr>
        <w:t>חוות הדעת שהתקבלה קבעה כי  הנאשמת אינה כשירה טוטאלית לעבודה בעבודות שירות בשל מצבה הרפואי.</w:t>
      </w:r>
    </w:p>
    <w:p w14:paraId="2EC03A6E" w14:textId="77777777" w:rsidR="00F53022" w:rsidRDefault="00026C53">
      <w:pPr>
        <w:spacing w:after="200" w:line="360" w:lineRule="auto"/>
        <w:ind w:left="1080"/>
        <w:rPr>
          <w:rFonts w:ascii="Calibri" w:hAnsi="Calibri"/>
          <w:b/>
          <w:bCs/>
          <w:u w:val="single"/>
        </w:rPr>
      </w:pPr>
      <w:r>
        <w:rPr>
          <w:rFonts w:ascii="Calibri" w:hAnsi="Calibri" w:hint="cs"/>
          <w:b/>
          <w:bCs/>
          <w:u w:val="single"/>
          <w:rtl/>
        </w:rPr>
        <w:t>דיון והכרעה:</w:t>
      </w:r>
    </w:p>
    <w:p w14:paraId="1F8E6601" w14:textId="77777777" w:rsidR="00F53022" w:rsidRDefault="00026C53">
      <w:pPr>
        <w:numPr>
          <w:ilvl w:val="0"/>
          <w:numId w:val="1"/>
        </w:numPr>
        <w:spacing w:after="200" w:line="360" w:lineRule="auto"/>
        <w:rPr>
          <w:rFonts w:ascii="Calibri" w:hAnsi="Calibri"/>
          <w:rtl/>
        </w:rPr>
      </w:pPr>
      <w:r>
        <w:rPr>
          <w:rFonts w:ascii="Calibri" w:hAnsi="Calibri" w:hint="cs"/>
          <w:rtl/>
        </w:rPr>
        <w:t xml:space="preserve">כאמור, הנאשמת הורשעה לאחר הודאתה בעובדות כתב האישום המתוקן. </w:t>
      </w:r>
    </w:p>
    <w:p w14:paraId="34EBF840" w14:textId="77777777" w:rsidR="00F53022" w:rsidRDefault="00026C53">
      <w:pPr>
        <w:numPr>
          <w:ilvl w:val="0"/>
          <w:numId w:val="1"/>
        </w:numPr>
        <w:spacing w:after="200" w:line="360" w:lineRule="auto"/>
        <w:rPr>
          <w:rFonts w:ascii="Calibri" w:hAnsi="Calibri"/>
        </w:rPr>
      </w:pPr>
      <w:r>
        <w:rPr>
          <w:rFonts w:ascii="Calibri" w:hAnsi="Calibri" w:hint="cs"/>
          <w:rtl/>
        </w:rPr>
        <w:t>במסגרת תיקון 113 ל</w:t>
      </w:r>
      <w:hyperlink r:id="rId19" w:history="1">
        <w:r w:rsidRPr="00026C53">
          <w:rPr>
            <w:rFonts w:ascii="Calibri" w:hAnsi="Calibri" w:hint="eastAsia"/>
            <w:color w:val="0000FF"/>
            <w:u w:val="single"/>
            <w:rtl/>
          </w:rPr>
          <w:t>חוק</w:t>
        </w:r>
        <w:r w:rsidRPr="00026C53">
          <w:rPr>
            <w:rFonts w:ascii="Calibri" w:hAnsi="Calibri"/>
            <w:color w:val="0000FF"/>
            <w:u w:val="single"/>
            <w:rtl/>
          </w:rPr>
          <w:t xml:space="preserve"> </w:t>
        </w:r>
        <w:r w:rsidRPr="00026C53">
          <w:rPr>
            <w:rFonts w:ascii="Calibri" w:hAnsi="Calibri" w:hint="eastAsia"/>
            <w:color w:val="0000FF"/>
            <w:u w:val="single"/>
            <w:rtl/>
          </w:rPr>
          <w:t>העונשין</w:t>
        </w:r>
      </w:hyperlink>
      <w:r>
        <w:rPr>
          <w:rFonts w:ascii="Calibri" w:hAnsi="Calibri" w:hint="cs"/>
          <w:rtl/>
        </w:rPr>
        <w:t xml:space="preserve">, נדרש בית המשפט לעריכת בחינה תת שלבית. ראשית, יש לקבוע האם מדובר באירוע אחד או במספר אירועים. שנית, קביעת מתחם העונש ההולם וההנמקה. שלישית, קביעת העונש הראוי בתוך המתחם, או סטייה ממנו אם החוק מאפשר זאת וההנמקה לכך. </w:t>
      </w:r>
    </w:p>
    <w:p w14:paraId="5B9F7874" w14:textId="77777777" w:rsidR="00F53022" w:rsidRDefault="00026C53">
      <w:pPr>
        <w:numPr>
          <w:ilvl w:val="0"/>
          <w:numId w:val="1"/>
        </w:numPr>
        <w:spacing w:after="200" w:line="360" w:lineRule="auto"/>
        <w:rPr>
          <w:rFonts w:ascii="Calibri" w:hAnsi="Calibri"/>
        </w:rPr>
      </w:pPr>
      <w:r>
        <w:rPr>
          <w:rFonts w:ascii="Calibri" w:hAnsi="Calibri" w:hint="cs"/>
          <w:rtl/>
        </w:rPr>
        <w:t xml:space="preserve">לצורך קביעת מתחם העונש ההולם, נדרש בית המשפט לבחינת הערך החברתי שנפגע מביצוע העבירות ומידת הפגיעה בו, בהתאם למדיניות הענישה הנהוגה ולנסיבות הקשורות בביצוע העבירות. לצורך קביעת העונש הראוי לנאשמת, נדרש בית המשפט לבחינת הנסיבות, אשר אינן קשורות בביצוע העבירה, ובכלל אלה, נתוני העושה ונסיבותיה האישיות של הנאשמת.  </w:t>
      </w:r>
    </w:p>
    <w:p w14:paraId="0FDCE5BE" w14:textId="77777777" w:rsidR="00F53022" w:rsidRDefault="00026C53">
      <w:pPr>
        <w:numPr>
          <w:ilvl w:val="0"/>
          <w:numId w:val="1"/>
        </w:numPr>
        <w:spacing w:after="200" w:line="360" w:lineRule="auto"/>
        <w:rPr>
          <w:rFonts w:ascii="Calibri" w:hAnsi="Calibri"/>
        </w:rPr>
      </w:pPr>
      <w:r>
        <w:rPr>
          <w:rFonts w:ascii="Calibri" w:hAnsi="Calibri" w:hint="cs"/>
          <w:rtl/>
        </w:rPr>
        <w:t xml:space="preserve">כפי שעלה אף מטיעוני הצדדים לעונש, עסקינן באירוע אחד, אשר במהלכו ביצעה הנאשמת עבירה אחת של החזקת נשק שלא כדין. </w:t>
      </w:r>
    </w:p>
    <w:p w14:paraId="28665735" w14:textId="77777777" w:rsidR="00F53022" w:rsidRDefault="00026C53">
      <w:pPr>
        <w:spacing w:after="200" w:line="360" w:lineRule="auto"/>
        <w:ind w:left="720"/>
        <w:rPr>
          <w:rFonts w:ascii="Calibri" w:hAnsi="Calibri"/>
          <w:b/>
          <w:bCs/>
          <w:u w:val="single"/>
        </w:rPr>
      </w:pPr>
      <w:r>
        <w:rPr>
          <w:rFonts w:ascii="Calibri" w:hAnsi="Calibri" w:hint="cs"/>
          <w:b/>
          <w:bCs/>
          <w:u w:val="single"/>
          <w:rtl/>
        </w:rPr>
        <w:t xml:space="preserve">מתחם העונש ההולם: </w:t>
      </w:r>
    </w:p>
    <w:p w14:paraId="792C5408" w14:textId="77777777" w:rsidR="00F53022" w:rsidRDefault="00026C53">
      <w:pPr>
        <w:numPr>
          <w:ilvl w:val="0"/>
          <w:numId w:val="1"/>
        </w:numPr>
        <w:spacing w:after="200" w:line="360" w:lineRule="auto"/>
        <w:rPr>
          <w:rFonts w:ascii="Calibri" w:hAnsi="Calibri"/>
        </w:rPr>
      </w:pPr>
      <w:r>
        <w:rPr>
          <w:rFonts w:ascii="Calibri" w:hAnsi="Calibri" w:hint="cs"/>
          <w:rtl/>
        </w:rPr>
        <w:t xml:space="preserve">כאמור, לשם קביעת מתחם העונש ההולם, בית המשפט נדרש לבחון את הערכים המוגנים, שנפגעו מביצוע העבירות ומידת הפגיעה בהם, מדיניות הענישה הנהוגה ונסיבות הקשורות בביצוע העבירות. </w:t>
      </w:r>
    </w:p>
    <w:p w14:paraId="34A0B78F" w14:textId="77777777" w:rsidR="00F53022" w:rsidRDefault="00026C53">
      <w:pPr>
        <w:spacing w:after="200" w:line="360" w:lineRule="auto"/>
        <w:ind w:left="1080"/>
        <w:rPr>
          <w:rFonts w:ascii="Calibri" w:hAnsi="Calibri"/>
        </w:rPr>
      </w:pPr>
      <w:r>
        <w:rPr>
          <w:rFonts w:ascii="Calibri" w:hAnsi="Calibri" w:hint="cs"/>
          <w:rtl/>
        </w:rPr>
        <w:t xml:space="preserve">בהתאם, בבואנו לקבוע את מתחם העונש ההולם, כפי שציוונו </w:t>
      </w:r>
      <w:hyperlink r:id="rId20" w:history="1">
        <w:r w:rsidR="00633541" w:rsidRPr="00633541">
          <w:rPr>
            <w:rFonts w:ascii="Calibri" w:hAnsi="Calibri" w:hint="eastAsia"/>
            <w:color w:val="0000FF"/>
            <w:u w:val="single"/>
            <w:rtl/>
          </w:rPr>
          <w:t>בסעיפים</w:t>
        </w:r>
        <w:r w:rsidR="00633541" w:rsidRPr="00633541">
          <w:rPr>
            <w:rFonts w:ascii="Calibri" w:hAnsi="Calibri"/>
            <w:color w:val="0000FF"/>
            <w:u w:val="single"/>
            <w:rtl/>
          </w:rPr>
          <w:t xml:space="preserve"> 4 </w:t>
        </w:r>
        <w:r w:rsidR="00633541" w:rsidRPr="00633541">
          <w:rPr>
            <w:rFonts w:ascii="Calibri" w:hAnsi="Calibri" w:hint="eastAsia"/>
            <w:color w:val="0000FF"/>
            <w:u w:val="single"/>
            <w:rtl/>
          </w:rPr>
          <w:t>ג</w:t>
        </w:r>
        <w:r w:rsidR="00633541" w:rsidRPr="00633541">
          <w:rPr>
            <w:rFonts w:ascii="Calibri" w:hAnsi="Calibri"/>
            <w:color w:val="0000FF"/>
            <w:u w:val="single"/>
            <w:rtl/>
          </w:rPr>
          <w:t xml:space="preserve"> (</w:t>
        </w:r>
        <w:r w:rsidR="00633541" w:rsidRPr="00633541">
          <w:rPr>
            <w:rFonts w:ascii="Calibri" w:hAnsi="Calibri" w:hint="eastAsia"/>
            <w:color w:val="0000FF"/>
            <w:u w:val="single"/>
            <w:rtl/>
          </w:rPr>
          <w:t>א</w:t>
        </w:r>
        <w:r w:rsidR="00633541" w:rsidRPr="00633541">
          <w:rPr>
            <w:rFonts w:ascii="Calibri" w:hAnsi="Calibri"/>
            <w:color w:val="0000FF"/>
            <w:u w:val="single"/>
            <w:rtl/>
          </w:rPr>
          <w:t>)</w:t>
        </w:r>
      </w:hyperlink>
      <w:r>
        <w:rPr>
          <w:rFonts w:ascii="Calibri" w:hAnsi="Calibri" w:hint="cs"/>
          <w:rtl/>
        </w:rPr>
        <w:t xml:space="preserve"> ובסעיף </w:t>
      </w:r>
      <w:hyperlink r:id="rId21" w:history="1">
        <w:r w:rsidR="00633541" w:rsidRPr="00633541">
          <w:rPr>
            <w:rStyle w:val="Hyperlink"/>
            <w:rFonts w:ascii="Calibri" w:hAnsi="Calibri"/>
            <w:rtl/>
          </w:rPr>
          <w:t xml:space="preserve">40 </w:t>
        </w:r>
        <w:r w:rsidR="00633541" w:rsidRPr="00633541">
          <w:rPr>
            <w:rStyle w:val="Hyperlink"/>
            <w:rFonts w:ascii="Calibri" w:hAnsi="Calibri" w:hint="eastAsia"/>
            <w:rtl/>
          </w:rPr>
          <w:t>ט</w:t>
        </w:r>
        <w:r w:rsidR="00633541" w:rsidRPr="00633541">
          <w:rPr>
            <w:rStyle w:val="Hyperlink"/>
            <w:rFonts w:ascii="Calibri" w:hAnsi="Calibri"/>
            <w:rtl/>
          </w:rPr>
          <w:t>'</w:t>
        </w:r>
      </w:hyperlink>
      <w:r>
        <w:rPr>
          <w:rFonts w:ascii="Calibri" w:hAnsi="Calibri" w:hint="cs"/>
          <w:rtl/>
        </w:rPr>
        <w:t xml:space="preserve"> ל</w:t>
      </w:r>
      <w:hyperlink r:id="rId22" w:history="1">
        <w:r w:rsidRPr="00026C53">
          <w:rPr>
            <w:rFonts w:ascii="Calibri" w:hAnsi="Calibri" w:hint="eastAsia"/>
            <w:color w:val="0000FF"/>
            <w:u w:val="single"/>
            <w:rtl/>
          </w:rPr>
          <w:t>חוק</w:t>
        </w:r>
        <w:r w:rsidRPr="00026C53">
          <w:rPr>
            <w:rFonts w:ascii="Calibri" w:hAnsi="Calibri"/>
            <w:color w:val="0000FF"/>
            <w:u w:val="single"/>
            <w:rtl/>
          </w:rPr>
          <w:t xml:space="preserve"> </w:t>
        </w:r>
        <w:r w:rsidRPr="00026C53">
          <w:rPr>
            <w:rFonts w:ascii="Calibri" w:hAnsi="Calibri" w:hint="eastAsia"/>
            <w:color w:val="0000FF"/>
            <w:u w:val="single"/>
            <w:rtl/>
          </w:rPr>
          <w:t>העונשין</w:t>
        </w:r>
      </w:hyperlink>
      <w:r>
        <w:rPr>
          <w:rFonts w:ascii="Calibri" w:hAnsi="Calibri" w:hint="cs"/>
          <w:rtl/>
        </w:rPr>
        <w:t xml:space="preserve">, עלינו להתחשב בגורמים הבאים: </w:t>
      </w:r>
    </w:p>
    <w:p w14:paraId="14AEBE25" w14:textId="77777777" w:rsidR="00F53022" w:rsidRDefault="00026C53">
      <w:pPr>
        <w:numPr>
          <w:ilvl w:val="1"/>
          <w:numId w:val="1"/>
        </w:numPr>
        <w:spacing w:after="200" w:line="360" w:lineRule="auto"/>
        <w:rPr>
          <w:rFonts w:ascii="Calibri" w:hAnsi="Calibri"/>
        </w:rPr>
      </w:pPr>
      <w:r>
        <w:rPr>
          <w:rFonts w:ascii="Calibri" w:hAnsi="Calibri" w:hint="cs"/>
          <w:rtl/>
        </w:rPr>
        <w:t>הערך החברתי אשר נפגע מביצוע העבירה.</w:t>
      </w:r>
    </w:p>
    <w:p w14:paraId="0EC15914" w14:textId="77777777" w:rsidR="00F53022" w:rsidRDefault="00026C53">
      <w:pPr>
        <w:numPr>
          <w:ilvl w:val="1"/>
          <w:numId w:val="1"/>
        </w:numPr>
        <w:spacing w:after="200" w:line="360" w:lineRule="auto"/>
        <w:rPr>
          <w:rFonts w:ascii="Calibri" w:hAnsi="Calibri"/>
          <w:rtl/>
        </w:rPr>
      </w:pPr>
      <w:r>
        <w:rPr>
          <w:rFonts w:ascii="Calibri" w:hAnsi="Calibri" w:hint="cs"/>
          <w:rtl/>
        </w:rPr>
        <w:t xml:space="preserve">מידת הפגיעה בערך חברתי זה. </w:t>
      </w:r>
    </w:p>
    <w:p w14:paraId="2A82FA42" w14:textId="77777777" w:rsidR="00F53022" w:rsidRDefault="00026C53">
      <w:pPr>
        <w:numPr>
          <w:ilvl w:val="1"/>
          <w:numId w:val="1"/>
        </w:numPr>
        <w:spacing w:after="200" w:line="360" w:lineRule="auto"/>
        <w:rPr>
          <w:rFonts w:ascii="Calibri" w:hAnsi="Calibri"/>
          <w:rtl/>
        </w:rPr>
      </w:pPr>
      <w:r>
        <w:rPr>
          <w:rFonts w:ascii="Calibri" w:hAnsi="Calibri" w:hint="cs"/>
          <w:rtl/>
        </w:rPr>
        <w:t>מדיניות הענישה הנהוגה.</w:t>
      </w:r>
    </w:p>
    <w:p w14:paraId="7DC76CF8" w14:textId="77777777" w:rsidR="00F53022" w:rsidRDefault="00026C53">
      <w:pPr>
        <w:numPr>
          <w:ilvl w:val="1"/>
          <w:numId w:val="1"/>
        </w:numPr>
        <w:spacing w:after="200" w:line="360" w:lineRule="auto"/>
        <w:rPr>
          <w:rFonts w:ascii="Calibri" w:hAnsi="Calibri"/>
        </w:rPr>
      </w:pPr>
      <w:r>
        <w:rPr>
          <w:rFonts w:ascii="Calibri" w:hAnsi="Calibri" w:hint="cs"/>
          <w:rtl/>
        </w:rPr>
        <w:t xml:space="preserve">הנסיבות הקשורות בביצוע העבירה. </w:t>
      </w:r>
      <w:r>
        <w:rPr>
          <w:rFonts w:ascii="Calibri" w:hAnsi="Calibri" w:hint="cs"/>
          <w:rtl/>
        </w:rPr>
        <w:tab/>
      </w:r>
    </w:p>
    <w:p w14:paraId="66AC72BB" w14:textId="77777777" w:rsidR="00F53022" w:rsidRDefault="00026C53">
      <w:pPr>
        <w:numPr>
          <w:ilvl w:val="0"/>
          <w:numId w:val="1"/>
        </w:numPr>
        <w:spacing w:after="200" w:line="360" w:lineRule="auto"/>
        <w:rPr>
          <w:rFonts w:ascii="Calibri" w:hAnsi="Calibri"/>
        </w:rPr>
      </w:pPr>
      <w:r>
        <w:rPr>
          <w:rFonts w:ascii="Arial" w:hAnsi="Arial" w:hint="cs"/>
          <w:rtl/>
        </w:rPr>
        <w:t>הערך החברתי שנפגע , הנו הגנה על שלום הציבור ובטחונו</w:t>
      </w:r>
      <w:r>
        <w:rPr>
          <w:rFonts w:ascii="Calibri" w:hAnsi="Calibri" w:hint="cs"/>
          <w:rtl/>
        </w:rPr>
        <w:t>.</w:t>
      </w:r>
    </w:p>
    <w:p w14:paraId="00BA6DE4" w14:textId="77777777" w:rsidR="00F53022" w:rsidRDefault="00026C53">
      <w:pPr>
        <w:numPr>
          <w:ilvl w:val="0"/>
          <w:numId w:val="1"/>
        </w:numPr>
        <w:spacing w:after="200" w:line="360" w:lineRule="auto"/>
        <w:contextualSpacing/>
        <w:jc w:val="both"/>
        <w:rPr>
          <w:rFonts w:ascii="Arial" w:hAnsi="Arial"/>
        </w:rPr>
      </w:pPr>
      <w:r>
        <w:rPr>
          <w:rFonts w:hint="cs"/>
          <w:noProof/>
          <w:rtl/>
        </w:rPr>
        <w:t xml:space="preserve">בענייננו, </w:t>
      </w:r>
      <w:r>
        <w:rPr>
          <w:rFonts w:ascii="Arial" w:hAnsi="Arial" w:hint="cs"/>
          <w:rtl/>
        </w:rPr>
        <w:t xml:space="preserve">מידת הפגיעה בערך המוגן ניתנת לבחינה בראי נסיבות ביצוע העבירה. </w:t>
      </w:r>
    </w:p>
    <w:p w14:paraId="0B168445" w14:textId="77777777" w:rsidR="00F53022" w:rsidRDefault="00026C53">
      <w:pPr>
        <w:spacing w:after="200" w:line="360" w:lineRule="auto"/>
        <w:ind w:left="1080"/>
        <w:rPr>
          <w:rFonts w:ascii="Calibri" w:eastAsia="Times New Roman" w:hAnsi="Calibri"/>
        </w:rPr>
      </w:pPr>
      <w:r>
        <w:rPr>
          <w:rFonts w:ascii="Calibri" w:hAnsi="Calibri" w:hint="cs"/>
          <w:rtl/>
        </w:rPr>
        <w:t>המדובר בנאשמת שהחזיקה אקדח וכן מחסנית ובה 13 כדורים המהווים תחמושת כלי זה בלא רשות על פי דין להחזקתם.  ככלל, החזקת נשק ותחמושת שלא כדין הינה נסיבה מחמירה, אם כי במקרה שלפניי, על פי עובדות כתב האישום המתוקן,  הנשק והתחמושת נמצאו , כפי שהם, בכמות מועטה, במועד שאינו ידוע למאשימה , בתוך כספת בארון בביתה של הנאשמת, ועל פי עובדות כתב האישום המתוקן הוחזקו על ידי הנאשמת תקופה לא ממושכת בטרם נתפסו, אף לא נתפסו תוך כדי שימוש על ידי הנאשמת ולא היתה לה כל כוונה לעשות בהם שימוש, עובדה שלא נסתרה.  עוד טוענת הנאשמת כי אין המדובר בנשק השייך לה אלא המדובר בנשק השייך לבן זוגה אחמד והיא "בסך הכל שמרה על הנשק מתוך אמון שנתנה בבן זוגה אחמד,  כך שלכאורה אין לייחס להחזקת הנשק משקל לחומרא.  יחד עם זאת, עדיין  מדובר בהחזקת נשק שלא כדין, הנאשמת בחרה להחזיקו ברשותה ובידיעתה הגם שאין לה היתר לכך, אך כלל הנסיבות מצביעות על פגיעה ברף הנמוך  בערך המוגן.</w:t>
      </w:r>
    </w:p>
    <w:p w14:paraId="79DD06A2" w14:textId="77777777" w:rsidR="00F53022" w:rsidRDefault="00026C53">
      <w:pPr>
        <w:spacing w:after="200" w:line="360" w:lineRule="auto"/>
        <w:ind w:left="1080"/>
        <w:rPr>
          <w:rFonts w:ascii="Calibri" w:hAnsi="Calibri"/>
          <w:rtl/>
        </w:rPr>
      </w:pPr>
      <w:r>
        <w:rPr>
          <w:rFonts w:ascii="Calibri" w:hAnsi="Calibri" w:hint="cs"/>
          <w:rtl/>
        </w:rPr>
        <w:t xml:space="preserve">רבות נאמר בפסיקה, אודות הסכנה הטמונה בהחזקת נשק בידי אנשים בלתי מורשים ועל הצורך להטיל עונשים מרתיעים ולא סלחניים, על מי המעורב בעבירות אלה. </w:t>
      </w:r>
    </w:p>
    <w:p w14:paraId="2F5469B4" w14:textId="77777777" w:rsidR="00F53022" w:rsidRDefault="00026C53">
      <w:pPr>
        <w:spacing w:after="200" w:line="360" w:lineRule="auto"/>
        <w:ind w:left="1077"/>
        <w:rPr>
          <w:rFonts w:ascii="Calibri" w:hAnsi="Calibri"/>
          <w:rtl/>
        </w:rPr>
      </w:pPr>
      <w:r>
        <w:rPr>
          <w:rFonts w:ascii="Calibri" w:hAnsi="Calibri" w:hint="cs"/>
          <w:rtl/>
        </w:rPr>
        <w:t>על ערך נעלה זה עמדה  כבוד השופטת ארבל ב</w:t>
      </w:r>
      <w:hyperlink r:id="rId23" w:history="1">
        <w:r w:rsidRPr="00026C53">
          <w:rPr>
            <w:rFonts w:ascii="Calibri" w:hAnsi="Calibri" w:hint="eastAsia"/>
            <w:color w:val="0000FF"/>
            <w:u w:val="single"/>
            <w:rtl/>
          </w:rPr>
          <w:t>ע</w:t>
        </w:r>
        <w:r w:rsidRPr="00026C53">
          <w:rPr>
            <w:rFonts w:ascii="Calibri" w:hAnsi="Calibri"/>
            <w:color w:val="0000FF"/>
            <w:u w:val="single"/>
            <w:rtl/>
          </w:rPr>
          <w:t>"</w:t>
        </w:r>
        <w:r w:rsidRPr="00026C53">
          <w:rPr>
            <w:rFonts w:ascii="Calibri" w:hAnsi="Calibri" w:hint="eastAsia"/>
            <w:color w:val="0000FF"/>
            <w:u w:val="single"/>
            <w:rtl/>
          </w:rPr>
          <w:t>פ</w:t>
        </w:r>
        <w:r w:rsidRPr="00026C53">
          <w:rPr>
            <w:rFonts w:ascii="Calibri" w:hAnsi="Calibri"/>
            <w:color w:val="0000FF"/>
            <w:u w:val="single"/>
            <w:rtl/>
          </w:rPr>
          <w:t xml:space="preserve"> 4945/13</w:t>
        </w:r>
      </w:hyperlink>
      <w:r>
        <w:rPr>
          <w:rFonts w:ascii="Calibri" w:hAnsi="Calibri" w:hint="cs"/>
          <w:rtl/>
        </w:rPr>
        <w:t xml:space="preserve"> </w:t>
      </w:r>
      <w:r>
        <w:rPr>
          <w:rFonts w:ascii="Calibri" w:hAnsi="Calibri" w:hint="cs"/>
          <w:b/>
          <w:bCs/>
          <w:rtl/>
        </w:rPr>
        <w:t>מדינת ישראל נ' עבד אלכרים סלימאן</w:t>
      </w:r>
      <w:r>
        <w:rPr>
          <w:rFonts w:ascii="Calibri" w:hAnsi="Calibri" w:hint="cs"/>
          <w:rtl/>
        </w:rPr>
        <w:t xml:space="preserve"> : </w:t>
      </w:r>
    </w:p>
    <w:p w14:paraId="5467EF63" w14:textId="77777777" w:rsidR="00F53022" w:rsidRDefault="00026C53">
      <w:pPr>
        <w:spacing w:line="360" w:lineRule="auto"/>
        <w:ind w:left="1106" w:right="709"/>
        <w:contextualSpacing/>
        <w:jc w:val="both"/>
        <w:rPr>
          <w:rFonts w:ascii="Arial" w:hAnsi="Arial"/>
          <w:b/>
          <w:bCs/>
        </w:rPr>
      </w:pPr>
      <w:r>
        <w:rPr>
          <w:rFonts w:ascii="Arial" w:hAnsi="Arial" w:hint="cs"/>
          <w:b/>
          <w:bCs/>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(ראו: </w:t>
      </w:r>
      <w:hyperlink r:id="rId24" w:history="1">
        <w:r w:rsidRPr="00026C53">
          <w:rPr>
            <w:rFonts w:ascii="Arial" w:hAnsi="Arial"/>
            <w:b/>
            <w:bCs/>
            <w:color w:val="0000FF"/>
            <w:u w:val="single"/>
            <w:rtl/>
          </w:rPr>
          <w:t>ע"פ 3300/06</w:t>
        </w:r>
      </w:hyperlink>
      <w:r>
        <w:rPr>
          <w:rFonts w:ascii="Arial" w:hAnsi="Arial" w:hint="cs"/>
          <w:b/>
          <w:bCs/>
          <w:rtl/>
        </w:rPr>
        <w:t xml:space="preserve"> אבו סנינה נ' מדינת ישראל, [פורסם בנבו] פסקה 6 (10.8.2006), להלן: עניין אבו סנינה).</w:t>
      </w:r>
    </w:p>
    <w:p w14:paraId="3257905E" w14:textId="77777777" w:rsidR="00F53022" w:rsidRDefault="00F53022">
      <w:pPr>
        <w:spacing w:line="360" w:lineRule="auto"/>
        <w:ind w:left="360"/>
        <w:contextualSpacing/>
        <w:jc w:val="both"/>
        <w:rPr>
          <w:rFonts w:ascii="Arial" w:hAnsi="Arial"/>
          <w:rtl/>
        </w:rPr>
      </w:pPr>
    </w:p>
    <w:p w14:paraId="644A3319" w14:textId="77777777" w:rsidR="00F53022" w:rsidRDefault="00026C53">
      <w:pPr>
        <w:spacing w:line="360" w:lineRule="auto"/>
        <w:ind w:left="360"/>
        <w:contextualSpacing/>
        <w:jc w:val="both"/>
        <w:rPr>
          <w:rFonts w:ascii="Arial" w:hAnsi="Arial"/>
          <w:rtl/>
        </w:rPr>
      </w:pPr>
      <w:r>
        <w:rPr>
          <w:rFonts w:ascii="Arial" w:hAnsi="Arial" w:hint="cs"/>
          <w:rtl/>
        </w:rPr>
        <w:t>באותה פרשה הוסיף כבוד השופט רובינשטיין:</w:t>
      </w:r>
    </w:p>
    <w:p w14:paraId="0D9734D4" w14:textId="77777777" w:rsidR="00F53022" w:rsidRDefault="00F53022">
      <w:pPr>
        <w:spacing w:line="360" w:lineRule="auto"/>
        <w:ind w:left="360"/>
        <w:contextualSpacing/>
        <w:jc w:val="both"/>
        <w:rPr>
          <w:rFonts w:ascii="Arial" w:hAnsi="Arial"/>
          <w:rtl/>
        </w:rPr>
      </w:pPr>
    </w:p>
    <w:p w14:paraId="7CD26E52" w14:textId="77777777" w:rsidR="00F53022" w:rsidRDefault="00026C53">
      <w:pPr>
        <w:spacing w:line="360" w:lineRule="auto"/>
        <w:ind w:left="850" w:right="709"/>
        <w:contextualSpacing/>
        <w:jc w:val="both"/>
        <w:rPr>
          <w:rFonts w:ascii="Arial" w:hAnsi="Arial"/>
          <w:b/>
          <w:bCs/>
          <w:rtl/>
        </w:rPr>
      </w:pPr>
      <w:r>
        <w:rPr>
          <w:rFonts w:ascii="Arial" w:hAnsi="Arial" w:hint="cs"/>
          <w:b/>
          <w:bCs/>
          <w:rtl/>
        </w:rPr>
        <w:t>"עבירות הנשק, שבית משפט זה ראה לטוב לפניו להחמיר בעונשיהן, כפי שהראתה חברתי, היו למכה שאין מנוס מהרתעה מפניה. השילוב בין פוטנציאל עבריינות פלילית לפוטנציאל עבריינות טרור, זו דבר וזו חולירע, מצדיק בעבירות אלה גישת בית שמאי; 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w:t>
      </w:r>
    </w:p>
    <w:p w14:paraId="2FDF40AB" w14:textId="77777777" w:rsidR="00F53022" w:rsidRDefault="00F53022">
      <w:pPr>
        <w:spacing w:after="200" w:line="360" w:lineRule="auto"/>
        <w:contextualSpacing/>
        <w:jc w:val="both"/>
        <w:rPr>
          <w:rFonts w:ascii="Times New Roman" w:hAnsi="Times New Roman"/>
          <w:u w:val="single"/>
          <w:rtl/>
        </w:rPr>
      </w:pPr>
    </w:p>
    <w:p w14:paraId="22C0A3C9" w14:textId="77777777" w:rsidR="00F53022" w:rsidRDefault="00F53022">
      <w:pPr>
        <w:spacing w:after="200" w:line="360" w:lineRule="auto"/>
        <w:contextualSpacing/>
        <w:jc w:val="both"/>
        <w:rPr>
          <w:u w:val="single"/>
          <w:rtl/>
        </w:rPr>
      </w:pPr>
    </w:p>
    <w:p w14:paraId="53580A52" w14:textId="77777777" w:rsidR="00F53022" w:rsidRDefault="00F53022">
      <w:pPr>
        <w:spacing w:after="200" w:line="360" w:lineRule="auto"/>
        <w:contextualSpacing/>
        <w:jc w:val="both"/>
        <w:rPr>
          <w:u w:val="single"/>
          <w:rtl/>
        </w:rPr>
      </w:pPr>
    </w:p>
    <w:p w14:paraId="7390BD62" w14:textId="77777777" w:rsidR="00F53022" w:rsidRDefault="00026C53">
      <w:pPr>
        <w:spacing w:after="200" w:line="360" w:lineRule="auto"/>
        <w:contextualSpacing/>
        <w:jc w:val="both"/>
        <w:rPr>
          <w:b/>
          <w:bCs/>
          <w:rtl/>
        </w:rPr>
      </w:pPr>
      <w:r>
        <w:rPr>
          <w:rFonts w:hint="cs"/>
          <w:b/>
          <w:bCs/>
          <w:u w:val="single"/>
          <w:rtl/>
        </w:rPr>
        <w:t>רמת הענישה הנוהגת</w:t>
      </w:r>
      <w:r>
        <w:rPr>
          <w:rFonts w:hint="cs"/>
          <w:b/>
          <w:bCs/>
          <w:rtl/>
        </w:rPr>
        <w:t>:</w:t>
      </w:r>
    </w:p>
    <w:p w14:paraId="12BE5164" w14:textId="77777777" w:rsidR="00F53022" w:rsidRDefault="00F53022">
      <w:pPr>
        <w:spacing w:line="360" w:lineRule="auto"/>
        <w:ind w:left="850" w:right="709"/>
        <w:contextualSpacing/>
        <w:jc w:val="both"/>
        <w:rPr>
          <w:rFonts w:ascii="Arial" w:hAnsi="Arial"/>
          <w:b/>
          <w:bCs/>
          <w:rtl/>
        </w:rPr>
      </w:pPr>
    </w:p>
    <w:p w14:paraId="2A451550" w14:textId="77777777" w:rsidR="00F53022" w:rsidRDefault="00026C53">
      <w:pPr>
        <w:numPr>
          <w:ilvl w:val="0"/>
          <w:numId w:val="1"/>
        </w:numPr>
        <w:spacing w:after="200" w:line="360" w:lineRule="auto"/>
        <w:ind w:left="1077"/>
        <w:rPr>
          <w:rFonts w:ascii="Calibri" w:eastAsia="Times New Roman" w:hAnsi="Calibri"/>
          <w:rtl/>
        </w:rPr>
      </w:pPr>
      <w:r>
        <w:rPr>
          <w:rFonts w:ascii="Calibri" w:hAnsi="Calibri" w:hint="cs"/>
          <w:rtl/>
        </w:rPr>
        <w:t>בית המשפט העליון חזר ופסק, כי בעבירות של החזקת נשק יש ליתן משקל מרכזי לאינטרס הציבורי המחייב ענישה מחמירה ומרתיעה בשל החומרה היתירה הנלווית לעבירות אלה ובשל הסיכון הממשי לשלום הציבור הטמון בהן. ב</w:t>
      </w:r>
      <w:hyperlink r:id="rId25" w:history="1">
        <w:r w:rsidRPr="00026C53">
          <w:rPr>
            <w:rFonts w:ascii="Calibri" w:hAnsi="Calibri" w:hint="eastAsia"/>
            <w:color w:val="0000FF"/>
            <w:u w:val="single"/>
            <w:rtl/>
          </w:rPr>
          <w:t>ע</w:t>
        </w:r>
        <w:r w:rsidRPr="00026C53">
          <w:rPr>
            <w:rFonts w:ascii="Calibri" w:hAnsi="Calibri"/>
            <w:color w:val="0000FF"/>
            <w:u w:val="single"/>
            <w:rtl/>
          </w:rPr>
          <w:t>"</w:t>
        </w:r>
        <w:r w:rsidRPr="00026C53">
          <w:rPr>
            <w:rFonts w:ascii="Calibri" w:hAnsi="Calibri" w:hint="eastAsia"/>
            <w:color w:val="0000FF"/>
            <w:u w:val="single"/>
            <w:rtl/>
          </w:rPr>
          <w:t>פ</w:t>
        </w:r>
        <w:r w:rsidRPr="00026C53">
          <w:rPr>
            <w:rFonts w:ascii="Calibri" w:hAnsi="Calibri"/>
            <w:color w:val="0000FF"/>
            <w:u w:val="single"/>
            <w:rtl/>
          </w:rPr>
          <w:t xml:space="preserve"> 8899/06</w:t>
        </w:r>
      </w:hyperlink>
      <w:r>
        <w:rPr>
          <w:rFonts w:ascii="Calibri" w:hAnsi="Calibri" w:hint="cs"/>
          <w:rtl/>
        </w:rPr>
        <w:t xml:space="preserve"> </w:t>
      </w:r>
      <w:r>
        <w:rPr>
          <w:rFonts w:ascii="Calibri" w:hAnsi="Calibri" w:hint="cs"/>
          <w:b/>
          <w:bCs/>
          <w:rtl/>
        </w:rPr>
        <w:t>עומר ארמין נגד</w:t>
      </w:r>
      <w:r>
        <w:rPr>
          <w:rFonts w:ascii="Calibri" w:hAnsi="Calibri" w:hint="cs"/>
          <w:rtl/>
        </w:rPr>
        <w:t xml:space="preserve">  </w:t>
      </w:r>
      <w:r>
        <w:rPr>
          <w:rFonts w:ascii="Calibri" w:hAnsi="Calibri" w:hint="cs"/>
          <w:b/>
          <w:bCs/>
          <w:rtl/>
        </w:rPr>
        <w:t>מדינת ישראל</w:t>
      </w:r>
      <w:r>
        <w:rPr>
          <w:rFonts w:ascii="Calibri" w:hAnsi="Calibri" w:hint="cs"/>
          <w:rtl/>
        </w:rPr>
        <w:t xml:space="preserve"> נפסק, כי "</w:t>
      </w:r>
      <w:r>
        <w:rPr>
          <w:rFonts w:ascii="Calibri" w:hAnsi="Calibri" w:hint="cs"/>
          <w:b/>
          <w:bCs/>
          <w:rtl/>
        </w:rPr>
        <w:t>בהקשר זה על בית המשפט ליתן דעתו, בין היתר, לסוג הנשק שבו מדובר, לכמותו, לתכלית לשמה הוחזק וכן לשאלה עד כמה מוחשית היא הסכנה שייעשה בו שימוש</w:t>
      </w:r>
      <w:r>
        <w:rPr>
          <w:rFonts w:ascii="Calibri" w:hAnsi="Calibri" w:hint="cs"/>
          <w:rtl/>
        </w:rPr>
        <w:t xml:space="preserve">". מכאן ברור, שחומרת העונש אינה נגזרת מהעונש המירבי הקבוע בצידה של העבירה בלבד. </w:t>
      </w:r>
    </w:p>
    <w:p w14:paraId="374F6971" w14:textId="77777777" w:rsidR="00F53022" w:rsidRDefault="00026C53">
      <w:pPr>
        <w:spacing w:after="200" w:line="360" w:lineRule="auto"/>
        <w:ind w:left="1077"/>
        <w:rPr>
          <w:rFonts w:ascii="Calibri" w:hAnsi="Calibri"/>
          <w:rtl/>
        </w:rPr>
      </w:pPr>
      <w:r>
        <w:rPr>
          <w:rFonts w:ascii="Calibri" w:hAnsi="Calibri" w:hint="cs"/>
          <w:rtl/>
        </w:rPr>
        <w:t xml:space="preserve">קשת הענישה בעבירות של החזקת נשק היא רחבה ביותר ובנסיבות המקרה שלפנינו נעה בין מאסר בדרך של עבודות שירות לבין  3 – 18  חודשי מאסר בפועל. כל מקרה לנסיבותיו, ואין לומר כי העונש הראוי בעבירות אלה הוא לעולם מאסר בפועל מאחורי סורג ובריח, יהיו הנסיבות אשר יהיו. </w:t>
      </w:r>
    </w:p>
    <w:p w14:paraId="7C8CE38C" w14:textId="77777777" w:rsidR="00F53022" w:rsidRDefault="00026C53">
      <w:pPr>
        <w:numPr>
          <w:ilvl w:val="0"/>
          <w:numId w:val="1"/>
        </w:numPr>
        <w:spacing w:after="200" w:line="360" w:lineRule="auto"/>
        <w:ind w:left="1077"/>
        <w:rPr>
          <w:rFonts w:ascii="Calibri" w:hAnsi="Calibri"/>
        </w:rPr>
      </w:pPr>
      <w:r>
        <w:rPr>
          <w:rFonts w:ascii="Calibri" w:hAnsi="Calibri" w:hint="cs"/>
          <w:rtl/>
        </w:rPr>
        <w:t>ב</w:t>
      </w:r>
      <w:hyperlink r:id="rId26" w:history="1">
        <w:r w:rsidRPr="00026C53">
          <w:rPr>
            <w:rFonts w:ascii="Calibri" w:hAnsi="Calibri" w:hint="eastAsia"/>
            <w:color w:val="0000FF"/>
            <w:u w:val="single"/>
            <w:rtl/>
          </w:rPr>
          <w:t>ת</w:t>
        </w:r>
        <w:r w:rsidRPr="00026C53">
          <w:rPr>
            <w:rFonts w:ascii="Calibri" w:hAnsi="Calibri"/>
            <w:color w:val="0000FF"/>
            <w:u w:val="single"/>
            <w:rtl/>
          </w:rPr>
          <w:t>"</w:t>
        </w:r>
        <w:r w:rsidRPr="00026C53">
          <w:rPr>
            <w:rFonts w:ascii="Calibri" w:hAnsi="Calibri" w:hint="eastAsia"/>
            <w:color w:val="0000FF"/>
            <w:u w:val="single"/>
            <w:rtl/>
          </w:rPr>
          <w:t>פ</w:t>
        </w:r>
        <w:r w:rsidRPr="00026C53">
          <w:rPr>
            <w:rFonts w:ascii="Calibri" w:hAnsi="Calibri"/>
            <w:color w:val="0000FF"/>
            <w:u w:val="single"/>
            <w:rtl/>
          </w:rPr>
          <w:t xml:space="preserve"> 125/09</w:t>
        </w:r>
      </w:hyperlink>
      <w:r>
        <w:rPr>
          <w:rFonts w:ascii="Calibri" w:hAnsi="Calibri" w:hint="cs"/>
          <w:rtl/>
        </w:rPr>
        <w:t xml:space="preserve"> </w:t>
      </w:r>
      <w:r>
        <w:rPr>
          <w:rFonts w:ascii="Calibri" w:hAnsi="Calibri" w:hint="cs"/>
          <w:b/>
          <w:bCs/>
          <w:rtl/>
        </w:rPr>
        <w:t xml:space="preserve">מדינת ישראל נ' רודינה פראירה </w:t>
      </w:r>
      <w:r>
        <w:rPr>
          <w:rFonts w:ascii="Calibri" w:hAnsi="Calibri" w:hint="cs"/>
          <w:rtl/>
        </w:rPr>
        <w:t xml:space="preserve">הוטל על הנאשמת מספר 1 </w:t>
      </w:r>
      <w:r>
        <w:rPr>
          <w:rFonts w:ascii="Calibri" w:hAnsi="Calibri" w:hint="cs"/>
          <w:u w:val="single"/>
          <w:rtl/>
        </w:rPr>
        <w:t xml:space="preserve">מאסר על תנאי למשך 6 חודשים ושל"צ בהיקף של 220 שעות </w:t>
      </w:r>
      <w:r>
        <w:rPr>
          <w:rFonts w:ascii="Calibri" w:hAnsi="Calibri" w:hint="cs"/>
          <w:rtl/>
        </w:rPr>
        <w:t xml:space="preserve">בגין החזקת אקדח (מדגם יריחו) ומחסנית שהכילה כדורים מסוג </w:t>
      </w:r>
      <w:smartTag w:uri="urn:schemas-microsoft-com:office:smarttags" w:element="metricconverter">
        <w:smartTagPr>
          <w:attr w:name="ProductID" w:val="9 מ&quot;מ"/>
        </w:smartTagPr>
        <w:r>
          <w:rPr>
            <w:rFonts w:ascii="Calibri" w:hAnsi="Calibri" w:hint="cs"/>
            <w:rtl/>
          </w:rPr>
          <w:t>9 מ"מ</w:t>
        </w:r>
      </w:smartTag>
      <w:r>
        <w:rPr>
          <w:rFonts w:ascii="Calibri" w:hAnsi="Calibri" w:hint="cs"/>
          <w:rtl/>
        </w:rPr>
        <w:t xml:space="preserve"> ללא היתר כדין ובנוסף בגין עבירות של שיבוש מהלכי משפט והפרעה לשוטר בשעת מילוי תפקידו. על נאשם מספר 2  הוטלו </w:t>
      </w:r>
      <w:r>
        <w:rPr>
          <w:rFonts w:ascii="Calibri" w:hAnsi="Calibri" w:hint="cs"/>
          <w:u w:val="single"/>
          <w:rtl/>
        </w:rPr>
        <w:t>6 חודשי מאסר שירוצו בעבודות שירות ומאסר על תנאי למשך 10 חודשים</w:t>
      </w:r>
      <w:r>
        <w:rPr>
          <w:rFonts w:ascii="Calibri" w:hAnsi="Calibri" w:hint="cs"/>
          <w:rtl/>
        </w:rPr>
        <w:t xml:space="preserve">  בגין  החזקת אקדח (מדגם יריחו) ומחסנית שהכילה כדורים מסוג </w:t>
      </w:r>
      <w:smartTag w:uri="urn:schemas-microsoft-com:office:smarttags" w:element="metricconverter">
        <w:smartTagPr>
          <w:attr w:name="ProductID" w:val="9 מ&quot;מ"/>
        </w:smartTagPr>
        <w:r>
          <w:rPr>
            <w:rFonts w:ascii="Calibri" w:hAnsi="Calibri" w:hint="cs"/>
            <w:rtl/>
          </w:rPr>
          <w:t>9 מ"מ</w:t>
        </w:r>
      </w:smartTag>
      <w:r>
        <w:rPr>
          <w:rFonts w:ascii="Calibri" w:hAnsi="Calibri" w:hint="cs"/>
          <w:rtl/>
        </w:rPr>
        <w:t xml:space="preserve"> ללא היתר כדין ובהחזקת נשק מסוג תחמושת.  </w:t>
      </w:r>
    </w:p>
    <w:p w14:paraId="44026759" w14:textId="77777777" w:rsidR="00F53022" w:rsidRDefault="00026C53">
      <w:pPr>
        <w:spacing w:after="200" w:line="360" w:lineRule="auto"/>
        <w:ind w:left="1077"/>
        <w:rPr>
          <w:rFonts w:ascii="Calibri" w:hAnsi="Calibri"/>
        </w:rPr>
      </w:pPr>
      <w:r>
        <w:rPr>
          <w:rFonts w:ascii="Calibri" w:hAnsi="Calibri" w:hint="cs"/>
          <w:rtl/>
        </w:rPr>
        <w:t xml:space="preserve">מדובר בבעל ואישה שהודו במסגרת הסדר טיעון בכתב האישום שייחס להם עבירות של החזקת נשק. נשק מדגם יריחו קצר ומחסנית שהכילה כדורים מסוג </w:t>
      </w:r>
      <w:smartTag w:uri="urn:schemas-microsoft-com:office:smarttags" w:element="metricconverter">
        <w:smartTagPr>
          <w:attr w:name="ProductID" w:val="9 מ&quot;מ"/>
        </w:smartTagPr>
        <w:r>
          <w:rPr>
            <w:rFonts w:ascii="Calibri" w:hAnsi="Calibri" w:hint="cs"/>
            <w:rtl/>
          </w:rPr>
          <w:t>9 מ"מ</w:t>
        </w:r>
      </w:smartTag>
      <w:r>
        <w:rPr>
          <w:rFonts w:ascii="Calibri" w:hAnsi="Calibri" w:hint="cs"/>
          <w:rtl/>
        </w:rPr>
        <w:t xml:space="preserve"> , אשר נגנבו מבית. הנאשם החביא הנשק בביתו במקום מסתור ובידיעת הנאשמת. כשהשוטרים הגיעו אל ביתם של הנאשמים, הנאשמת נטלה הנשק והחביאהו מתחת לבגדיה התחתונים במטרה לסכל את מטרת החיפוש. כמו כן, נאשם 2 הואשם בהחזקת תחמושת. בעניין העונש טענו הצדדים באופן חופשי. </w:t>
      </w:r>
    </w:p>
    <w:p w14:paraId="2B4393FB" w14:textId="77777777" w:rsidR="00F53022" w:rsidRDefault="00026C53">
      <w:pPr>
        <w:spacing w:after="200" w:line="360" w:lineRule="auto"/>
        <w:ind w:left="1077"/>
        <w:rPr>
          <w:rFonts w:ascii="Calibri" w:hAnsi="Calibri"/>
        </w:rPr>
      </w:pPr>
      <w:r>
        <w:rPr>
          <w:rFonts w:ascii="Calibri" w:hAnsi="Calibri" w:hint="cs"/>
          <w:rtl/>
        </w:rPr>
        <w:t xml:space="preserve">על גזר דין זה לא הוגש ערעור. </w:t>
      </w:r>
    </w:p>
    <w:p w14:paraId="5A90C512" w14:textId="77777777" w:rsidR="00F53022" w:rsidRDefault="00F53022">
      <w:pPr>
        <w:spacing w:after="200" w:line="360" w:lineRule="auto"/>
        <w:ind w:left="1077"/>
        <w:rPr>
          <w:rFonts w:ascii="Calibri" w:hAnsi="Calibri"/>
          <w:rtl/>
        </w:rPr>
      </w:pPr>
    </w:p>
    <w:p w14:paraId="7EE528EA" w14:textId="77777777" w:rsidR="00F53022" w:rsidRDefault="00F53022">
      <w:pPr>
        <w:spacing w:after="200" w:line="360" w:lineRule="auto"/>
        <w:ind w:left="1077"/>
        <w:rPr>
          <w:rFonts w:ascii="Calibri" w:hAnsi="Calibri"/>
          <w:rtl/>
        </w:rPr>
      </w:pPr>
    </w:p>
    <w:p w14:paraId="385F8FFF" w14:textId="77777777" w:rsidR="00F53022" w:rsidRDefault="00026C53">
      <w:pPr>
        <w:numPr>
          <w:ilvl w:val="0"/>
          <w:numId w:val="1"/>
        </w:numPr>
        <w:spacing w:after="200" w:line="360" w:lineRule="auto"/>
        <w:ind w:left="1077"/>
        <w:rPr>
          <w:rFonts w:ascii="Calibri" w:hAnsi="Calibri"/>
          <w:rtl/>
        </w:rPr>
      </w:pPr>
      <w:r>
        <w:rPr>
          <w:rFonts w:ascii="Calibri" w:hAnsi="Calibri" w:hint="cs"/>
          <w:rtl/>
        </w:rPr>
        <w:t>ב</w:t>
      </w:r>
      <w:hyperlink r:id="rId27" w:history="1">
        <w:r w:rsidRPr="00026C53">
          <w:rPr>
            <w:rFonts w:ascii="Calibri" w:hAnsi="Calibri" w:hint="eastAsia"/>
            <w:color w:val="0000FF"/>
            <w:u w:val="single"/>
            <w:rtl/>
          </w:rPr>
          <w:t>ת</w:t>
        </w:r>
        <w:r w:rsidRPr="00026C53">
          <w:rPr>
            <w:rFonts w:ascii="Calibri" w:hAnsi="Calibri"/>
            <w:color w:val="0000FF"/>
            <w:u w:val="single"/>
            <w:rtl/>
          </w:rPr>
          <w:t>"</w:t>
        </w:r>
        <w:r w:rsidRPr="00026C53">
          <w:rPr>
            <w:rFonts w:ascii="Calibri" w:hAnsi="Calibri" w:hint="eastAsia"/>
            <w:color w:val="0000FF"/>
            <w:u w:val="single"/>
            <w:rtl/>
          </w:rPr>
          <w:t>פ</w:t>
        </w:r>
        <w:r w:rsidRPr="00026C53">
          <w:rPr>
            <w:rFonts w:ascii="Calibri" w:hAnsi="Calibri"/>
            <w:color w:val="0000FF"/>
            <w:u w:val="single"/>
            <w:rtl/>
          </w:rPr>
          <w:t xml:space="preserve"> 8842/08</w:t>
        </w:r>
      </w:hyperlink>
      <w:r>
        <w:rPr>
          <w:rFonts w:ascii="Calibri" w:hAnsi="Calibri" w:hint="cs"/>
          <w:rtl/>
        </w:rPr>
        <w:t xml:space="preserve"> </w:t>
      </w:r>
      <w:r>
        <w:rPr>
          <w:rFonts w:ascii="Calibri" w:hAnsi="Calibri" w:hint="cs"/>
          <w:b/>
          <w:bCs/>
          <w:rtl/>
        </w:rPr>
        <w:t>מדינת ישראל נ' מיסאא ברהם</w:t>
      </w:r>
      <w:r>
        <w:rPr>
          <w:rFonts w:ascii="Calibri" w:hAnsi="Calibri" w:hint="cs"/>
          <w:rtl/>
        </w:rPr>
        <w:t xml:space="preserve"> הוטל על הנאשמת </w:t>
      </w:r>
      <w:r>
        <w:rPr>
          <w:rFonts w:ascii="Calibri" w:hAnsi="Calibri" w:hint="cs"/>
          <w:u w:val="single"/>
          <w:rtl/>
        </w:rPr>
        <w:t xml:space="preserve">מאסר על תנאי של 6 חודשים ותשלום קנס של 5,000 ₪ </w:t>
      </w:r>
      <w:r>
        <w:rPr>
          <w:rFonts w:ascii="Calibri" w:hAnsi="Calibri" w:hint="cs"/>
          <w:rtl/>
        </w:rPr>
        <w:t xml:space="preserve">בגין סיוע לבצע עבירה בנשק בצירוף </w:t>
      </w:r>
      <w:hyperlink r:id="rId28" w:history="1">
        <w:r w:rsidR="00633541" w:rsidRPr="00633541">
          <w:rPr>
            <w:rStyle w:val="Hyperlink"/>
            <w:rFonts w:ascii="Calibri" w:hAnsi="Calibri" w:hint="eastAsia"/>
            <w:rtl/>
          </w:rPr>
          <w:t>סעיף</w:t>
        </w:r>
        <w:r w:rsidR="00633541" w:rsidRPr="00633541">
          <w:rPr>
            <w:rStyle w:val="Hyperlink"/>
            <w:rFonts w:ascii="Calibri" w:hAnsi="Calibri"/>
            <w:rtl/>
          </w:rPr>
          <w:t xml:space="preserve"> 31</w:t>
        </w:r>
      </w:hyperlink>
      <w:r>
        <w:rPr>
          <w:rFonts w:ascii="Calibri" w:hAnsi="Calibri" w:hint="cs"/>
          <w:rtl/>
        </w:rPr>
        <w:t xml:space="preserve"> ל</w:t>
      </w:r>
      <w:hyperlink r:id="rId29" w:history="1">
        <w:r w:rsidRPr="00026C53">
          <w:rPr>
            <w:rFonts w:ascii="Calibri" w:hAnsi="Calibri" w:hint="eastAsia"/>
            <w:color w:val="0000FF"/>
            <w:u w:val="single"/>
            <w:rtl/>
          </w:rPr>
          <w:t>חוק</w:t>
        </w:r>
        <w:r w:rsidRPr="00026C53">
          <w:rPr>
            <w:rFonts w:ascii="Calibri" w:hAnsi="Calibri"/>
            <w:color w:val="0000FF"/>
            <w:u w:val="single"/>
            <w:rtl/>
          </w:rPr>
          <w:t xml:space="preserve"> </w:t>
        </w:r>
        <w:r w:rsidRPr="00026C53">
          <w:rPr>
            <w:rFonts w:ascii="Calibri" w:hAnsi="Calibri" w:hint="eastAsia"/>
            <w:color w:val="0000FF"/>
            <w:u w:val="single"/>
            <w:rtl/>
          </w:rPr>
          <w:t>העונשין</w:t>
        </w:r>
      </w:hyperlink>
      <w:r>
        <w:rPr>
          <w:rFonts w:ascii="Calibri" w:hAnsi="Calibri" w:hint="cs"/>
          <w:rtl/>
        </w:rPr>
        <w:t>.</w:t>
      </w:r>
    </w:p>
    <w:p w14:paraId="4523EE32" w14:textId="77777777" w:rsidR="00F53022" w:rsidRDefault="00026C53">
      <w:pPr>
        <w:spacing w:after="200" w:line="360" w:lineRule="auto"/>
        <w:ind w:left="1077"/>
        <w:rPr>
          <w:rFonts w:ascii="Calibri" w:hAnsi="Calibri"/>
        </w:rPr>
      </w:pPr>
      <w:r>
        <w:rPr>
          <w:rFonts w:ascii="Calibri" w:hAnsi="Calibri" w:hint="cs"/>
          <w:rtl/>
        </w:rPr>
        <w:t xml:space="preserve">מדובר בנאשמים נשואים, שנערך חיפוש בביתם ונמצאו 2 אקדחים וכדורים.  קודם לתפישת האקדח הוציאה הנאשמת אקדח שהיה עטוף ומוחבא על גופה וניסתה להחביאו בארון הבגדים. </w:t>
      </w:r>
    </w:p>
    <w:p w14:paraId="0E75D5B9" w14:textId="77777777" w:rsidR="00F53022" w:rsidRDefault="00026C53">
      <w:pPr>
        <w:spacing w:after="200" w:line="360" w:lineRule="auto"/>
        <w:ind w:left="1077"/>
        <w:rPr>
          <w:rFonts w:ascii="Calibri" w:hAnsi="Calibri"/>
        </w:rPr>
      </w:pPr>
      <w:r>
        <w:rPr>
          <w:rFonts w:ascii="Calibri" w:hAnsi="Calibri" w:hint="cs"/>
          <w:rtl/>
        </w:rPr>
        <w:t xml:space="preserve">בית המשפט בגזר דינו ציין, כי לאור העובדה שמדובר באשה נורמטיבית שביצעה העבירה רק משום שהיה ברור לה שבעלה מבקש לעשות זאת. </w:t>
      </w:r>
    </w:p>
    <w:p w14:paraId="5994E0B7" w14:textId="77777777" w:rsidR="00F53022" w:rsidRDefault="00026C53">
      <w:pPr>
        <w:spacing w:after="200" w:line="360" w:lineRule="auto"/>
        <w:ind w:left="1077"/>
        <w:rPr>
          <w:rFonts w:ascii="Calibri" w:hAnsi="Calibri"/>
          <w:rtl/>
        </w:rPr>
      </w:pPr>
      <w:r>
        <w:rPr>
          <w:rFonts w:ascii="Calibri" w:hAnsi="Calibri" w:hint="cs"/>
          <w:rtl/>
        </w:rPr>
        <w:t xml:space="preserve">על גזר דין זה לא הוגש ערעור.  </w:t>
      </w:r>
    </w:p>
    <w:p w14:paraId="3F7DA366" w14:textId="77777777" w:rsidR="00F53022" w:rsidRDefault="00026C53">
      <w:pPr>
        <w:numPr>
          <w:ilvl w:val="0"/>
          <w:numId w:val="1"/>
        </w:numPr>
        <w:spacing w:after="200" w:line="360" w:lineRule="auto"/>
        <w:contextualSpacing/>
        <w:jc w:val="both"/>
        <w:rPr>
          <w:rFonts w:ascii="Times New Roman" w:hAnsi="Times New Roman"/>
          <w:noProof/>
          <w:rtl/>
        </w:rPr>
      </w:pPr>
      <w:r>
        <w:rPr>
          <w:rFonts w:hint="cs"/>
          <w:noProof/>
          <w:rtl/>
        </w:rPr>
        <w:t>ב</w:t>
      </w:r>
      <w:hyperlink r:id="rId30" w:history="1">
        <w:r w:rsidRPr="00026C53">
          <w:rPr>
            <w:noProof/>
            <w:color w:val="0000FF"/>
            <w:u w:val="single"/>
            <w:rtl/>
          </w:rPr>
          <w:t>ת"פ ( ת"א – יפו) 41883-03-10</w:t>
        </w:r>
      </w:hyperlink>
      <w:r>
        <w:rPr>
          <w:rFonts w:hint="cs"/>
          <w:noProof/>
          <w:rtl/>
        </w:rPr>
        <w:t xml:space="preserve"> </w:t>
      </w:r>
      <w:r>
        <w:rPr>
          <w:rFonts w:hint="cs"/>
          <w:b/>
          <w:bCs/>
          <w:noProof/>
          <w:rtl/>
        </w:rPr>
        <w:t>מדינת ישראל נ' אופיר נהארי</w:t>
      </w:r>
      <w:r>
        <w:rPr>
          <w:rFonts w:hint="cs"/>
          <w:noProof/>
          <w:rtl/>
        </w:rPr>
        <w:t xml:space="preserve"> רכש הנאשם אקדח משוטרת לאחר שיצר קשר עם אנשים שונים ואף נכנס לאתר אינטרנט בכדי לרכוש אקדח. לאור המלצת שירות המבחן הטיל בית המשפט המחוזי </w:t>
      </w:r>
      <w:r>
        <w:rPr>
          <w:rFonts w:hint="cs"/>
          <w:noProof/>
          <w:u w:val="single"/>
          <w:rtl/>
        </w:rPr>
        <w:t>מאסר על תנאי, צו של"צ, צו מבחן</w:t>
      </w:r>
      <w:r>
        <w:rPr>
          <w:rFonts w:hint="cs"/>
          <w:b/>
          <w:bCs/>
          <w:noProof/>
          <w:rtl/>
        </w:rPr>
        <w:t>.</w:t>
      </w:r>
    </w:p>
    <w:p w14:paraId="51F24E81" w14:textId="77777777" w:rsidR="00F53022" w:rsidRDefault="00F53022">
      <w:pPr>
        <w:spacing w:line="360" w:lineRule="auto"/>
        <w:ind w:left="360"/>
        <w:contextualSpacing/>
        <w:jc w:val="both"/>
        <w:rPr>
          <w:noProof/>
        </w:rPr>
      </w:pPr>
    </w:p>
    <w:p w14:paraId="57BA8B85" w14:textId="77777777" w:rsidR="00F53022" w:rsidRDefault="00026C53">
      <w:pPr>
        <w:numPr>
          <w:ilvl w:val="0"/>
          <w:numId w:val="1"/>
        </w:numPr>
        <w:spacing w:after="200" w:line="360" w:lineRule="auto"/>
        <w:contextualSpacing/>
        <w:jc w:val="both"/>
        <w:rPr>
          <w:noProof/>
        </w:rPr>
      </w:pPr>
      <w:hyperlink r:id="rId31" w:history="1">
        <w:r w:rsidRPr="00026C53">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נקבע כי דרך המלך בעבירות נשק, לרבות החזקת נשק, צריכה להיות מאסר מאחורי סורג ובריח, כשאורך התקופה כרוך בנסיבות הספציפיות של העושה והמעשה. על המערער הוטלו </w:t>
      </w:r>
      <w:r>
        <w:rPr>
          <w:rFonts w:hint="cs"/>
          <w:u w:val="single"/>
          <w:rtl/>
        </w:rPr>
        <w:t>6 חודשי מאסר בפועל</w:t>
      </w:r>
      <w:r>
        <w:rPr>
          <w:rFonts w:hint="cs"/>
          <w:rtl/>
        </w:rPr>
        <w:t xml:space="preserve"> בגין החזקת נשק ותחמושת ולאחר שנדחתה טענתו להגנה עצמית. בית המשפט איזן בין חומרת העבירה לבין עברו הנקי ואורח חייו הנורמטיבי של המערער. </w:t>
      </w:r>
      <w:r>
        <w:rPr>
          <w:rFonts w:hint="cs"/>
          <w:color w:val="FF0000"/>
          <w:rtl/>
        </w:rPr>
        <w:t xml:space="preserve"> </w:t>
      </w:r>
    </w:p>
    <w:p w14:paraId="2A87534C" w14:textId="77777777" w:rsidR="00F53022" w:rsidRDefault="00F53022">
      <w:pPr>
        <w:spacing w:line="360" w:lineRule="auto"/>
        <w:ind w:left="360"/>
        <w:contextualSpacing/>
        <w:jc w:val="both"/>
        <w:rPr>
          <w:noProof/>
        </w:rPr>
      </w:pPr>
    </w:p>
    <w:p w14:paraId="24934641" w14:textId="77777777" w:rsidR="00F53022" w:rsidRDefault="00026C53">
      <w:pPr>
        <w:numPr>
          <w:ilvl w:val="0"/>
          <w:numId w:val="1"/>
        </w:numPr>
        <w:spacing w:after="200" w:line="360" w:lineRule="auto"/>
        <w:ind w:left="1077"/>
        <w:rPr>
          <w:rFonts w:ascii="Calibri" w:eastAsia="Times New Roman" w:hAnsi="Calibri"/>
        </w:rPr>
      </w:pPr>
      <w:hyperlink r:id="rId32" w:history="1">
        <w:r w:rsidRPr="00026C53">
          <w:rPr>
            <w:rFonts w:ascii="Calibri" w:hAnsi="Calibri" w:hint="eastAsia"/>
            <w:color w:val="0000FF"/>
            <w:u w:val="single"/>
            <w:rtl/>
          </w:rPr>
          <w:t>ע</w:t>
        </w:r>
        <w:r w:rsidRPr="00026C53">
          <w:rPr>
            <w:rFonts w:ascii="Calibri" w:hAnsi="Calibri"/>
            <w:color w:val="0000FF"/>
            <w:u w:val="single"/>
            <w:rtl/>
          </w:rPr>
          <w:t>"</w:t>
        </w:r>
        <w:r w:rsidRPr="00026C53">
          <w:rPr>
            <w:rFonts w:ascii="Calibri" w:hAnsi="Calibri" w:hint="eastAsia"/>
            <w:color w:val="0000FF"/>
            <w:u w:val="single"/>
            <w:rtl/>
          </w:rPr>
          <w:t>פ</w:t>
        </w:r>
        <w:r w:rsidRPr="00026C53">
          <w:rPr>
            <w:rFonts w:ascii="Calibri" w:hAnsi="Calibri"/>
            <w:color w:val="0000FF"/>
            <w:u w:val="single"/>
            <w:rtl/>
          </w:rPr>
          <w:t xml:space="preserve"> 9615/09</w:t>
        </w:r>
      </w:hyperlink>
      <w:r>
        <w:rPr>
          <w:rFonts w:ascii="Calibri" w:hAnsi="Calibri" w:hint="cs"/>
          <w:rtl/>
        </w:rPr>
        <w:t xml:space="preserve"> </w:t>
      </w:r>
      <w:r>
        <w:rPr>
          <w:rFonts w:ascii="Calibri" w:hAnsi="Calibri" w:hint="cs"/>
          <w:b/>
          <w:bCs/>
          <w:rtl/>
        </w:rPr>
        <w:t xml:space="preserve">אשרף חטיב נגד מדינת ישראל </w:t>
      </w:r>
      <w:r>
        <w:rPr>
          <w:rFonts w:ascii="Calibri" w:hAnsi="Calibri" w:hint="cs"/>
          <w:rtl/>
        </w:rPr>
        <w:t xml:space="preserve">נדון עניינו של רופא שיניים אשר הורשע על פי הודאתו בהחזקת אקדח, מחסנית ותחמושת שלא כדין. בית המשפט העליון קבע כי המערער באותו מקרה ישא את עונשו </w:t>
      </w:r>
      <w:r>
        <w:rPr>
          <w:rFonts w:ascii="Calibri" w:hAnsi="Calibri" w:hint="cs"/>
          <w:u w:val="single"/>
          <w:rtl/>
        </w:rPr>
        <w:t>6 חודשי מאסר בעבודות שירות</w:t>
      </w:r>
      <w:r>
        <w:rPr>
          <w:rFonts w:ascii="Calibri" w:hAnsi="Calibri" w:hint="cs"/>
          <w:rtl/>
        </w:rPr>
        <w:t xml:space="preserve">. בית המשפט התחשב בכך כי הנאשם הינו רופא שיניים, שנמצא מחזיק באקדח, מחסנית ותחמושת שלא כדין. </w:t>
      </w:r>
    </w:p>
    <w:p w14:paraId="40FAF591" w14:textId="77777777" w:rsidR="00F53022" w:rsidRDefault="00026C53">
      <w:pPr>
        <w:numPr>
          <w:ilvl w:val="0"/>
          <w:numId w:val="1"/>
        </w:numPr>
        <w:spacing w:after="200" w:line="360" w:lineRule="auto"/>
        <w:contextualSpacing/>
        <w:jc w:val="both"/>
        <w:rPr>
          <w:rFonts w:ascii="Times New Roman" w:hAnsi="Times New Roman"/>
          <w:noProof/>
        </w:rPr>
      </w:pPr>
      <w:hyperlink r:id="rId33" w:history="1">
        <w:r w:rsidRPr="00026C53">
          <w:rPr>
            <w:color w:val="0000FF"/>
            <w:u w:val="single"/>
            <w:rtl/>
          </w:rPr>
          <w:t>ע"פ 5203/10</w:t>
        </w:r>
      </w:hyperlink>
      <w:r>
        <w:rPr>
          <w:rFonts w:hint="cs"/>
          <w:rtl/>
        </w:rPr>
        <w:t xml:space="preserve"> </w:t>
      </w:r>
      <w:r>
        <w:rPr>
          <w:rFonts w:hint="cs"/>
          <w:b/>
          <w:bCs/>
          <w:rtl/>
        </w:rPr>
        <w:t>ג'ברין נ' מדינת ישראל</w:t>
      </w:r>
      <w:r>
        <w:rPr>
          <w:rFonts w:hint="cs"/>
          <w:rtl/>
        </w:rPr>
        <w:t xml:space="preserve">:  הנאשם הודה בשלב מתקדם של שמיעת הראיות בעבירות של החזקה ונשיאת נשק. הנאשם החזיק שלא כדין אקדח ובו מחסנית, ללא כדורים. הוטלו </w:t>
      </w:r>
      <w:r>
        <w:rPr>
          <w:rFonts w:hint="cs"/>
          <w:u w:val="single"/>
          <w:rtl/>
        </w:rPr>
        <w:t>9 חודשי מאסר בפועל</w:t>
      </w:r>
      <w:r>
        <w:rPr>
          <w:rFonts w:hint="cs"/>
          <w:rtl/>
        </w:rPr>
        <w:t xml:space="preserve"> ומאסר על תנאי. צעיר, ללא עבר פלילי. הערעור לעליון נדחה כאשר נקבע כי העונש לא סוטה מרמת הענישה הנוהגת והעונש שהוטל מתון נוכח חומרת העבירה. </w:t>
      </w:r>
    </w:p>
    <w:p w14:paraId="76ABA03A" w14:textId="77777777" w:rsidR="00F53022" w:rsidRDefault="00F53022">
      <w:pPr>
        <w:spacing w:line="360" w:lineRule="auto"/>
        <w:ind w:left="360"/>
        <w:contextualSpacing/>
        <w:jc w:val="both"/>
        <w:rPr>
          <w:noProof/>
        </w:rPr>
      </w:pPr>
    </w:p>
    <w:p w14:paraId="312EC822" w14:textId="77777777" w:rsidR="00F53022" w:rsidRDefault="00026C53">
      <w:pPr>
        <w:numPr>
          <w:ilvl w:val="0"/>
          <w:numId w:val="1"/>
        </w:numPr>
        <w:spacing w:after="200" w:line="360" w:lineRule="auto"/>
        <w:ind w:left="1077"/>
        <w:rPr>
          <w:rFonts w:ascii="Calibri" w:eastAsia="Times New Roman" w:hAnsi="Calibri"/>
        </w:rPr>
      </w:pPr>
      <w:r>
        <w:rPr>
          <w:rFonts w:ascii="Calibri" w:hAnsi="Calibri" w:hint="cs"/>
          <w:rtl/>
        </w:rPr>
        <w:t>ב</w:t>
      </w:r>
      <w:hyperlink r:id="rId34" w:history="1">
        <w:r w:rsidRPr="00026C53">
          <w:rPr>
            <w:rFonts w:ascii="Calibri" w:hAnsi="Calibri" w:hint="eastAsia"/>
            <w:color w:val="0000FF"/>
            <w:u w:val="single"/>
            <w:rtl/>
          </w:rPr>
          <w:t>רע</w:t>
        </w:r>
        <w:r w:rsidRPr="00026C53">
          <w:rPr>
            <w:rFonts w:ascii="Calibri" w:hAnsi="Calibri"/>
            <w:color w:val="0000FF"/>
            <w:u w:val="single"/>
            <w:rtl/>
          </w:rPr>
          <w:t>"</w:t>
        </w:r>
        <w:r w:rsidRPr="00026C53">
          <w:rPr>
            <w:rFonts w:ascii="Calibri" w:hAnsi="Calibri" w:hint="eastAsia"/>
            <w:color w:val="0000FF"/>
            <w:u w:val="single"/>
            <w:rtl/>
          </w:rPr>
          <w:t>פ</w:t>
        </w:r>
        <w:r w:rsidRPr="00026C53">
          <w:rPr>
            <w:rFonts w:ascii="Calibri" w:hAnsi="Calibri"/>
            <w:color w:val="0000FF"/>
            <w:u w:val="single"/>
            <w:rtl/>
          </w:rPr>
          <w:t xml:space="preserve"> 3153/09</w:t>
        </w:r>
      </w:hyperlink>
      <w:r>
        <w:rPr>
          <w:rFonts w:ascii="Calibri" w:hAnsi="Calibri" w:hint="cs"/>
          <w:rtl/>
        </w:rPr>
        <w:t xml:space="preserve"> </w:t>
      </w:r>
      <w:r>
        <w:rPr>
          <w:rFonts w:ascii="Calibri" w:hAnsi="Calibri" w:hint="cs"/>
          <w:b/>
          <w:bCs/>
          <w:rtl/>
        </w:rPr>
        <w:t>רביע עואד חורי נ' מדינת ישראל</w:t>
      </w:r>
      <w:r>
        <w:rPr>
          <w:rFonts w:ascii="Calibri" w:hAnsi="Calibri" w:hint="cs"/>
          <w:rtl/>
        </w:rPr>
        <w:t xml:space="preserve">, דחה בית המשפט העליון בקשת רשות ערעור על פסק דינו של בית המשפט המחוזי בחיפה, אשר הטיל </w:t>
      </w:r>
      <w:r>
        <w:rPr>
          <w:rFonts w:ascii="Calibri" w:hAnsi="Calibri" w:hint="cs"/>
          <w:u w:val="single"/>
          <w:rtl/>
        </w:rPr>
        <w:t>11 חודשי מאסר בפועל</w:t>
      </w:r>
      <w:r>
        <w:rPr>
          <w:rFonts w:ascii="Calibri" w:hAnsi="Calibri" w:hint="cs"/>
          <w:rtl/>
        </w:rPr>
        <w:t xml:space="preserve"> מאחורי סורג ובריח, בגין החזקת אקדח, מחסנית ובה 8 כדורים ושקית ובה 40 כדורים. בית המשפט העליון הפנה לקביעת בית המשפט המחוזי לפיה אף שלטענת המבקש </w:t>
      </w:r>
      <w:r>
        <w:rPr>
          <w:rFonts w:ascii="Calibri" w:hAnsi="Calibri" w:hint="cs"/>
          <w:u w:val="single"/>
          <w:rtl/>
        </w:rPr>
        <w:t>מצא</w:t>
      </w:r>
      <w:r>
        <w:rPr>
          <w:rFonts w:ascii="Calibri" w:hAnsi="Calibri" w:hint="cs"/>
          <w:rtl/>
        </w:rPr>
        <w:t xml:space="preserve"> את האקדח, היה עליו למסרו למשטרה או לדווח על כך וציין כי למבקש עבר פלילי בעבירות אלימות איומים והחזקת סכין. </w:t>
      </w:r>
    </w:p>
    <w:p w14:paraId="6AC08BF4" w14:textId="77777777" w:rsidR="00F53022" w:rsidRDefault="00026C53">
      <w:pPr>
        <w:numPr>
          <w:ilvl w:val="0"/>
          <w:numId w:val="1"/>
        </w:numPr>
        <w:spacing w:after="200" w:line="360" w:lineRule="auto"/>
        <w:contextualSpacing/>
        <w:jc w:val="both"/>
        <w:rPr>
          <w:rFonts w:ascii="Times New Roman" w:hAnsi="Times New Roman"/>
          <w:noProof/>
        </w:rPr>
      </w:pPr>
      <w:r>
        <w:rPr>
          <w:rFonts w:hint="cs"/>
          <w:rtl/>
        </w:rPr>
        <w:t>ב</w:t>
      </w:r>
      <w:hyperlink r:id="rId35" w:history="1">
        <w:r w:rsidRPr="00026C53">
          <w:rPr>
            <w:color w:val="0000FF"/>
            <w:u w:val="single"/>
            <w:rtl/>
          </w:rPr>
          <w:t>ת"פ (מרכז) 11059-05-12</w:t>
        </w:r>
      </w:hyperlink>
      <w:r>
        <w:rPr>
          <w:rFonts w:hint="cs"/>
          <w:rtl/>
        </w:rPr>
        <w:t xml:space="preserve"> </w:t>
      </w:r>
      <w:r>
        <w:rPr>
          <w:rFonts w:hint="cs"/>
          <w:b/>
          <w:bCs/>
          <w:rtl/>
        </w:rPr>
        <w:t>מדינת ישראל נ' אבו מוסא ואח'</w:t>
      </w:r>
      <w:r>
        <w:rPr>
          <w:rFonts w:hint="cs"/>
          <w:rtl/>
        </w:rPr>
        <w:t xml:space="preserve"> החזיקו כלי נשק טעון.  החזקת הנשק בעסק היתה למטרת הגנה עצמית. אחד הנאשמים הואשם בנוסף גם בירי במקום מגורים כיון שירה על רעולי פנים שפרצו לעסקו. בית המשפט המחוזי מרכז קבע למעשה, בנסיבותיו, </w:t>
      </w:r>
      <w:r>
        <w:rPr>
          <w:rFonts w:hint="cs"/>
          <w:b/>
          <w:bCs/>
          <w:rtl/>
        </w:rPr>
        <w:t xml:space="preserve">מתחם </w:t>
      </w:r>
      <w:r>
        <w:rPr>
          <w:rFonts w:hint="cs"/>
          <w:rtl/>
        </w:rPr>
        <w:t xml:space="preserve">שבין עבודות שירות לבין 18 חודשי מאסר בפועל, והטיל על הנאשמים מאסר לריצוי בדרך של </w:t>
      </w:r>
      <w:r>
        <w:rPr>
          <w:rFonts w:hint="cs"/>
          <w:u w:val="single"/>
          <w:rtl/>
        </w:rPr>
        <w:t>עבודות שירות</w:t>
      </w:r>
      <w:r>
        <w:rPr>
          <w:rFonts w:hint="cs"/>
          <w:rtl/>
        </w:rPr>
        <w:t xml:space="preserve"> לתקופות שונות, הגם שלשני הנאשמים עבר פלילי ולאחד מהם עבר בהחזקת נשק קר-סכין.</w:t>
      </w:r>
    </w:p>
    <w:p w14:paraId="77C5F40B" w14:textId="77777777" w:rsidR="00F53022" w:rsidRDefault="00F53022">
      <w:pPr>
        <w:spacing w:after="200" w:line="360" w:lineRule="auto"/>
        <w:ind w:left="360"/>
        <w:contextualSpacing/>
        <w:jc w:val="both"/>
        <w:rPr>
          <w:noProof/>
        </w:rPr>
      </w:pPr>
    </w:p>
    <w:p w14:paraId="00303320" w14:textId="77777777" w:rsidR="00F53022" w:rsidRDefault="00026C53">
      <w:pPr>
        <w:numPr>
          <w:ilvl w:val="0"/>
          <w:numId w:val="1"/>
        </w:numPr>
        <w:spacing w:after="200" w:line="360" w:lineRule="auto"/>
        <w:contextualSpacing/>
        <w:jc w:val="both"/>
        <w:rPr>
          <w:noProof/>
        </w:rPr>
      </w:pPr>
      <w:r>
        <w:rPr>
          <w:rFonts w:hint="cs"/>
          <w:noProof/>
          <w:rtl/>
        </w:rPr>
        <w:t xml:space="preserve">בהתחשב בחומרת העבירה, בנסיבות ביצועה, במידת אשמתה של הנאשמת, בערך החברתי שנפגע, במידת הפגיעה בו ובמדיניות הענישה הנוהגת, מתחם העונש ההולם למעשה העבירה, נע בין 3 חודשי מאסר בפועל, אשר יכול </w:t>
      </w:r>
      <w:r>
        <w:rPr>
          <w:rFonts w:hint="cs"/>
          <w:rtl/>
        </w:rPr>
        <w:t>אשר יכול וירוצו בעבודות שירות, לבין 18 חודשי מאסר בפועל וקנס בשיעור שבין 3,000 ₪ לבין 15,000 ₪.</w:t>
      </w:r>
    </w:p>
    <w:p w14:paraId="5426001B" w14:textId="77777777" w:rsidR="00F53022" w:rsidRDefault="00F53022">
      <w:pPr>
        <w:spacing w:after="200" w:line="360" w:lineRule="auto"/>
        <w:ind w:left="1080"/>
        <w:contextualSpacing/>
        <w:jc w:val="both"/>
        <w:rPr>
          <w:noProof/>
        </w:rPr>
      </w:pPr>
    </w:p>
    <w:p w14:paraId="50DEEF77" w14:textId="77777777" w:rsidR="00F53022" w:rsidRDefault="00026C53">
      <w:pPr>
        <w:spacing w:after="200" w:line="360" w:lineRule="auto"/>
        <w:jc w:val="both"/>
        <w:rPr>
          <w:rFonts w:ascii="Arial" w:eastAsia="Times New Roman" w:hAnsi="Arial"/>
        </w:rPr>
      </w:pPr>
      <w:r>
        <w:rPr>
          <w:rFonts w:ascii="Arial" w:hAnsi="Arial" w:hint="cs"/>
          <w:b/>
          <w:bCs/>
          <w:u w:val="single"/>
          <w:rtl/>
        </w:rPr>
        <w:t>העונש המתאים לנאשמת בראי הנסיבות שאינן קשורות בביצוע העבירות</w:t>
      </w:r>
      <w:r>
        <w:rPr>
          <w:rFonts w:ascii="Arial" w:hAnsi="Arial" w:hint="cs"/>
          <w:b/>
          <w:bCs/>
          <w:rtl/>
        </w:rPr>
        <w:t>:</w:t>
      </w:r>
      <w:r>
        <w:rPr>
          <w:rFonts w:ascii="Arial" w:hAnsi="Arial" w:hint="cs"/>
          <w:b/>
          <w:bCs/>
          <w:u w:val="single"/>
          <w:rtl/>
        </w:rPr>
        <w:t xml:space="preserve"> </w:t>
      </w:r>
    </w:p>
    <w:p w14:paraId="1395806D" w14:textId="77777777" w:rsidR="00F53022" w:rsidRDefault="00026C53">
      <w:pPr>
        <w:numPr>
          <w:ilvl w:val="0"/>
          <w:numId w:val="1"/>
        </w:numPr>
        <w:spacing w:after="200" w:line="360" w:lineRule="auto"/>
        <w:rPr>
          <w:rFonts w:ascii="Calibri" w:hAnsi="Calibri"/>
        </w:rPr>
      </w:pPr>
      <w:r>
        <w:rPr>
          <w:rFonts w:ascii="Calibri" w:hAnsi="Calibri" w:hint="cs"/>
          <w:rtl/>
        </w:rPr>
        <w:t>טרם גזירת דינה של הנאשמת,  יש לבחון אם מצבה הרפואי מצדיק חריגה מן ההלכה הנוהגת או שמא גם לאור מצבה הרפואי יש להשית על הנאשמת את העונש הראוי בנסיבות העניין במסגרת מתחם העונש ההולם - הוא עונש מאסר בפועל.</w:t>
      </w:r>
    </w:p>
    <w:p w14:paraId="696C810E" w14:textId="77777777" w:rsidR="00F53022" w:rsidRDefault="00026C53">
      <w:pPr>
        <w:spacing w:after="200" w:line="360" w:lineRule="auto"/>
        <w:ind w:left="1080"/>
        <w:rPr>
          <w:rFonts w:ascii="Calibri" w:hAnsi="Calibri"/>
        </w:rPr>
      </w:pPr>
      <w:r>
        <w:rPr>
          <w:rFonts w:ascii="Calibri" w:hAnsi="Calibri" w:hint="cs"/>
          <w:rtl/>
        </w:rPr>
        <w:t xml:space="preserve">מן התיעוד הרפואי, כמו גם מדברי הסנגור, נלמד, כי הנאשמת סובלת מסרטן השד עם גרורות למוח ומתוך בחירה שלה אינה מקבלת כל טיפול רפואי. </w:t>
      </w:r>
    </w:p>
    <w:p w14:paraId="029FDD6B" w14:textId="77777777" w:rsidR="00F53022" w:rsidRDefault="00026C53">
      <w:pPr>
        <w:numPr>
          <w:ilvl w:val="0"/>
          <w:numId w:val="1"/>
        </w:numPr>
        <w:spacing w:after="200" w:line="360" w:lineRule="auto"/>
        <w:rPr>
          <w:rFonts w:ascii="Calibri" w:hAnsi="Calibri"/>
          <w:rtl/>
        </w:rPr>
      </w:pPr>
      <w:r>
        <w:rPr>
          <w:rFonts w:ascii="Calibri" w:hAnsi="Calibri" w:hint="cs"/>
          <w:rtl/>
        </w:rPr>
        <w:t xml:space="preserve">מחד ולאחר ששקלתי את המכלול, כמפורט לעיל, ומתוך כך שאני סבור, כי אכן יש להחמיר בענישתם של מבצעי עבירות נשק, ובכלל זה עבירות של החזקת נשק, הגעתי למסקנה, כי לא ניתן להסתפק בעונש שאיננו כולל מאסר מאחורי סורג ובריח. </w:t>
      </w:r>
    </w:p>
    <w:p w14:paraId="49FDF17E" w14:textId="77777777" w:rsidR="00F53022" w:rsidRDefault="00026C53">
      <w:pPr>
        <w:numPr>
          <w:ilvl w:val="0"/>
          <w:numId w:val="1"/>
        </w:numPr>
        <w:spacing w:after="200" w:line="360" w:lineRule="auto"/>
        <w:rPr>
          <w:rFonts w:ascii="Calibri" w:hAnsi="Calibri"/>
          <w:rtl/>
        </w:rPr>
      </w:pPr>
      <w:r>
        <w:rPr>
          <w:rFonts w:ascii="Calibri" w:hAnsi="Calibri" w:hint="cs"/>
          <w:rtl/>
        </w:rPr>
        <w:t xml:space="preserve">הקריאה לבתי המשפט להחמיר בעונשיהם של מי שמעורבים בהחזקת נשק צריכה לבוא לידי ביטוי בעונשים שיעבירו מסר חד משמעי, כי מי שנותן ידו לסיכון שלום הציבור בדרך זו, צפוי למאסר של ממש , מאחורי סורג ובריח. </w:t>
      </w:r>
    </w:p>
    <w:p w14:paraId="2E263B47" w14:textId="77777777" w:rsidR="00F53022" w:rsidRDefault="00026C53">
      <w:pPr>
        <w:numPr>
          <w:ilvl w:val="0"/>
          <w:numId w:val="1"/>
        </w:numPr>
        <w:spacing w:after="200" w:line="360" w:lineRule="auto"/>
        <w:rPr>
          <w:rFonts w:ascii="Calibri" w:hAnsi="Calibri"/>
          <w:b/>
          <w:bCs/>
          <w:rtl/>
        </w:rPr>
      </w:pPr>
      <w:r>
        <w:rPr>
          <w:rFonts w:ascii="Calibri" w:hAnsi="Calibri" w:hint="cs"/>
          <w:rtl/>
        </w:rPr>
        <w:t xml:space="preserve">מאידך ובאיזון הראוי שבין הענישה ההולמת את נתוני התיק לבין מצבה הרפואי של הנאשמת  ובעיקר הצורך לבצע בדיקות תקופתיות אחת לכמה חודשים- אני סבור, כי יהא זה נכון וראוי להשית עליה מאסר בפועל לתקופה קצרה יחסית, שתיקח בחשבון את הצורך בבצוע הבדיקות וכן את עובדת הודייתה בהזדמנות הראשונה. בעניין מאסר בפועל לחולה סרטן ראה </w:t>
      </w:r>
      <w:hyperlink r:id="rId36" w:history="1">
        <w:r w:rsidRPr="00026C53">
          <w:rPr>
            <w:rFonts w:ascii="Calibri" w:hAnsi="Calibri" w:hint="eastAsia"/>
            <w:color w:val="0000FF"/>
            <w:u w:val="single"/>
            <w:rtl/>
          </w:rPr>
          <w:t>ע</w:t>
        </w:r>
        <w:r w:rsidRPr="00026C53">
          <w:rPr>
            <w:rFonts w:ascii="Calibri" w:hAnsi="Calibri"/>
            <w:color w:val="0000FF"/>
            <w:u w:val="single"/>
            <w:rtl/>
          </w:rPr>
          <w:t>"</w:t>
        </w:r>
        <w:r w:rsidRPr="00026C53">
          <w:rPr>
            <w:rFonts w:ascii="Calibri" w:hAnsi="Calibri" w:hint="eastAsia"/>
            <w:color w:val="0000FF"/>
            <w:u w:val="single"/>
            <w:rtl/>
          </w:rPr>
          <w:t>פ</w:t>
        </w:r>
        <w:r w:rsidRPr="00026C53">
          <w:rPr>
            <w:rFonts w:ascii="Calibri" w:hAnsi="Calibri"/>
            <w:color w:val="0000FF"/>
            <w:u w:val="single"/>
            <w:rtl/>
          </w:rPr>
          <w:t xml:space="preserve"> 433/13</w:t>
        </w:r>
      </w:hyperlink>
      <w:r>
        <w:rPr>
          <w:rFonts w:ascii="Calibri" w:hAnsi="Calibri" w:hint="cs"/>
          <w:rtl/>
        </w:rPr>
        <w:t xml:space="preserve"> </w:t>
      </w:r>
      <w:r>
        <w:rPr>
          <w:rFonts w:ascii="Calibri" w:hAnsi="Calibri" w:hint="cs"/>
          <w:b/>
          <w:bCs/>
          <w:rtl/>
        </w:rPr>
        <w:t>פלוני נ' מדינת ישראל</w:t>
      </w:r>
      <w:r>
        <w:rPr>
          <w:rFonts w:ascii="Calibri" w:hAnsi="Calibri" w:hint="cs"/>
          <w:rtl/>
        </w:rPr>
        <w:t xml:space="preserve"> וגם </w:t>
      </w:r>
      <w:hyperlink r:id="rId37" w:history="1">
        <w:r w:rsidRPr="00026C53">
          <w:rPr>
            <w:rFonts w:ascii="Calibri" w:hAnsi="Calibri" w:hint="eastAsia"/>
            <w:color w:val="0000FF"/>
            <w:u w:val="single"/>
            <w:rtl/>
          </w:rPr>
          <w:t>רע</w:t>
        </w:r>
        <w:r w:rsidRPr="00026C53">
          <w:rPr>
            <w:rFonts w:ascii="Calibri" w:hAnsi="Calibri"/>
            <w:color w:val="0000FF"/>
            <w:u w:val="single"/>
            <w:rtl/>
          </w:rPr>
          <w:t>"</w:t>
        </w:r>
        <w:r w:rsidRPr="00026C53">
          <w:rPr>
            <w:rFonts w:ascii="Calibri" w:hAnsi="Calibri" w:hint="eastAsia"/>
            <w:color w:val="0000FF"/>
            <w:u w:val="single"/>
            <w:rtl/>
          </w:rPr>
          <w:t>ב</w:t>
        </w:r>
        <w:r w:rsidRPr="00026C53">
          <w:rPr>
            <w:rFonts w:ascii="Calibri" w:hAnsi="Calibri"/>
            <w:color w:val="0000FF"/>
            <w:u w:val="single"/>
            <w:rtl/>
          </w:rPr>
          <w:t xml:space="preserve"> 11860/05</w:t>
        </w:r>
      </w:hyperlink>
      <w:r>
        <w:rPr>
          <w:rFonts w:ascii="Calibri" w:hAnsi="Calibri" w:hint="cs"/>
          <w:rtl/>
        </w:rPr>
        <w:t xml:space="preserve"> </w:t>
      </w:r>
      <w:r>
        <w:rPr>
          <w:rFonts w:ascii="Calibri" w:hAnsi="Calibri" w:hint="cs"/>
          <w:b/>
          <w:bCs/>
          <w:rtl/>
        </w:rPr>
        <w:t xml:space="preserve">פלוני נ' בית המשפט המחוזי בתל אביב יפו. </w:t>
      </w:r>
    </w:p>
    <w:p w14:paraId="0BBCEEBC" w14:textId="77777777" w:rsidR="00F53022" w:rsidRDefault="00026C53">
      <w:pPr>
        <w:numPr>
          <w:ilvl w:val="0"/>
          <w:numId w:val="1"/>
        </w:numPr>
        <w:spacing w:after="200" w:line="360" w:lineRule="auto"/>
        <w:rPr>
          <w:rFonts w:ascii="Calibri" w:hAnsi="Calibri"/>
          <w:rtl/>
        </w:rPr>
      </w:pPr>
      <w:r>
        <w:rPr>
          <w:rFonts w:ascii="Calibri" w:hAnsi="Calibri" w:hint="cs"/>
          <w:rtl/>
        </w:rPr>
        <w:t xml:space="preserve">נסיבותיה המקלות של הנאשמת שבפני, לרבות תסקיר שירות המבחן וחוות הדעת של הממונה כפי שפורטו לעיל, מצבה הבריאותי הלקוי ובפרט מחלתה הממארת כעולה מהתיעוד הרפואי שהוגש לתיק בית המשפט, באו לידי ביטוי בגזר דין זה במשך תקופת המאסר בפועל אשר בחרתי להטיל על הנאשמת. </w:t>
      </w:r>
    </w:p>
    <w:p w14:paraId="6A1F50E6" w14:textId="77777777" w:rsidR="00F53022" w:rsidRDefault="00026C53">
      <w:pPr>
        <w:spacing w:after="200" w:line="360" w:lineRule="auto"/>
        <w:ind w:left="1077"/>
        <w:rPr>
          <w:rFonts w:ascii="Calibri" w:hAnsi="Calibri"/>
          <w:b/>
          <w:bCs/>
        </w:rPr>
      </w:pPr>
      <w:r>
        <w:rPr>
          <w:rFonts w:hint="cs"/>
          <w:b/>
          <w:bCs/>
          <w:rtl/>
        </w:rPr>
        <w:t xml:space="preserve">עם זאת , בידי המדינה הסמכויות הקבועות  </w:t>
      </w:r>
      <w:hyperlink r:id="rId38" w:history="1">
        <w:r w:rsidR="00633541" w:rsidRPr="00633541">
          <w:rPr>
            <w:rStyle w:val="Hyperlink"/>
            <w:rFonts w:hint="eastAsia"/>
            <w:b/>
            <w:bCs/>
            <w:rtl/>
          </w:rPr>
          <w:t>בסעיף</w:t>
        </w:r>
        <w:r w:rsidR="00633541" w:rsidRPr="00633541">
          <w:rPr>
            <w:rStyle w:val="Hyperlink"/>
            <w:b/>
            <w:bCs/>
            <w:rtl/>
          </w:rPr>
          <w:t xml:space="preserve">  7</w:t>
        </w:r>
      </w:hyperlink>
      <w:r>
        <w:rPr>
          <w:rFonts w:hint="cs"/>
          <w:b/>
          <w:bCs/>
          <w:rtl/>
        </w:rPr>
        <w:t xml:space="preserve"> ל</w:t>
      </w:r>
      <w:hyperlink r:id="rId39" w:history="1">
        <w:r w:rsidRPr="00026C53">
          <w:rPr>
            <w:b/>
            <w:bCs/>
            <w:color w:val="0000FF"/>
            <w:u w:val="single"/>
            <w:rtl/>
          </w:rPr>
          <w:t>חוק שחרור על-תנאי ממאסר</w:t>
        </w:r>
      </w:hyperlink>
      <w:r>
        <w:rPr>
          <w:rFonts w:hint="cs"/>
          <w:b/>
          <w:bCs/>
          <w:rtl/>
        </w:rPr>
        <w:t xml:space="preserve">, תשס"א 2001 על פיו  הועדה רשאית בכל עת לשחרר על תנאי אסיר ממאסרו לאחר ששקלה חוות-דעת רופא בהתקיים התנאים המפורטים בסעיף אשר עלולים למצער להיות רלוונטיים אף במקרה של הנאשמת בפני. </w:t>
      </w:r>
    </w:p>
    <w:p w14:paraId="4E6F8702" w14:textId="77777777" w:rsidR="00F53022" w:rsidRDefault="00026C53">
      <w:pPr>
        <w:spacing w:after="200" w:line="360" w:lineRule="auto"/>
        <w:ind w:left="1077"/>
        <w:rPr>
          <w:rFonts w:ascii="Calibri" w:hAnsi="Calibri"/>
          <w:rtl/>
        </w:rPr>
      </w:pPr>
      <w:r>
        <w:rPr>
          <w:rFonts w:ascii="Calibri" w:hAnsi="Calibri" w:hint="cs"/>
          <w:rtl/>
        </w:rPr>
        <w:t>בהקשר זה, גילה ועברה הנקי של הנאשמת, כמו גם הודאתה המיידית,  הנכונות של הנאשמת להוביל את השוטרים למחבוא הנשק, עומדים לזכותה ומטים את הכף שלא למצות עימה את הדין.</w:t>
      </w:r>
    </w:p>
    <w:p w14:paraId="279B3072" w14:textId="77777777" w:rsidR="00F53022" w:rsidRDefault="00026C53">
      <w:pPr>
        <w:numPr>
          <w:ilvl w:val="0"/>
          <w:numId w:val="1"/>
        </w:numPr>
        <w:spacing w:after="200" w:line="360" w:lineRule="auto"/>
        <w:rPr>
          <w:rFonts w:ascii="Calibri" w:hAnsi="Calibri"/>
        </w:rPr>
      </w:pPr>
      <w:r>
        <w:rPr>
          <w:rFonts w:ascii="Calibri" w:hAnsi="Calibri" w:hint="cs"/>
          <w:rtl/>
        </w:rPr>
        <w:t xml:space="preserve">עוד אציין כי שוכנעתי ממכלול הנסיבות בתיק ומשמיעת הצדדים בטיעונים לעונש, כי הנאשמת פעלה מתוך אמונה בבן זוגה אחמד וכי אכן הנשק לא שייך לה.  </w:t>
      </w:r>
    </w:p>
    <w:p w14:paraId="079E3B4B" w14:textId="77777777" w:rsidR="00F53022" w:rsidRDefault="00026C53">
      <w:pPr>
        <w:numPr>
          <w:ilvl w:val="0"/>
          <w:numId w:val="1"/>
        </w:numPr>
        <w:spacing w:after="200" w:line="360" w:lineRule="auto"/>
        <w:ind w:left="1077"/>
        <w:rPr>
          <w:rFonts w:ascii="Calibri" w:hAnsi="Calibri"/>
        </w:rPr>
      </w:pPr>
      <w:r>
        <w:rPr>
          <w:rFonts w:ascii="Calibri" w:hAnsi="Calibri" w:hint="cs"/>
          <w:rtl/>
        </w:rPr>
        <w:t xml:space="preserve">לאור כל האמור, אני דן את הנאשמת לעונשים הבאים: </w:t>
      </w:r>
    </w:p>
    <w:p w14:paraId="5C55505C" w14:textId="77777777" w:rsidR="00F53022" w:rsidRDefault="00026C53">
      <w:pPr>
        <w:numPr>
          <w:ilvl w:val="1"/>
          <w:numId w:val="1"/>
        </w:numPr>
        <w:spacing w:after="200" w:line="360" w:lineRule="auto"/>
        <w:rPr>
          <w:rFonts w:ascii="Calibri" w:hAnsi="Calibri"/>
        </w:rPr>
      </w:pPr>
      <w:r>
        <w:rPr>
          <w:rFonts w:ascii="Calibri" w:hAnsi="Calibri" w:hint="cs"/>
          <w:rtl/>
        </w:rPr>
        <w:t xml:space="preserve">3 חודשים ויום  מאסר בפועל, בניכוי ימי המעצר שריצתה הנאשמת מיום מעצרה 11.01.2014 ועד ליום 17.01.2014. </w:t>
      </w:r>
      <w:r>
        <w:rPr>
          <w:rFonts w:ascii="Calibri" w:hAnsi="Calibri" w:hint="cs"/>
          <w:b/>
          <w:bCs/>
          <w:rtl/>
        </w:rPr>
        <w:t>הנאשמת תתייצב לריצוי עונש המאסר ביום 01.01.2015 שעה 10:00 בכלא צלמון</w:t>
      </w:r>
      <w:r>
        <w:rPr>
          <w:rFonts w:ascii="Calibri" w:hAnsi="Calibri" w:hint="cs"/>
          <w:rtl/>
        </w:rPr>
        <w:t xml:space="preserve"> וזאת לאור מצבה הבריאותי ועל מנת לאפשר לה לקבל טיפול רפואי ככל שתבחר בכך. </w:t>
      </w:r>
    </w:p>
    <w:p w14:paraId="4FF8C864" w14:textId="77777777" w:rsidR="00F53022" w:rsidRDefault="00026C53">
      <w:pPr>
        <w:numPr>
          <w:ilvl w:val="1"/>
          <w:numId w:val="1"/>
        </w:numPr>
        <w:spacing w:after="200" w:line="360" w:lineRule="auto"/>
        <w:rPr>
          <w:rFonts w:ascii="Calibri" w:hAnsi="Calibri"/>
        </w:rPr>
      </w:pPr>
      <w:r>
        <w:rPr>
          <w:rFonts w:ascii="Calibri" w:hAnsi="Calibri" w:hint="cs"/>
          <w:rtl/>
        </w:rPr>
        <w:t xml:space="preserve">6 חודשי מאסר על תנאי, למשך 3 שנים, והתנאי הוא שלא תעבור במהלך תקופה זו עבירות בנשק מסוג עוון , לפי </w:t>
      </w:r>
      <w:hyperlink r:id="rId40" w:history="1">
        <w:r w:rsidR="00633541" w:rsidRPr="00633541">
          <w:rPr>
            <w:rStyle w:val="Hyperlink"/>
            <w:rFonts w:ascii="Calibri" w:hAnsi="Calibri" w:hint="eastAsia"/>
            <w:rtl/>
          </w:rPr>
          <w:t>סעיף</w:t>
        </w:r>
        <w:r w:rsidR="00633541" w:rsidRPr="00633541">
          <w:rPr>
            <w:rStyle w:val="Hyperlink"/>
            <w:rFonts w:ascii="Calibri" w:hAnsi="Calibri"/>
            <w:rtl/>
          </w:rPr>
          <w:t xml:space="preserve"> 144</w:t>
        </w:r>
      </w:hyperlink>
      <w:r>
        <w:rPr>
          <w:rFonts w:ascii="Calibri" w:hAnsi="Calibri" w:hint="cs"/>
          <w:rtl/>
        </w:rPr>
        <w:t xml:space="preserve"> ל</w:t>
      </w:r>
      <w:hyperlink r:id="rId41" w:history="1">
        <w:r w:rsidRPr="00026C53">
          <w:rPr>
            <w:rFonts w:ascii="Calibri" w:hAnsi="Calibri" w:hint="eastAsia"/>
            <w:color w:val="0000FF"/>
            <w:u w:val="single"/>
            <w:rtl/>
          </w:rPr>
          <w:t>חוק</w:t>
        </w:r>
        <w:r w:rsidRPr="00026C53">
          <w:rPr>
            <w:rFonts w:ascii="Calibri" w:hAnsi="Calibri"/>
            <w:color w:val="0000FF"/>
            <w:u w:val="single"/>
            <w:rtl/>
          </w:rPr>
          <w:t xml:space="preserve"> </w:t>
        </w:r>
        <w:r w:rsidRPr="00026C53">
          <w:rPr>
            <w:rFonts w:ascii="Calibri" w:hAnsi="Calibri" w:hint="eastAsia"/>
            <w:color w:val="0000FF"/>
            <w:u w:val="single"/>
            <w:rtl/>
          </w:rPr>
          <w:t>העונשין</w:t>
        </w:r>
      </w:hyperlink>
      <w:r>
        <w:rPr>
          <w:rFonts w:ascii="Calibri" w:hAnsi="Calibri" w:hint="cs"/>
          <w:rtl/>
        </w:rPr>
        <w:t xml:space="preserve"> ותורשע בגינה בתקופת התנאי או לאחריה. </w:t>
      </w:r>
    </w:p>
    <w:p w14:paraId="162C7E8B" w14:textId="77777777" w:rsidR="00F53022" w:rsidRDefault="00026C53">
      <w:pPr>
        <w:pStyle w:val="ListParagraph"/>
        <w:numPr>
          <w:ilvl w:val="1"/>
          <w:numId w:val="1"/>
        </w:numPr>
        <w:spacing w:line="360" w:lineRule="auto"/>
        <w:ind w:left="1434" w:hanging="357"/>
        <w:rPr>
          <w:rFonts w:ascii="Calibri" w:hAnsi="Calibri"/>
          <w:rtl/>
        </w:rPr>
      </w:pPr>
      <w:r>
        <w:rPr>
          <w:rFonts w:ascii="Calibri" w:hAnsi="Calibri" w:hint="cs"/>
          <w:rtl/>
        </w:rPr>
        <w:t xml:space="preserve">12 חודשי מאסר על תנאי, למשך 3 שנים, והתנאי הוא שלא תעבור במהלך תקופה זו עבירות בנשק מסוג פשע , לפי </w:t>
      </w:r>
      <w:hyperlink r:id="rId42" w:history="1">
        <w:r w:rsidR="00633541" w:rsidRPr="00633541">
          <w:rPr>
            <w:rStyle w:val="Hyperlink"/>
            <w:rFonts w:ascii="Calibri" w:hAnsi="Calibri" w:hint="eastAsia"/>
            <w:rtl/>
          </w:rPr>
          <w:t>סעיף</w:t>
        </w:r>
        <w:r w:rsidR="00633541" w:rsidRPr="00633541">
          <w:rPr>
            <w:rStyle w:val="Hyperlink"/>
            <w:rFonts w:ascii="Calibri" w:hAnsi="Calibri"/>
            <w:rtl/>
          </w:rPr>
          <w:t xml:space="preserve"> 144</w:t>
        </w:r>
      </w:hyperlink>
      <w:r>
        <w:rPr>
          <w:rFonts w:ascii="Calibri" w:hAnsi="Calibri" w:hint="cs"/>
          <w:rtl/>
        </w:rPr>
        <w:t xml:space="preserve"> ל</w:t>
      </w:r>
      <w:hyperlink r:id="rId43" w:history="1">
        <w:r w:rsidRPr="00026C53">
          <w:rPr>
            <w:rFonts w:ascii="Calibri" w:hAnsi="Calibri" w:hint="eastAsia"/>
            <w:color w:val="0000FF"/>
            <w:u w:val="single"/>
            <w:rtl/>
          </w:rPr>
          <w:t>חוק</w:t>
        </w:r>
        <w:r w:rsidRPr="00026C53">
          <w:rPr>
            <w:rFonts w:ascii="Calibri" w:hAnsi="Calibri"/>
            <w:color w:val="0000FF"/>
            <w:u w:val="single"/>
            <w:rtl/>
          </w:rPr>
          <w:t xml:space="preserve"> </w:t>
        </w:r>
        <w:r w:rsidRPr="00026C53">
          <w:rPr>
            <w:rFonts w:ascii="Calibri" w:hAnsi="Calibri" w:hint="eastAsia"/>
            <w:color w:val="0000FF"/>
            <w:u w:val="single"/>
            <w:rtl/>
          </w:rPr>
          <w:t>העונשין</w:t>
        </w:r>
      </w:hyperlink>
      <w:r>
        <w:rPr>
          <w:rFonts w:ascii="Calibri" w:hAnsi="Calibri" w:hint="cs"/>
          <w:rtl/>
        </w:rPr>
        <w:t xml:space="preserve"> ותורשע בגינה בתקופת התנאי או לאחריה. </w:t>
      </w:r>
    </w:p>
    <w:p w14:paraId="43FF68A5" w14:textId="77777777" w:rsidR="00F53022" w:rsidRDefault="00F53022">
      <w:pPr>
        <w:pStyle w:val="ListParagraph"/>
        <w:spacing w:line="360" w:lineRule="auto"/>
        <w:ind w:left="1434"/>
        <w:rPr>
          <w:rFonts w:ascii="Calibri" w:hAnsi="Calibri"/>
        </w:rPr>
      </w:pPr>
    </w:p>
    <w:p w14:paraId="385E6D17" w14:textId="77777777" w:rsidR="00F53022" w:rsidRDefault="00026C53">
      <w:pPr>
        <w:numPr>
          <w:ilvl w:val="1"/>
          <w:numId w:val="1"/>
        </w:numPr>
        <w:spacing w:after="200" w:line="360" w:lineRule="auto"/>
        <w:rPr>
          <w:rFonts w:ascii="Arial" w:hAnsi="Arial"/>
          <w:rtl/>
        </w:rPr>
      </w:pPr>
      <w:r>
        <w:rPr>
          <w:rFonts w:ascii="Calibri" w:hAnsi="Calibri" w:hint="cs"/>
          <w:rtl/>
        </w:rPr>
        <w:t xml:space="preserve">קנס בסך של 3,000 ₪ או 30 ימי מאסר בפועל תחתיו במצטבר לכל עונש מאסר אחר שמרצה הנאשמת. הקנס ישולם עד יום 1.4.15. מסכום הקנס תקוזז </w:t>
      </w:r>
      <w:r>
        <w:rPr>
          <w:rFonts w:ascii="Arial" w:hAnsi="Arial" w:hint="cs"/>
          <w:rtl/>
        </w:rPr>
        <w:t xml:space="preserve">הפקדה הקיימת בתיק המעצר בכפוף להוראות כל דין או עיקול. </w:t>
      </w:r>
    </w:p>
    <w:p w14:paraId="198BDB75" w14:textId="77777777" w:rsidR="00F53022" w:rsidRDefault="00026C53">
      <w:pPr>
        <w:spacing w:after="200" w:line="360" w:lineRule="auto"/>
        <w:ind w:left="1440"/>
        <w:rPr>
          <w:rFonts w:ascii="Arial" w:hAnsi="Arial"/>
        </w:rPr>
      </w:pPr>
      <w:r>
        <w:rPr>
          <w:rFonts w:ascii="Arial" w:hAnsi="Arial" w:hint="cs"/>
          <w:rtl/>
        </w:rPr>
        <w:t>היה וקיימת יתרת זכות, תוחזר לנאשמת בכפוף להוראות כל דין ועיקול.</w:t>
      </w:r>
    </w:p>
    <w:p w14:paraId="256ED1A6" w14:textId="77777777" w:rsidR="00F53022" w:rsidRDefault="00026C53">
      <w:pPr>
        <w:spacing w:after="200" w:line="360" w:lineRule="auto"/>
        <w:ind w:left="1440" w:hanging="306"/>
        <w:rPr>
          <w:rFonts w:ascii="Arial" w:hAnsi="Arial"/>
          <w:noProof/>
          <w:rtl/>
        </w:rPr>
      </w:pPr>
      <w:r>
        <w:rPr>
          <w:rFonts w:ascii="Calibri" w:hAnsi="Calibri" w:hint="cs"/>
          <w:rtl/>
        </w:rPr>
        <w:t>ה.</w:t>
      </w:r>
      <w:r>
        <w:rPr>
          <w:rFonts w:ascii="Calibri" w:hAnsi="Calibri" w:hint="cs"/>
          <w:rtl/>
        </w:rPr>
        <w:tab/>
        <w:t xml:space="preserve">הנני מחייב את הנאשמת לחתום על התחייבות בסך 5,000 ₪, שלא תעבור במשך 3 שנים מהיום כל עבירה בנשק לפי </w:t>
      </w:r>
      <w:hyperlink r:id="rId44" w:history="1">
        <w:r w:rsidR="00633541" w:rsidRPr="00633541">
          <w:rPr>
            <w:rStyle w:val="Hyperlink"/>
            <w:rFonts w:ascii="Calibri" w:hAnsi="Calibri" w:hint="eastAsia"/>
            <w:rtl/>
          </w:rPr>
          <w:t>סעיף</w:t>
        </w:r>
        <w:r w:rsidR="00633541" w:rsidRPr="00633541">
          <w:rPr>
            <w:rStyle w:val="Hyperlink"/>
            <w:rFonts w:ascii="Calibri" w:hAnsi="Calibri"/>
            <w:rtl/>
          </w:rPr>
          <w:t xml:space="preserve"> 144</w:t>
        </w:r>
      </w:hyperlink>
      <w:r>
        <w:rPr>
          <w:rFonts w:ascii="Calibri" w:hAnsi="Calibri" w:hint="cs"/>
          <w:rtl/>
        </w:rPr>
        <w:t xml:space="preserve"> ל</w:t>
      </w:r>
      <w:hyperlink r:id="rId45" w:history="1">
        <w:r w:rsidRPr="00026C53">
          <w:rPr>
            <w:rFonts w:ascii="Calibri" w:hAnsi="Calibri" w:hint="eastAsia"/>
            <w:color w:val="0000FF"/>
            <w:u w:val="single"/>
            <w:rtl/>
          </w:rPr>
          <w:t>חוק</w:t>
        </w:r>
        <w:r w:rsidRPr="00026C53">
          <w:rPr>
            <w:rFonts w:ascii="Calibri" w:hAnsi="Calibri"/>
            <w:color w:val="0000FF"/>
            <w:u w:val="single"/>
            <w:rtl/>
          </w:rPr>
          <w:t xml:space="preserve"> </w:t>
        </w:r>
        <w:r w:rsidRPr="00026C53">
          <w:rPr>
            <w:rFonts w:ascii="Calibri" w:hAnsi="Calibri" w:hint="eastAsia"/>
            <w:color w:val="0000FF"/>
            <w:u w:val="single"/>
            <w:rtl/>
          </w:rPr>
          <w:t>העונשין</w:t>
        </w:r>
      </w:hyperlink>
      <w:r>
        <w:rPr>
          <w:rFonts w:ascii="Calibri" w:hAnsi="Calibri" w:hint="cs"/>
          <w:rtl/>
        </w:rPr>
        <w:t xml:space="preserve">. אם לא תחתום הנאשמת על ההתחייבות תוך 7 ימים תיאסר למשך 50 ימים </w:t>
      </w:r>
      <w:r>
        <w:rPr>
          <w:rFonts w:ascii="Arial" w:hAnsi="Arial" w:hint="cs"/>
          <w:rtl/>
        </w:rPr>
        <w:t>ומאסרה ירוצה במצטבר לכל מאסר אחר</w:t>
      </w:r>
      <w:r>
        <w:rPr>
          <w:rFonts w:ascii="Calibri" w:hAnsi="Calibri" w:hint="cs"/>
          <w:rtl/>
        </w:rPr>
        <w:t xml:space="preserve"> שהיא מרצה עתה.</w:t>
      </w:r>
    </w:p>
    <w:p w14:paraId="276DA559" w14:textId="77777777" w:rsidR="00F53022" w:rsidRDefault="00F53022">
      <w:pPr>
        <w:spacing w:after="200" w:line="360" w:lineRule="auto"/>
        <w:rPr>
          <w:rFonts w:ascii="Calibri" w:hAnsi="Calibri"/>
          <w:rtl/>
        </w:rPr>
      </w:pPr>
    </w:p>
    <w:p w14:paraId="346D0B38" w14:textId="77777777" w:rsidR="00F53022" w:rsidRDefault="00026C53">
      <w:pPr>
        <w:spacing w:after="200" w:line="360" w:lineRule="auto"/>
        <w:ind w:left="720"/>
        <w:rPr>
          <w:rFonts w:ascii="Calibri" w:hAnsi="Calibri"/>
          <w:b/>
          <w:bCs/>
        </w:rPr>
      </w:pPr>
      <w:r>
        <w:rPr>
          <w:rFonts w:ascii="Calibri" w:hAnsi="Calibri" w:hint="cs"/>
          <w:b/>
          <w:bCs/>
          <w:rtl/>
        </w:rPr>
        <w:t>זכות ערעור לבית המשפט המחוזי בנצרת בתוך 45 יום.</w:t>
      </w:r>
    </w:p>
    <w:p w14:paraId="56542C8C" w14:textId="77777777" w:rsidR="00F53022" w:rsidRDefault="00F53022">
      <w:pPr>
        <w:spacing w:line="360" w:lineRule="auto"/>
        <w:jc w:val="both"/>
        <w:rPr>
          <w:rtl/>
        </w:rPr>
      </w:pPr>
    </w:p>
    <w:p w14:paraId="763DE274" w14:textId="77777777" w:rsidR="00F53022" w:rsidRDefault="00026C53">
      <w:pPr>
        <w:spacing w:line="360" w:lineRule="auto"/>
        <w:jc w:val="both"/>
        <w:rPr>
          <w:sz w:val="6"/>
          <w:szCs w:val="6"/>
          <w:rtl/>
        </w:rPr>
      </w:pPr>
      <w:r>
        <w:rPr>
          <w:sz w:val="6"/>
          <w:szCs w:val="6"/>
          <w:rtl/>
        </w:rPr>
        <w:t>&lt;#3#&gt;</w:t>
      </w:r>
    </w:p>
    <w:p w14:paraId="3F25760D" w14:textId="77777777" w:rsidR="00F53022" w:rsidRDefault="00F53022">
      <w:pPr>
        <w:jc w:val="right"/>
        <w:rPr>
          <w:rtl/>
        </w:rPr>
      </w:pPr>
    </w:p>
    <w:p w14:paraId="1B2E9895" w14:textId="77777777" w:rsidR="00F53022" w:rsidRDefault="00026C53">
      <w:pPr>
        <w:spacing w:line="360" w:lineRule="auto"/>
        <w:rPr>
          <w:rtl/>
        </w:rPr>
      </w:pPr>
      <w:r>
        <w:rPr>
          <w:rFonts w:hint="cs"/>
          <w:b/>
          <w:bCs/>
          <w:rtl/>
        </w:rPr>
        <w:t xml:space="preserve">ניתנה והודעה היום </w:t>
      </w:r>
      <w:r>
        <w:rPr>
          <w:rFonts w:hint="cs"/>
          <w:rtl/>
        </w:rPr>
        <w:t>ו' אלול תשע"ד</w:t>
      </w:r>
      <w:r>
        <w:rPr>
          <w:rFonts w:hint="cs"/>
          <w:b/>
          <w:bCs/>
          <w:rtl/>
        </w:rPr>
        <w:t xml:space="preserve">, </w:t>
      </w:r>
      <w:r>
        <w:rPr>
          <w:rFonts w:hint="cs"/>
          <w:rtl/>
        </w:rPr>
        <w:t>01/09/2014</w:t>
      </w:r>
      <w:r>
        <w:rPr>
          <w:rFonts w:hint="cs"/>
          <w:b/>
          <w:bCs/>
          <w:rtl/>
        </w:rPr>
        <w:t xml:space="preserve"> במעמד הנוכחים.</w:t>
      </w:r>
    </w:p>
    <w:p w14:paraId="65A04705" w14:textId="77777777" w:rsidR="00F53022" w:rsidRDefault="00F5302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53022" w14:paraId="7B4395B3" w14:textId="77777777">
        <w:trPr>
          <w:trHeight w:val="316"/>
          <w:jc w:val="right"/>
        </w:trPr>
        <w:tc>
          <w:tcPr>
            <w:tcW w:w="3936" w:type="dxa"/>
          </w:tcPr>
          <w:p w14:paraId="50D1822D" w14:textId="77777777" w:rsidR="00F53022" w:rsidRDefault="00F53022">
            <w:pPr>
              <w:jc w:val="center"/>
              <w:rPr>
                <w:rFonts w:ascii="Times New Roman" w:eastAsia="Times New Roman" w:hAnsi="Times New Roman" w:cs="Times New Roman"/>
              </w:rPr>
            </w:pPr>
          </w:p>
          <w:p w14:paraId="107BDFC0" w14:textId="77777777" w:rsidR="00F53022" w:rsidRDefault="00F53022">
            <w:pPr>
              <w:jc w:val="center"/>
              <w:rPr>
                <w:rFonts w:ascii="Times New Roman" w:eastAsia="Times New Roman" w:hAnsi="Times New Roman" w:cs="Times New Roman"/>
                <w:rtl/>
              </w:rPr>
            </w:pPr>
          </w:p>
        </w:tc>
      </w:tr>
      <w:tr w:rsidR="00F53022" w14:paraId="37528B64" w14:textId="77777777">
        <w:trPr>
          <w:trHeight w:val="361"/>
          <w:jc w:val="right"/>
        </w:trPr>
        <w:tc>
          <w:tcPr>
            <w:tcW w:w="3936" w:type="dxa"/>
          </w:tcPr>
          <w:p w14:paraId="6AD2E2C5" w14:textId="77777777" w:rsidR="00F53022" w:rsidRDefault="00026C53">
            <w:pPr>
              <w:jc w:val="center"/>
              <w:rPr>
                <w:rFonts w:ascii="Times New Roman" w:eastAsia="Times New Roman" w:hAnsi="Times New Roman"/>
                <w:b/>
                <w:bCs/>
                <w:rtl/>
              </w:rPr>
            </w:pPr>
            <w:r>
              <w:rPr>
                <w:rFonts w:ascii="Times New Roman" w:eastAsia="Times New Roman" w:hAnsi="Times New Roman" w:hint="cs"/>
                <w:b/>
                <w:bCs/>
                <w:rtl/>
              </w:rPr>
              <w:t>ניר מישורי לב טוב</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74BA3D7D" w14:textId="77777777" w:rsidR="00F53022" w:rsidRDefault="00F53022">
      <w:pPr>
        <w:jc w:val="right"/>
        <w:rPr>
          <w:rtl/>
        </w:rPr>
      </w:pPr>
    </w:p>
    <w:p w14:paraId="27D5CD29" w14:textId="77777777" w:rsidR="00F53022" w:rsidRDefault="00026C53">
      <w:pPr>
        <w:spacing w:line="360" w:lineRule="auto"/>
        <w:jc w:val="both"/>
        <w:rPr>
          <w:rtl/>
        </w:rPr>
      </w:pPr>
      <w:r>
        <w:rPr>
          <w:rtl/>
        </w:rPr>
        <w:t xml:space="preserve"> </w:t>
      </w:r>
    </w:p>
    <w:p w14:paraId="502C7556" w14:textId="77777777" w:rsidR="00F53022" w:rsidRDefault="00026C53">
      <w:pPr>
        <w:spacing w:line="360" w:lineRule="auto"/>
        <w:jc w:val="both"/>
        <w:rPr>
          <w:sz w:val="6"/>
          <w:szCs w:val="6"/>
          <w:rtl/>
        </w:rPr>
      </w:pPr>
      <w:r>
        <w:rPr>
          <w:sz w:val="6"/>
          <w:szCs w:val="6"/>
          <w:rtl/>
        </w:rPr>
        <w:t>&lt;#6#&gt;</w:t>
      </w:r>
    </w:p>
    <w:p w14:paraId="549E3D1B" w14:textId="77777777" w:rsidR="00F53022" w:rsidRDefault="00026C53">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59B1EFB" w14:textId="77777777" w:rsidR="00F53022" w:rsidRDefault="00026C53">
      <w:pPr>
        <w:spacing w:line="360" w:lineRule="auto"/>
        <w:jc w:val="both"/>
        <w:rPr>
          <w:rtl/>
        </w:rPr>
      </w:pPr>
      <w:r>
        <w:rPr>
          <w:rFonts w:hint="cs"/>
          <w:rtl/>
        </w:rPr>
        <w:t xml:space="preserve">מבלי להיכנס לשאלת חוקיות בקשתה של המאשימה, סבורני כי אין זה המקום לחייב הנאשמת בהפקדה כספית או להוציא כנגדה צו עיכוב יציאה מן הארץ. </w:t>
      </w:r>
    </w:p>
    <w:p w14:paraId="3B006BC9" w14:textId="77777777" w:rsidR="00F53022" w:rsidRDefault="00026C53">
      <w:pPr>
        <w:spacing w:line="360" w:lineRule="auto"/>
        <w:jc w:val="both"/>
        <w:rPr>
          <w:rtl/>
        </w:rPr>
      </w:pPr>
      <w:r>
        <w:rPr>
          <w:rFonts w:hint="cs"/>
          <w:rtl/>
        </w:rPr>
        <w:t xml:space="preserve">זאת לאור ההקפדה מצד הנאשמת על תנאי השחרור בערובה עד היום ומצבה הרפואי כפי שעולה גם מגזר הדין שניתן היום בעניינה. </w:t>
      </w:r>
    </w:p>
    <w:p w14:paraId="1A33C761" w14:textId="77777777" w:rsidR="00F53022" w:rsidRDefault="00F53022">
      <w:pPr>
        <w:spacing w:line="360" w:lineRule="auto"/>
        <w:jc w:val="both"/>
        <w:rPr>
          <w:rtl/>
        </w:rPr>
      </w:pPr>
    </w:p>
    <w:p w14:paraId="4F74810B" w14:textId="77777777" w:rsidR="00F53022" w:rsidRDefault="00026C53">
      <w:pPr>
        <w:spacing w:line="360" w:lineRule="auto"/>
        <w:jc w:val="both"/>
        <w:rPr>
          <w:sz w:val="6"/>
          <w:szCs w:val="6"/>
          <w:rtl/>
        </w:rPr>
      </w:pPr>
      <w:r>
        <w:rPr>
          <w:sz w:val="6"/>
          <w:szCs w:val="6"/>
          <w:rtl/>
        </w:rPr>
        <w:t>&lt;#7#&gt;</w:t>
      </w:r>
    </w:p>
    <w:p w14:paraId="438774AA" w14:textId="77777777" w:rsidR="00F53022" w:rsidRDefault="00F53022">
      <w:pPr>
        <w:jc w:val="right"/>
        <w:rPr>
          <w:rtl/>
        </w:rPr>
      </w:pPr>
    </w:p>
    <w:p w14:paraId="3E93664A" w14:textId="77777777" w:rsidR="00F53022" w:rsidRDefault="00026C53">
      <w:pPr>
        <w:jc w:val="center"/>
        <w:rPr>
          <w:rtl/>
        </w:rPr>
      </w:pPr>
      <w:r w:rsidRPr="00026C53">
        <w:rPr>
          <w:b/>
          <w:bCs/>
          <w:color w:val="FFFFFF"/>
          <w:sz w:val="2"/>
          <w:szCs w:val="2"/>
          <w:rtl/>
        </w:rPr>
        <w:t>5129371</w:t>
      </w:r>
      <w:r>
        <w:rPr>
          <w:b/>
          <w:bCs/>
          <w:rtl/>
        </w:rPr>
        <w:t xml:space="preserve">ניתנה והודעה היום ו' אלול תשע"ד, 01/09/2014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53022" w14:paraId="09BCBAC1" w14:textId="77777777">
        <w:trPr>
          <w:trHeight w:val="316"/>
          <w:jc w:val="right"/>
        </w:trPr>
        <w:tc>
          <w:tcPr>
            <w:tcW w:w="3936" w:type="dxa"/>
          </w:tcPr>
          <w:p w14:paraId="37C7F821" w14:textId="77777777" w:rsidR="00F53022" w:rsidRPr="00026C53" w:rsidRDefault="00026C53">
            <w:pPr>
              <w:jc w:val="center"/>
              <w:rPr>
                <w:rFonts w:ascii="Times New Roman" w:eastAsia="Times New Roman" w:hAnsi="Times New Roman" w:cs="Times New Roman"/>
                <w:color w:val="FFFFFF"/>
                <w:sz w:val="2"/>
                <w:szCs w:val="2"/>
              </w:rPr>
            </w:pPr>
            <w:r w:rsidRPr="00026C53">
              <w:rPr>
                <w:rFonts w:ascii="Times New Roman" w:eastAsia="Times New Roman" w:hAnsi="Times New Roman" w:cs="Times New Roman"/>
                <w:color w:val="FFFFFF"/>
                <w:sz w:val="2"/>
                <w:szCs w:val="2"/>
                <w:rtl/>
              </w:rPr>
              <w:t>54678313</w:t>
            </w:r>
          </w:p>
          <w:p w14:paraId="0D86DC43" w14:textId="77777777" w:rsidR="00F53022" w:rsidRDefault="00F53022">
            <w:pPr>
              <w:jc w:val="center"/>
              <w:rPr>
                <w:rFonts w:ascii="Times New Roman" w:eastAsia="Times New Roman" w:hAnsi="Times New Roman" w:cs="Times New Roman"/>
                <w:rtl/>
              </w:rPr>
            </w:pPr>
          </w:p>
        </w:tc>
      </w:tr>
      <w:tr w:rsidR="00F53022" w14:paraId="666DAA42" w14:textId="77777777">
        <w:trPr>
          <w:trHeight w:val="361"/>
          <w:jc w:val="right"/>
        </w:trPr>
        <w:tc>
          <w:tcPr>
            <w:tcW w:w="3936" w:type="dxa"/>
          </w:tcPr>
          <w:p w14:paraId="28552B5F" w14:textId="77777777" w:rsidR="00F53022" w:rsidRDefault="00026C53">
            <w:pPr>
              <w:jc w:val="center"/>
              <w:rPr>
                <w:rFonts w:ascii="Times New Roman" w:eastAsia="Times New Roman" w:hAnsi="Times New Roman"/>
                <w:b/>
                <w:bCs/>
                <w:rtl/>
              </w:rPr>
            </w:pPr>
            <w:r>
              <w:rPr>
                <w:rFonts w:ascii="Times New Roman" w:eastAsia="Times New Roman" w:hAnsi="Times New Roman" w:hint="cs"/>
                <w:b/>
                <w:bCs/>
                <w:rtl/>
              </w:rPr>
              <w:t>ניר מישורי לב טוב</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1829A283" w14:textId="77777777" w:rsidR="00F53022" w:rsidRDefault="00F53022">
      <w:pPr>
        <w:jc w:val="right"/>
        <w:rPr>
          <w:rtl/>
        </w:rPr>
      </w:pPr>
    </w:p>
    <w:p w14:paraId="104C2AB9" w14:textId="77777777" w:rsidR="00F53022" w:rsidRDefault="00F53022">
      <w:pPr>
        <w:jc w:val="both"/>
        <w:rPr>
          <w:rtl/>
        </w:rPr>
      </w:pPr>
    </w:p>
    <w:p w14:paraId="550FB859" w14:textId="77777777" w:rsidR="00F53022" w:rsidRDefault="00F53022">
      <w:pPr>
        <w:spacing w:line="360" w:lineRule="auto"/>
        <w:jc w:val="center"/>
        <w:rPr>
          <w:rtl/>
        </w:rPr>
      </w:pPr>
    </w:p>
    <w:p w14:paraId="57201090" w14:textId="77777777" w:rsidR="00F53022" w:rsidRDefault="00026C53">
      <w:pPr>
        <w:spacing w:line="360" w:lineRule="auto"/>
        <w:jc w:val="both"/>
        <w:rPr>
          <w:rtl/>
        </w:rPr>
      </w:pPr>
      <w:r>
        <w:rPr>
          <w:rtl/>
        </w:rPr>
        <w:t xml:space="preserve"> </w:t>
      </w:r>
    </w:p>
    <w:p w14:paraId="0428432D" w14:textId="77777777" w:rsidR="00026C53" w:rsidRPr="00026C53" w:rsidRDefault="00026C53" w:rsidP="00026C53">
      <w:pPr>
        <w:keepNext/>
        <w:rPr>
          <w:color w:val="000000"/>
          <w:sz w:val="22"/>
          <w:szCs w:val="22"/>
          <w:rtl/>
        </w:rPr>
      </w:pPr>
    </w:p>
    <w:p w14:paraId="17A5C72E" w14:textId="77777777" w:rsidR="00026C53" w:rsidRPr="00026C53" w:rsidRDefault="00026C53" w:rsidP="00026C53">
      <w:pPr>
        <w:keepNext/>
        <w:rPr>
          <w:color w:val="000000"/>
          <w:sz w:val="22"/>
          <w:szCs w:val="22"/>
          <w:rtl/>
        </w:rPr>
      </w:pPr>
      <w:r w:rsidRPr="00026C53">
        <w:rPr>
          <w:color w:val="000000"/>
          <w:sz w:val="22"/>
          <w:szCs w:val="22"/>
          <w:rtl/>
        </w:rPr>
        <w:t>ניר מישורי לב טוב 54678313</w:t>
      </w:r>
    </w:p>
    <w:p w14:paraId="4DD6DB2B" w14:textId="77777777" w:rsidR="00026C53" w:rsidRDefault="00026C53" w:rsidP="00026C53">
      <w:r w:rsidRPr="00026C53">
        <w:rPr>
          <w:color w:val="000000"/>
          <w:rtl/>
        </w:rPr>
        <w:t>נוסח מסמך זה כפוף לשינויי ניסוח ועריכה</w:t>
      </w:r>
    </w:p>
    <w:p w14:paraId="46A2E7F2" w14:textId="77777777" w:rsidR="00026C53" w:rsidRDefault="00026C53" w:rsidP="00026C53">
      <w:pPr>
        <w:rPr>
          <w:rtl/>
        </w:rPr>
      </w:pPr>
    </w:p>
    <w:p w14:paraId="72A91B42" w14:textId="77777777" w:rsidR="00026C53" w:rsidRDefault="00026C53" w:rsidP="00026C53">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5C87A5D7" w14:textId="77777777" w:rsidR="00F53022" w:rsidRPr="00026C53" w:rsidRDefault="00F53022" w:rsidP="00026C53">
      <w:pPr>
        <w:jc w:val="center"/>
        <w:rPr>
          <w:color w:val="0000FF"/>
          <w:u w:val="single"/>
        </w:rPr>
      </w:pPr>
    </w:p>
    <w:sectPr w:rsidR="00F53022" w:rsidRPr="00026C53" w:rsidSect="00026C53">
      <w:headerReference w:type="even" r:id="rId47"/>
      <w:headerReference w:type="default" r:id="rId48"/>
      <w:footerReference w:type="even" r:id="rId49"/>
      <w:footerReference w:type="default" r:id="rId5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78F39" w14:textId="77777777" w:rsidR="00922FE7" w:rsidRPr="00455F5B" w:rsidRDefault="00922FE7">
      <w:pPr>
        <w:rPr>
          <w:rFonts w:cs="Arial"/>
          <w:szCs w:val="20"/>
        </w:rPr>
      </w:pPr>
      <w:r>
        <w:separator/>
      </w:r>
    </w:p>
  </w:endnote>
  <w:endnote w:type="continuationSeparator" w:id="0">
    <w:p w14:paraId="444D9328" w14:textId="77777777" w:rsidR="00922FE7" w:rsidRPr="00455F5B" w:rsidRDefault="00922FE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A71F4" w14:textId="77777777" w:rsidR="00026C53" w:rsidRDefault="00026C53" w:rsidP="00026C5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66B256F5" w14:textId="77777777" w:rsidR="00F53022" w:rsidRPr="00026C53" w:rsidRDefault="00026C53" w:rsidP="00026C53">
    <w:pPr>
      <w:pStyle w:val="a4"/>
      <w:pBdr>
        <w:top w:val="single" w:sz="4" w:space="1" w:color="auto"/>
        <w:between w:val="single" w:sz="4" w:space="0" w:color="auto"/>
      </w:pBdr>
      <w:spacing w:after="60"/>
      <w:jc w:val="center"/>
      <w:rPr>
        <w:rFonts w:ascii="FrankRuehl" w:hAnsi="FrankRuehl" w:cs="FrankRuehl"/>
        <w:color w:val="000000"/>
      </w:rPr>
    </w:pPr>
    <w:r w:rsidRPr="00026C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FA6E6" w14:textId="77777777" w:rsidR="00026C53" w:rsidRDefault="00026C53" w:rsidP="00026C5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1A5C">
      <w:rPr>
        <w:rFonts w:ascii="FrankRuehl" w:hAnsi="FrankRuehl" w:cs="FrankRuehl"/>
        <w:noProof/>
        <w:rtl/>
      </w:rPr>
      <w:t>1</w:t>
    </w:r>
    <w:r>
      <w:rPr>
        <w:rFonts w:ascii="FrankRuehl" w:hAnsi="FrankRuehl" w:cs="FrankRuehl"/>
        <w:rtl/>
      </w:rPr>
      <w:fldChar w:fldCharType="end"/>
    </w:r>
  </w:p>
  <w:p w14:paraId="6C02B100" w14:textId="77777777" w:rsidR="00F53022" w:rsidRPr="00026C53" w:rsidRDefault="00026C53" w:rsidP="00026C53">
    <w:pPr>
      <w:pStyle w:val="a4"/>
      <w:pBdr>
        <w:top w:val="single" w:sz="4" w:space="1" w:color="auto"/>
        <w:between w:val="single" w:sz="4" w:space="0" w:color="auto"/>
      </w:pBdr>
      <w:spacing w:after="60"/>
      <w:jc w:val="center"/>
      <w:rPr>
        <w:rFonts w:ascii="FrankRuehl" w:hAnsi="FrankRuehl" w:cs="FrankRuehl"/>
        <w:color w:val="000000"/>
      </w:rPr>
    </w:pPr>
    <w:r w:rsidRPr="00026C53">
      <w:rPr>
        <w:rFonts w:ascii="FrankRuehl" w:hAnsi="FrankRuehl" w:cs="FrankRuehl"/>
        <w:color w:val="000000"/>
      </w:rPr>
      <w:pict w14:anchorId="2210C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87154" w14:textId="77777777" w:rsidR="00922FE7" w:rsidRPr="00455F5B" w:rsidRDefault="00922FE7">
      <w:pPr>
        <w:rPr>
          <w:rFonts w:cs="Arial"/>
          <w:szCs w:val="20"/>
        </w:rPr>
      </w:pPr>
      <w:r>
        <w:separator/>
      </w:r>
    </w:p>
  </w:footnote>
  <w:footnote w:type="continuationSeparator" w:id="0">
    <w:p w14:paraId="786BA9C5" w14:textId="77777777" w:rsidR="00922FE7" w:rsidRPr="00455F5B" w:rsidRDefault="00922FE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93374" w14:textId="77777777" w:rsidR="00026C53" w:rsidRPr="00026C53" w:rsidRDefault="00026C53" w:rsidP="00026C5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33342-01-14</w:t>
    </w:r>
    <w:r>
      <w:rPr>
        <w:color w:val="000000"/>
        <w:sz w:val="22"/>
        <w:szCs w:val="22"/>
        <w:rtl/>
      </w:rPr>
      <w:tab/>
      <w:t xml:space="preserve"> מדינת ישראל נ' סאוסן חאג' עלי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08A98" w14:textId="77777777" w:rsidR="00026C53" w:rsidRPr="00026C53" w:rsidRDefault="00026C53" w:rsidP="00026C5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33342-01-14</w:t>
    </w:r>
    <w:r>
      <w:rPr>
        <w:color w:val="000000"/>
        <w:sz w:val="22"/>
        <w:szCs w:val="22"/>
        <w:rtl/>
      </w:rPr>
      <w:tab/>
      <w:t xml:space="preserve"> מדינת ישראל נ' סאוסן חאג' עלי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2353C1"/>
    <w:multiLevelType w:val="hybridMultilevel"/>
    <w:tmpl w:val="52AADF0A"/>
    <w:lvl w:ilvl="0" w:tplc="83421248">
      <w:start w:val="1"/>
      <w:numFmt w:val="decimal"/>
      <w:lvlText w:val="%1."/>
      <w:lvlJc w:val="left"/>
      <w:pPr>
        <w:tabs>
          <w:tab w:val="num" w:pos="1080"/>
        </w:tabs>
        <w:ind w:left="1080" w:hanging="720"/>
      </w:pPr>
      <w:rPr>
        <w:b w:val="0"/>
        <w:bCs w:val="0"/>
      </w:rPr>
    </w:lvl>
    <w:lvl w:ilvl="1" w:tplc="FE7C9B7E">
      <w:start w:val="1"/>
      <w:numFmt w:val="hebrew1"/>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226969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3022"/>
    <w:rsid w:val="00026C53"/>
    <w:rsid w:val="00493687"/>
    <w:rsid w:val="005D7BE9"/>
    <w:rsid w:val="00633541"/>
    <w:rsid w:val="00922FE7"/>
    <w:rsid w:val="00BE2FB9"/>
    <w:rsid w:val="00C01A5C"/>
    <w:rsid w:val="00F530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DA96CBA"/>
  <w15:chartTrackingRefBased/>
  <w15:docId w15:val="{14F8FACF-BA0A-4F89-9C5A-5C605B24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302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53022"/>
    <w:pPr>
      <w:tabs>
        <w:tab w:val="center" w:pos="4153"/>
        <w:tab w:val="right" w:pos="8306"/>
      </w:tabs>
    </w:pPr>
  </w:style>
  <w:style w:type="paragraph" w:styleId="a4">
    <w:name w:val="footer"/>
    <w:basedOn w:val="a"/>
    <w:rsid w:val="00F53022"/>
    <w:pPr>
      <w:tabs>
        <w:tab w:val="center" w:pos="4153"/>
        <w:tab w:val="right" w:pos="8306"/>
      </w:tabs>
    </w:pPr>
  </w:style>
  <w:style w:type="character" w:styleId="a5">
    <w:name w:val="page number"/>
    <w:basedOn w:val="a0"/>
    <w:rsid w:val="00F53022"/>
  </w:style>
  <w:style w:type="paragraph" w:customStyle="1" w:styleId="12">
    <w:name w:val="רגיל + ‏12 נק'"/>
    <w:aliases w:val="מיושר לשני הצדדים,מרווח בין שורות:  שורה וחצי"/>
    <w:basedOn w:val="a"/>
    <w:rsid w:val="00F53022"/>
    <w:rPr>
      <w:rFonts w:ascii="Times New Roman" w:eastAsia="Times New Roman" w:hAnsi="Times New Roman"/>
      <w:b/>
      <w:bCs/>
      <w:u w:val="single"/>
    </w:rPr>
  </w:style>
  <w:style w:type="paragraph" w:customStyle="1" w:styleId="ListParagraph">
    <w:name w:val="List Paragraph"/>
    <w:basedOn w:val="a"/>
    <w:rsid w:val="00F53022"/>
    <w:pPr>
      <w:ind w:left="720"/>
      <w:contextualSpacing/>
    </w:pPr>
    <w:rPr>
      <w:rFonts w:ascii="Times New Roman" w:eastAsia="Times New Roman" w:hAnsi="Times New Roman"/>
    </w:rPr>
  </w:style>
  <w:style w:type="character" w:styleId="a6">
    <w:name w:val="line number"/>
    <w:basedOn w:val="a0"/>
    <w:rsid w:val="00F53022"/>
  </w:style>
  <w:style w:type="character" w:styleId="Hyperlink">
    <w:name w:val="Hyperlink"/>
    <w:basedOn w:val="a0"/>
    <w:rsid w:val="00026C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502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80386" TargetMode="External"/><Relationship Id="rId39" Type="http://schemas.openxmlformats.org/officeDocument/2006/relationships/hyperlink" Target="http://www.nevo.co.il/law/75025" TargetMode="External"/><Relationship Id="rId21" Type="http://schemas.openxmlformats.org/officeDocument/2006/relationships/hyperlink" Target="http://www.nevo.co.il/law/70301/40i" TargetMode="External"/><Relationship Id="rId34" Type="http://schemas.openxmlformats.org/officeDocument/2006/relationships/hyperlink" Target="http://www.nevo.co.il/case/5878589" TargetMode="External"/><Relationship Id="rId42" Type="http://schemas.openxmlformats.org/officeDocument/2006/relationships/hyperlink" Target="http://www.nevo.co.il/law/70301/144"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5887664" TargetMode="External"/><Relationship Id="rId32" Type="http://schemas.openxmlformats.org/officeDocument/2006/relationships/hyperlink" Target="http://www.nevo.co.il/case/6156633" TargetMode="External"/><Relationship Id="rId37" Type="http://schemas.openxmlformats.org/officeDocument/2006/relationships/hyperlink" Target="http://www.nevo.co.il/case/6241536" TargetMode="External"/><Relationship Id="rId40" Type="http://schemas.openxmlformats.org/officeDocument/2006/relationships/hyperlink" Target="http://www.nevo.co.il/law/70301/144"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7791493" TargetMode="External"/><Relationship Id="rId28" Type="http://schemas.openxmlformats.org/officeDocument/2006/relationships/hyperlink" Target="http://www.nevo.co.il/law/70301/31" TargetMode="External"/><Relationship Id="rId36" Type="http://schemas.openxmlformats.org/officeDocument/2006/relationships/hyperlink" Target="http://www.nevo.co.il/case/6245562" TargetMode="External"/><Relationship Id="rId49" Type="http://schemas.openxmlformats.org/officeDocument/2006/relationships/footer" Target="footer1.xm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000182" TargetMode="External"/><Relationship Id="rId44" Type="http://schemas.openxmlformats.org/officeDocument/2006/relationships/hyperlink" Target="http://www.nevo.co.il/law/70301/14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5025/7"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377901" TargetMode="External"/><Relationship Id="rId30" Type="http://schemas.openxmlformats.org/officeDocument/2006/relationships/hyperlink" Target="http://www.nevo.co.il/case/5002166" TargetMode="External"/><Relationship Id="rId35" Type="http://schemas.openxmlformats.org/officeDocument/2006/relationships/hyperlink" Target="http://www.nevo.co.il/case/4691716" TargetMode="External"/><Relationship Id="rId43" Type="http://schemas.openxmlformats.org/officeDocument/2006/relationships/hyperlink" Target="http://www.nevo.co.il/law/70301" TargetMode="External"/><Relationship Id="rId48" Type="http://schemas.openxmlformats.org/officeDocument/2006/relationships/header" Target="header2.xml"/><Relationship Id="rId8" Type="http://schemas.openxmlformats.org/officeDocument/2006/relationships/hyperlink" Target="http://www.nevo.co.il/law/70301/4c.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5804154" TargetMode="External"/><Relationship Id="rId33" Type="http://schemas.openxmlformats.org/officeDocument/2006/relationships/hyperlink" Target="http://www.nevo.co.il/case/5999714" TargetMode="External"/><Relationship Id="rId38" Type="http://schemas.openxmlformats.org/officeDocument/2006/relationships/hyperlink" Target="http://www.nevo.co.il/law/75025/7"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4c.a"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3291</Words>
  <Characters>16456</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19708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6357092</vt:i4>
      </vt:variant>
      <vt:variant>
        <vt:i4>105</vt:i4>
      </vt:variant>
      <vt:variant>
        <vt:i4>0</vt:i4>
      </vt:variant>
      <vt:variant>
        <vt:i4>5</vt:i4>
      </vt:variant>
      <vt:variant>
        <vt:lpwstr>http://www.nevo.co.il/law/70301/144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6357092</vt:i4>
      </vt:variant>
      <vt:variant>
        <vt:i4>99</vt:i4>
      </vt:variant>
      <vt:variant>
        <vt:i4>0</vt:i4>
      </vt:variant>
      <vt:variant>
        <vt:i4>5</vt:i4>
      </vt:variant>
      <vt:variant>
        <vt:lpwstr>http://www.nevo.co.il/law/70301/144</vt:lpwstr>
      </vt:variant>
      <vt:variant>
        <vt:lpwstr/>
      </vt:variant>
      <vt:variant>
        <vt:i4>8192103</vt:i4>
      </vt:variant>
      <vt:variant>
        <vt:i4>96</vt:i4>
      </vt:variant>
      <vt:variant>
        <vt:i4>0</vt:i4>
      </vt:variant>
      <vt:variant>
        <vt:i4>5</vt:i4>
      </vt:variant>
      <vt:variant>
        <vt:lpwstr>http://www.nevo.co.il/law/75025</vt:lpwstr>
      </vt:variant>
      <vt:variant>
        <vt:lpwstr/>
      </vt:variant>
      <vt:variant>
        <vt:i4>5374034</vt:i4>
      </vt:variant>
      <vt:variant>
        <vt:i4>93</vt:i4>
      </vt:variant>
      <vt:variant>
        <vt:i4>0</vt:i4>
      </vt:variant>
      <vt:variant>
        <vt:i4>5</vt:i4>
      </vt:variant>
      <vt:variant>
        <vt:lpwstr>http://www.nevo.co.il/law/75025/7</vt:lpwstr>
      </vt:variant>
      <vt:variant>
        <vt:lpwstr/>
      </vt:variant>
      <vt:variant>
        <vt:i4>3211380</vt:i4>
      </vt:variant>
      <vt:variant>
        <vt:i4>90</vt:i4>
      </vt:variant>
      <vt:variant>
        <vt:i4>0</vt:i4>
      </vt:variant>
      <vt:variant>
        <vt:i4>5</vt:i4>
      </vt:variant>
      <vt:variant>
        <vt:lpwstr>http://www.nevo.co.il/case/6241536</vt:lpwstr>
      </vt:variant>
      <vt:variant>
        <vt:lpwstr/>
      </vt:variant>
      <vt:variant>
        <vt:i4>3473525</vt:i4>
      </vt:variant>
      <vt:variant>
        <vt:i4>87</vt:i4>
      </vt:variant>
      <vt:variant>
        <vt:i4>0</vt:i4>
      </vt:variant>
      <vt:variant>
        <vt:i4>5</vt:i4>
      </vt:variant>
      <vt:variant>
        <vt:lpwstr>http://www.nevo.co.il/case/6245562</vt:lpwstr>
      </vt:variant>
      <vt:variant>
        <vt:lpwstr/>
      </vt:variant>
      <vt:variant>
        <vt:i4>3932274</vt:i4>
      </vt:variant>
      <vt:variant>
        <vt:i4>84</vt:i4>
      </vt:variant>
      <vt:variant>
        <vt:i4>0</vt:i4>
      </vt:variant>
      <vt:variant>
        <vt:i4>5</vt:i4>
      </vt:variant>
      <vt:variant>
        <vt:lpwstr>http://www.nevo.co.il/case/4691716</vt:lpwstr>
      </vt:variant>
      <vt:variant>
        <vt:lpwstr/>
      </vt:variant>
      <vt:variant>
        <vt:i4>4063356</vt:i4>
      </vt:variant>
      <vt:variant>
        <vt:i4>81</vt:i4>
      </vt:variant>
      <vt:variant>
        <vt:i4>0</vt:i4>
      </vt:variant>
      <vt:variant>
        <vt:i4>5</vt:i4>
      </vt:variant>
      <vt:variant>
        <vt:lpwstr>http://www.nevo.co.il/case/5878589</vt:lpwstr>
      </vt:variant>
      <vt:variant>
        <vt:lpwstr/>
      </vt:variant>
      <vt:variant>
        <vt:i4>4128885</vt:i4>
      </vt:variant>
      <vt:variant>
        <vt:i4>78</vt:i4>
      </vt:variant>
      <vt:variant>
        <vt:i4>0</vt:i4>
      </vt:variant>
      <vt:variant>
        <vt:i4>5</vt:i4>
      </vt:variant>
      <vt:variant>
        <vt:lpwstr>http://www.nevo.co.il/case/5999714</vt:lpwstr>
      </vt:variant>
      <vt:variant>
        <vt:lpwstr/>
      </vt:variant>
      <vt:variant>
        <vt:i4>3539056</vt:i4>
      </vt:variant>
      <vt:variant>
        <vt:i4>75</vt:i4>
      </vt:variant>
      <vt:variant>
        <vt:i4>0</vt:i4>
      </vt:variant>
      <vt:variant>
        <vt:i4>5</vt:i4>
      </vt:variant>
      <vt:variant>
        <vt:lpwstr>http://www.nevo.co.il/case/6156633</vt:lpwstr>
      </vt:variant>
      <vt:variant>
        <vt:lpwstr/>
      </vt:variant>
      <vt:variant>
        <vt:i4>3473532</vt:i4>
      </vt:variant>
      <vt:variant>
        <vt:i4>72</vt:i4>
      </vt:variant>
      <vt:variant>
        <vt:i4>0</vt:i4>
      </vt:variant>
      <vt:variant>
        <vt:i4>5</vt:i4>
      </vt:variant>
      <vt:variant>
        <vt:lpwstr>http://www.nevo.co.il/case/6000182</vt:lpwstr>
      </vt:variant>
      <vt:variant>
        <vt:lpwstr/>
      </vt:variant>
      <vt:variant>
        <vt:i4>3276912</vt:i4>
      </vt:variant>
      <vt:variant>
        <vt:i4>69</vt:i4>
      </vt:variant>
      <vt:variant>
        <vt:i4>0</vt:i4>
      </vt:variant>
      <vt:variant>
        <vt:i4>5</vt:i4>
      </vt:variant>
      <vt:variant>
        <vt:lpwstr>http://www.nevo.co.il/case/5002166</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3997808</vt:i4>
      </vt:variant>
      <vt:variant>
        <vt:i4>60</vt:i4>
      </vt:variant>
      <vt:variant>
        <vt:i4>0</vt:i4>
      </vt:variant>
      <vt:variant>
        <vt:i4>5</vt:i4>
      </vt:variant>
      <vt:variant>
        <vt:lpwstr>http://www.nevo.co.il/case/2377901</vt:lpwstr>
      </vt:variant>
      <vt:variant>
        <vt:lpwstr/>
      </vt:variant>
      <vt:variant>
        <vt:i4>4128895</vt:i4>
      </vt:variant>
      <vt:variant>
        <vt:i4>57</vt:i4>
      </vt:variant>
      <vt:variant>
        <vt:i4>0</vt:i4>
      </vt:variant>
      <vt:variant>
        <vt:i4>5</vt:i4>
      </vt:variant>
      <vt:variant>
        <vt:lpwstr>http://www.nevo.co.il/case/2380386</vt:lpwstr>
      </vt:variant>
      <vt:variant>
        <vt:lpwstr/>
      </vt:variant>
      <vt:variant>
        <vt:i4>3145853</vt:i4>
      </vt:variant>
      <vt:variant>
        <vt:i4>54</vt:i4>
      </vt:variant>
      <vt:variant>
        <vt:i4>0</vt:i4>
      </vt:variant>
      <vt:variant>
        <vt:i4>5</vt:i4>
      </vt:variant>
      <vt:variant>
        <vt:lpwstr>http://www.nevo.co.il/case/5804154</vt:lpwstr>
      </vt:variant>
      <vt:variant>
        <vt:lpwstr/>
      </vt:variant>
      <vt:variant>
        <vt:i4>4128893</vt:i4>
      </vt:variant>
      <vt:variant>
        <vt:i4>51</vt:i4>
      </vt:variant>
      <vt:variant>
        <vt:i4>0</vt:i4>
      </vt:variant>
      <vt:variant>
        <vt:i4>5</vt:i4>
      </vt:variant>
      <vt:variant>
        <vt:lpwstr>http://www.nevo.co.il/case/5887664</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5701711</vt:i4>
      </vt:variant>
      <vt:variant>
        <vt:i4>39</vt:i4>
      </vt:variant>
      <vt:variant>
        <vt:i4>0</vt:i4>
      </vt:variant>
      <vt:variant>
        <vt:i4>5</vt:i4>
      </vt:variant>
      <vt:variant>
        <vt:lpwstr>http://www.nevo.co.il/law/70301/4c.a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5374034</vt:i4>
      </vt:variant>
      <vt:variant>
        <vt:i4>21</vt:i4>
      </vt:variant>
      <vt:variant>
        <vt:i4>0</vt:i4>
      </vt:variant>
      <vt:variant>
        <vt:i4>5</vt:i4>
      </vt:variant>
      <vt:variant>
        <vt:lpwstr>http://www.nevo.co.il/law/75025/7</vt:lpwstr>
      </vt:variant>
      <vt:variant>
        <vt:lpwstr/>
      </vt:variant>
      <vt:variant>
        <vt:i4>8192103</vt:i4>
      </vt:variant>
      <vt:variant>
        <vt:i4>18</vt:i4>
      </vt:variant>
      <vt:variant>
        <vt:i4>0</vt:i4>
      </vt:variant>
      <vt:variant>
        <vt:i4>5</vt:i4>
      </vt:variant>
      <vt:variant>
        <vt:lpwstr>http://www.nevo.co.il/law/75025</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6553702</vt:i4>
      </vt:variant>
      <vt:variant>
        <vt:i4>6</vt:i4>
      </vt:variant>
      <vt:variant>
        <vt:i4>0</vt:i4>
      </vt:variant>
      <vt:variant>
        <vt:i4>5</vt:i4>
      </vt:variant>
      <vt:variant>
        <vt:lpwstr>http://www.nevo.co.il/law/70301/31</vt:lpwstr>
      </vt:variant>
      <vt:variant>
        <vt:lpwstr/>
      </vt:variant>
      <vt:variant>
        <vt:i4>5701711</vt:i4>
      </vt:variant>
      <vt:variant>
        <vt:i4>3</vt:i4>
      </vt:variant>
      <vt:variant>
        <vt:i4>0</vt:i4>
      </vt:variant>
      <vt:variant>
        <vt:i4>5</vt:i4>
      </vt:variant>
      <vt:variant>
        <vt:lpwstr>http://www.nevo.co.il/law/70301/4c.a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2025-01-19T17:34:00Z</dcterms:created>
  <dcterms:modified xsi:type="dcterms:W3CDTF">2025-01-19T17:34:00Z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33342</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סאוסן חאג' עלי</vt:lpwstr>
  </property>
  <property fmtid="{D5CDD505-2E9C-101B-9397-08002B2CF9AE}" pid="10" name="LAWYER">
    <vt:lpwstr> ניזאר עבוד; שחר חסון;</vt:lpwstr>
  </property>
  <property fmtid="{D5CDD505-2E9C-101B-9397-08002B2CF9AE}" pid="11" name="JUDGE">
    <vt:lpwstr>ניר מישורי לב טוב</vt:lpwstr>
  </property>
  <property fmtid="{D5CDD505-2E9C-101B-9397-08002B2CF9AE}" pid="12" name="CITY">
    <vt:lpwstr>טב'</vt:lpwstr>
  </property>
  <property fmtid="{D5CDD505-2E9C-101B-9397-08002B2CF9AE}" pid="13" name="DATE">
    <vt:lpwstr>20140901</vt:lpwstr>
  </property>
  <property fmtid="{D5CDD505-2E9C-101B-9397-08002B2CF9AE}" pid="14" name="TYPE_N_DATE">
    <vt:lpwstr>38020140901</vt:lpwstr>
  </property>
  <property fmtid="{D5CDD505-2E9C-101B-9397-08002B2CF9AE}" pid="15" name="CASESLISTTMP1">
    <vt:lpwstr>7791493;5887664;5804154;2380386;2377901;5002166;6000182;6156633;5999714;5878589;4691716;6245562;6241536</vt:lpwstr>
  </property>
  <property fmtid="{D5CDD505-2E9C-101B-9397-08002B2CF9AE}" pid="16" name="WORDNUMPAGES">
    <vt:lpwstr>11</vt:lpwstr>
  </property>
  <property fmtid="{D5CDD505-2E9C-101B-9397-08002B2CF9AE}" pid="17" name="TYPE_ABS_DATE">
    <vt:lpwstr>380020140901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70301/144.a:2;004c.a;040i;031;144:3</vt:lpwstr>
  </property>
  <property fmtid="{D5CDD505-2E9C-101B-9397-08002B2CF9AE}" pid="37" name="LAWLISTTMP2">
    <vt:lpwstr>75025/007</vt:lpwstr>
  </property>
</Properties>
</file>