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42031" w:rsidRPr="00456E59" w14:paraId="138D79F6" w14:textId="77777777">
        <w:trPr>
          <w:trHeight w:hRule="exact" w:val="418"/>
          <w:jc w:val="center"/>
        </w:trPr>
        <w:tc>
          <w:tcPr>
            <w:tcW w:w="8721" w:type="dxa"/>
            <w:gridSpan w:val="2"/>
          </w:tcPr>
          <w:p w14:paraId="4D140194" w14:textId="77777777" w:rsidR="00442031" w:rsidRPr="00456E59" w:rsidRDefault="00456E59">
            <w:pPr>
              <w:pStyle w:val="a3"/>
              <w:jc w:val="center"/>
              <w:rPr>
                <w:rFonts w:ascii="Tahoma" w:hAnsi="Tahoma" w:cs="Tahoma"/>
                <w:color w:val="000080"/>
                <w:rtl/>
              </w:rPr>
            </w:pPr>
            <w:bookmarkStart w:id="0" w:name="FirstLawyer"/>
            <w:bookmarkStart w:id="1" w:name="LastJudge"/>
            <w:r w:rsidRPr="00456E59">
              <w:rPr>
                <w:rFonts w:ascii="Tahoma" w:hAnsi="Tahoma" w:cs="Tahoma"/>
                <w:b/>
                <w:bCs/>
                <w:color w:val="000080"/>
                <w:rtl/>
              </w:rPr>
              <w:t>בית משפט השלום בפתח תקווה</w:t>
            </w:r>
          </w:p>
        </w:tc>
      </w:tr>
      <w:tr w:rsidR="00442031" w:rsidRPr="00456E59" w14:paraId="442D927B" w14:textId="77777777">
        <w:trPr>
          <w:trHeight w:val="337"/>
          <w:jc w:val="center"/>
        </w:trPr>
        <w:tc>
          <w:tcPr>
            <w:tcW w:w="5054" w:type="dxa"/>
          </w:tcPr>
          <w:p w14:paraId="358C9B20" w14:textId="77777777" w:rsidR="00442031" w:rsidRPr="00456E59" w:rsidRDefault="00456E59">
            <w:pPr>
              <w:rPr>
                <w:rFonts w:cs="FrankRuehl"/>
                <w:sz w:val="28"/>
                <w:szCs w:val="28"/>
                <w:rtl/>
              </w:rPr>
            </w:pPr>
            <w:r w:rsidRPr="00456E59">
              <w:rPr>
                <w:rFonts w:cs="FrankRuehl"/>
                <w:sz w:val="28"/>
                <w:szCs w:val="28"/>
                <w:rtl/>
              </w:rPr>
              <w:t>ת"פ</w:t>
            </w:r>
            <w:r w:rsidRPr="00456E59">
              <w:rPr>
                <w:rFonts w:cs="FrankRuehl" w:hint="cs"/>
                <w:sz w:val="28"/>
                <w:szCs w:val="28"/>
                <w:rtl/>
              </w:rPr>
              <w:t xml:space="preserve"> </w:t>
            </w:r>
            <w:r w:rsidRPr="00456E59">
              <w:rPr>
                <w:rFonts w:cs="FrankRuehl"/>
                <w:sz w:val="28"/>
                <w:szCs w:val="28"/>
                <w:rtl/>
              </w:rPr>
              <w:t>47022-05-14</w:t>
            </w:r>
            <w:r w:rsidRPr="00456E59">
              <w:rPr>
                <w:rFonts w:cs="FrankRuehl" w:hint="cs"/>
                <w:sz w:val="28"/>
                <w:szCs w:val="28"/>
                <w:rtl/>
              </w:rPr>
              <w:t xml:space="preserve"> </w:t>
            </w:r>
            <w:r w:rsidRPr="00456E59">
              <w:rPr>
                <w:rFonts w:cs="FrankRuehl"/>
                <w:sz w:val="28"/>
                <w:szCs w:val="28"/>
                <w:rtl/>
              </w:rPr>
              <w:t>מדינת ישראל נ' יונגר</w:t>
            </w:r>
          </w:p>
          <w:p w14:paraId="6E27DC69" w14:textId="77777777" w:rsidR="00442031" w:rsidRPr="00456E59" w:rsidRDefault="00442031">
            <w:pPr>
              <w:pStyle w:val="a3"/>
              <w:rPr>
                <w:rFonts w:cs="FrankRuehl"/>
                <w:sz w:val="28"/>
                <w:szCs w:val="28"/>
                <w:rtl/>
              </w:rPr>
            </w:pPr>
          </w:p>
        </w:tc>
        <w:tc>
          <w:tcPr>
            <w:tcW w:w="3667" w:type="dxa"/>
          </w:tcPr>
          <w:p w14:paraId="0A3F946B" w14:textId="77777777" w:rsidR="00442031" w:rsidRPr="00456E59" w:rsidRDefault="00442031">
            <w:pPr>
              <w:pStyle w:val="a3"/>
              <w:jc w:val="right"/>
              <w:rPr>
                <w:rFonts w:cs="FrankRuehl"/>
                <w:sz w:val="28"/>
                <w:szCs w:val="28"/>
                <w:rtl/>
              </w:rPr>
            </w:pPr>
          </w:p>
        </w:tc>
      </w:tr>
    </w:tbl>
    <w:p w14:paraId="235948B6" w14:textId="77777777" w:rsidR="00442031" w:rsidRPr="00456E59" w:rsidRDefault="00456E59">
      <w:pPr>
        <w:pStyle w:val="a3"/>
        <w:rPr>
          <w:rtl/>
        </w:rPr>
      </w:pPr>
      <w:r w:rsidRPr="00456E59">
        <w:rPr>
          <w:rFonts w:hint="cs"/>
          <w:rtl/>
        </w:rPr>
        <w:t xml:space="preserve"> </w:t>
      </w:r>
    </w:p>
    <w:p w14:paraId="3347214B" w14:textId="77777777" w:rsidR="00442031" w:rsidRPr="00456E59" w:rsidRDefault="0044203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3978"/>
        <w:gridCol w:w="3611"/>
      </w:tblGrid>
      <w:tr w:rsidR="00442031" w:rsidRPr="00456E59" w14:paraId="5E98A319" w14:textId="77777777">
        <w:trPr>
          <w:trHeight w:val="295"/>
          <w:jc w:val="center"/>
        </w:trPr>
        <w:tc>
          <w:tcPr>
            <w:tcW w:w="1231" w:type="dxa"/>
            <w:tcBorders>
              <w:top w:val="nil"/>
              <w:left w:val="nil"/>
              <w:bottom w:val="nil"/>
              <w:right w:val="nil"/>
            </w:tcBorders>
            <w:shd w:val="clear" w:color="auto" w:fill="auto"/>
          </w:tcPr>
          <w:p w14:paraId="4AD51668" w14:textId="77777777" w:rsidR="00442031" w:rsidRPr="00456E59" w:rsidRDefault="00456E59">
            <w:pPr>
              <w:jc w:val="both"/>
              <w:rPr>
                <w:rFonts w:ascii="Arial" w:hAnsi="Arial"/>
                <w:b/>
                <w:bCs/>
                <w:sz w:val="26"/>
                <w:szCs w:val="26"/>
              </w:rPr>
            </w:pPr>
            <w:r w:rsidRPr="00456E59">
              <w:rPr>
                <w:rFonts w:ascii="Arial" w:hAnsi="Arial" w:hint="cs"/>
                <w:b/>
                <w:bCs/>
                <w:sz w:val="26"/>
                <w:szCs w:val="26"/>
                <w:rtl/>
              </w:rPr>
              <w:t>ב</w:t>
            </w:r>
            <w:r w:rsidRPr="00456E59">
              <w:rPr>
                <w:rFonts w:ascii="Arial" w:hAnsi="Arial"/>
                <w:b/>
                <w:bCs/>
                <w:sz w:val="26"/>
                <w:szCs w:val="26"/>
                <w:rtl/>
              </w:rPr>
              <w:t xml:space="preserve">פני </w:t>
            </w:r>
          </w:p>
        </w:tc>
        <w:tc>
          <w:tcPr>
            <w:tcW w:w="7589" w:type="dxa"/>
            <w:gridSpan w:val="2"/>
            <w:tcBorders>
              <w:top w:val="nil"/>
              <w:left w:val="nil"/>
              <w:bottom w:val="nil"/>
              <w:right w:val="nil"/>
            </w:tcBorders>
            <w:shd w:val="clear" w:color="auto" w:fill="auto"/>
          </w:tcPr>
          <w:p w14:paraId="6BC97DA7" w14:textId="77777777" w:rsidR="00442031" w:rsidRPr="00456E59" w:rsidRDefault="00456E59">
            <w:pPr>
              <w:rPr>
                <w:rFonts w:ascii="Arial" w:hAnsi="Arial"/>
                <w:b/>
                <w:bCs/>
                <w:sz w:val="26"/>
                <w:szCs w:val="26"/>
                <w:rtl/>
              </w:rPr>
            </w:pPr>
            <w:r w:rsidRPr="00456E59">
              <w:rPr>
                <w:rFonts w:ascii="Arial" w:hAnsi="Arial" w:hint="cs"/>
                <w:b/>
                <w:bCs/>
                <w:sz w:val="26"/>
                <w:szCs w:val="26"/>
                <w:rtl/>
              </w:rPr>
              <w:t>כבוד ה</w:t>
            </w:r>
            <w:r w:rsidRPr="00456E59">
              <w:rPr>
                <w:rFonts w:hint="cs"/>
                <w:b/>
                <w:bCs/>
                <w:sz w:val="26"/>
                <w:szCs w:val="26"/>
                <w:rtl/>
              </w:rPr>
              <w:t>שופט</w:t>
            </w:r>
            <w:r w:rsidRPr="00456E59">
              <w:rPr>
                <w:rFonts w:ascii="Arial" w:hAnsi="Arial" w:hint="cs"/>
                <w:b/>
                <w:bCs/>
                <w:sz w:val="26"/>
                <w:szCs w:val="26"/>
                <w:rtl/>
              </w:rPr>
              <w:t xml:space="preserve">  </w:t>
            </w:r>
            <w:r w:rsidRPr="00456E59">
              <w:rPr>
                <w:rFonts w:hint="cs"/>
                <w:b/>
                <w:bCs/>
                <w:sz w:val="26"/>
                <w:szCs w:val="26"/>
                <w:rtl/>
              </w:rPr>
              <w:t>ארז נוריאלי</w:t>
            </w:r>
          </w:p>
          <w:p w14:paraId="2BE662C2" w14:textId="77777777" w:rsidR="00442031" w:rsidRPr="00456E59" w:rsidRDefault="00442031">
            <w:pPr>
              <w:rPr>
                <w:b/>
                <w:bCs/>
                <w:sz w:val="26"/>
                <w:szCs w:val="26"/>
                <w:rtl/>
              </w:rPr>
            </w:pPr>
          </w:p>
          <w:p w14:paraId="40678651" w14:textId="77777777" w:rsidR="00442031" w:rsidRPr="00456E59" w:rsidRDefault="00442031">
            <w:pPr>
              <w:jc w:val="both"/>
              <w:rPr>
                <w:rFonts w:ascii="Arial" w:hAnsi="Arial"/>
                <w:b/>
                <w:bCs/>
                <w:sz w:val="26"/>
                <w:szCs w:val="26"/>
              </w:rPr>
            </w:pPr>
          </w:p>
        </w:tc>
      </w:tr>
      <w:tr w:rsidR="00442031" w:rsidRPr="00456E59" w14:paraId="5FE4CA11" w14:textId="77777777">
        <w:trPr>
          <w:trHeight w:val="355"/>
          <w:jc w:val="center"/>
        </w:trPr>
        <w:tc>
          <w:tcPr>
            <w:tcW w:w="1231" w:type="dxa"/>
            <w:tcBorders>
              <w:top w:val="nil"/>
              <w:left w:val="nil"/>
              <w:bottom w:val="nil"/>
              <w:right w:val="nil"/>
            </w:tcBorders>
            <w:shd w:val="clear" w:color="auto" w:fill="auto"/>
          </w:tcPr>
          <w:p w14:paraId="20B5CF79" w14:textId="77777777" w:rsidR="00442031" w:rsidRPr="00456E59" w:rsidRDefault="00456E59">
            <w:pPr>
              <w:jc w:val="both"/>
              <w:rPr>
                <w:rFonts w:ascii="Arial" w:hAnsi="Arial" w:cs="FrankRuehl"/>
                <w:sz w:val="26"/>
                <w:szCs w:val="26"/>
              </w:rPr>
            </w:pPr>
            <w:bookmarkStart w:id="2" w:name="FirstAppellant"/>
            <w:r w:rsidRPr="00456E59">
              <w:rPr>
                <w:rFonts w:ascii="Arial" w:hAnsi="Arial" w:hint="cs"/>
                <w:b/>
                <w:bCs/>
                <w:sz w:val="26"/>
                <w:szCs w:val="26"/>
                <w:rtl/>
              </w:rPr>
              <w:t xml:space="preserve">המאשימה </w:t>
            </w:r>
          </w:p>
        </w:tc>
        <w:tc>
          <w:tcPr>
            <w:tcW w:w="3978" w:type="dxa"/>
            <w:tcBorders>
              <w:top w:val="nil"/>
              <w:left w:val="nil"/>
              <w:bottom w:val="nil"/>
              <w:right w:val="nil"/>
            </w:tcBorders>
            <w:shd w:val="clear" w:color="auto" w:fill="auto"/>
          </w:tcPr>
          <w:p w14:paraId="79E5232E" w14:textId="77777777" w:rsidR="00442031" w:rsidRPr="00456E59" w:rsidRDefault="00456E59">
            <w:pPr>
              <w:rPr>
                <w:b/>
                <w:bCs/>
                <w:sz w:val="26"/>
                <w:szCs w:val="26"/>
              </w:rPr>
            </w:pPr>
            <w:r w:rsidRPr="00456E59">
              <w:rPr>
                <w:rFonts w:hint="cs"/>
                <w:b/>
                <w:bCs/>
                <w:sz w:val="26"/>
                <w:szCs w:val="26"/>
                <w:rtl/>
              </w:rPr>
              <w:t xml:space="preserve">                          מדינת ישראל</w:t>
            </w:r>
          </w:p>
        </w:tc>
        <w:tc>
          <w:tcPr>
            <w:tcW w:w="3611" w:type="dxa"/>
            <w:tcBorders>
              <w:top w:val="nil"/>
              <w:left w:val="nil"/>
              <w:bottom w:val="nil"/>
              <w:right w:val="nil"/>
            </w:tcBorders>
            <w:shd w:val="clear" w:color="auto" w:fill="auto"/>
          </w:tcPr>
          <w:p w14:paraId="66838DD3" w14:textId="77777777" w:rsidR="00442031" w:rsidRPr="00456E59" w:rsidRDefault="00442031">
            <w:pPr>
              <w:jc w:val="both"/>
              <w:rPr>
                <w:rFonts w:ascii="Arial" w:hAnsi="Arial" w:cs="FrankRuehl"/>
                <w:sz w:val="26"/>
                <w:szCs w:val="26"/>
              </w:rPr>
            </w:pPr>
          </w:p>
        </w:tc>
      </w:tr>
      <w:bookmarkEnd w:id="2"/>
      <w:tr w:rsidR="00442031" w:rsidRPr="00456E59" w14:paraId="2A46D999" w14:textId="77777777">
        <w:trPr>
          <w:trHeight w:val="355"/>
          <w:jc w:val="center"/>
        </w:trPr>
        <w:tc>
          <w:tcPr>
            <w:tcW w:w="1231" w:type="dxa"/>
            <w:tcBorders>
              <w:top w:val="nil"/>
              <w:left w:val="nil"/>
              <w:bottom w:val="nil"/>
              <w:right w:val="nil"/>
            </w:tcBorders>
            <w:shd w:val="clear" w:color="auto" w:fill="auto"/>
          </w:tcPr>
          <w:p w14:paraId="6728D606" w14:textId="77777777" w:rsidR="00442031" w:rsidRPr="00456E59" w:rsidRDefault="00442031">
            <w:pPr>
              <w:jc w:val="both"/>
              <w:rPr>
                <w:rFonts w:ascii="Arial" w:hAnsi="Arial" w:cs="FrankRuehl"/>
                <w:sz w:val="28"/>
                <w:szCs w:val="28"/>
                <w:rtl/>
              </w:rPr>
            </w:pPr>
          </w:p>
        </w:tc>
        <w:tc>
          <w:tcPr>
            <w:tcW w:w="3978" w:type="dxa"/>
            <w:tcBorders>
              <w:top w:val="nil"/>
              <w:left w:val="nil"/>
              <w:bottom w:val="nil"/>
              <w:right w:val="nil"/>
            </w:tcBorders>
            <w:shd w:val="clear" w:color="auto" w:fill="auto"/>
          </w:tcPr>
          <w:p w14:paraId="24A79AF1" w14:textId="77777777" w:rsidR="00442031" w:rsidRPr="00456E59" w:rsidRDefault="00456E59">
            <w:pPr>
              <w:jc w:val="both"/>
              <w:rPr>
                <w:rtl/>
              </w:rPr>
            </w:pPr>
            <w:r w:rsidRPr="00456E59">
              <w:rPr>
                <w:rFonts w:hint="cs"/>
                <w:rtl/>
              </w:rPr>
              <w:t xml:space="preserve">                         על ידי  ב"כ עו"ד גבי פאר</w:t>
            </w:r>
          </w:p>
        </w:tc>
        <w:tc>
          <w:tcPr>
            <w:tcW w:w="3611" w:type="dxa"/>
            <w:tcBorders>
              <w:top w:val="nil"/>
              <w:left w:val="nil"/>
              <w:bottom w:val="nil"/>
              <w:right w:val="nil"/>
            </w:tcBorders>
            <w:shd w:val="clear" w:color="auto" w:fill="auto"/>
          </w:tcPr>
          <w:p w14:paraId="4CEFE591" w14:textId="77777777" w:rsidR="00442031" w:rsidRPr="00456E59" w:rsidRDefault="00442031">
            <w:pPr>
              <w:jc w:val="center"/>
              <w:rPr>
                <w:rFonts w:ascii="Arial" w:hAnsi="Arial" w:cs="FrankRuehl"/>
                <w:sz w:val="28"/>
                <w:szCs w:val="28"/>
                <w:rtl/>
              </w:rPr>
            </w:pPr>
          </w:p>
        </w:tc>
      </w:tr>
      <w:tr w:rsidR="00442031" w:rsidRPr="00456E59" w14:paraId="76FA3506" w14:textId="77777777">
        <w:trPr>
          <w:trHeight w:val="355"/>
          <w:jc w:val="center"/>
        </w:trPr>
        <w:tc>
          <w:tcPr>
            <w:tcW w:w="1231" w:type="dxa"/>
            <w:tcBorders>
              <w:top w:val="nil"/>
              <w:left w:val="nil"/>
              <w:bottom w:val="nil"/>
              <w:right w:val="nil"/>
            </w:tcBorders>
            <w:shd w:val="clear" w:color="auto" w:fill="auto"/>
          </w:tcPr>
          <w:p w14:paraId="7B1687F6" w14:textId="77777777" w:rsidR="00442031" w:rsidRPr="00456E59" w:rsidRDefault="00442031">
            <w:pPr>
              <w:jc w:val="both"/>
              <w:rPr>
                <w:rFonts w:ascii="Arial" w:hAnsi="Arial"/>
                <w:sz w:val="28"/>
                <w:szCs w:val="28"/>
                <w:rtl/>
              </w:rPr>
            </w:pPr>
          </w:p>
        </w:tc>
        <w:tc>
          <w:tcPr>
            <w:tcW w:w="7589" w:type="dxa"/>
            <w:gridSpan w:val="2"/>
            <w:tcBorders>
              <w:top w:val="nil"/>
              <w:left w:val="nil"/>
              <w:bottom w:val="nil"/>
              <w:right w:val="nil"/>
            </w:tcBorders>
            <w:shd w:val="clear" w:color="auto" w:fill="auto"/>
          </w:tcPr>
          <w:p w14:paraId="2A6AF037" w14:textId="77777777" w:rsidR="00442031" w:rsidRPr="00456E59" w:rsidRDefault="00442031">
            <w:pPr>
              <w:jc w:val="center"/>
              <w:rPr>
                <w:rFonts w:ascii="Arial" w:hAnsi="Arial"/>
                <w:b/>
                <w:bCs/>
                <w:sz w:val="28"/>
                <w:szCs w:val="28"/>
                <w:rtl/>
              </w:rPr>
            </w:pPr>
          </w:p>
          <w:p w14:paraId="638E2D98" w14:textId="77777777" w:rsidR="00442031" w:rsidRPr="00456E59" w:rsidRDefault="00456E59">
            <w:pPr>
              <w:rPr>
                <w:rFonts w:ascii="Arial" w:hAnsi="Arial"/>
                <w:b/>
                <w:bCs/>
                <w:sz w:val="28"/>
                <w:szCs w:val="28"/>
                <w:rtl/>
              </w:rPr>
            </w:pPr>
            <w:r w:rsidRPr="00456E59">
              <w:rPr>
                <w:rFonts w:ascii="Arial" w:hAnsi="Arial" w:hint="cs"/>
                <w:b/>
                <w:bCs/>
                <w:sz w:val="28"/>
                <w:szCs w:val="28"/>
                <w:rtl/>
              </w:rPr>
              <w:t xml:space="preserve">                      </w:t>
            </w:r>
            <w:r w:rsidRPr="00456E59">
              <w:rPr>
                <w:rFonts w:ascii="Arial" w:hAnsi="Arial"/>
                <w:b/>
                <w:bCs/>
                <w:sz w:val="28"/>
                <w:szCs w:val="28"/>
                <w:rtl/>
              </w:rPr>
              <w:t>נגד</w:t>
            </w:r>
          </w:p>
          <w:p w14:paraId="60780239" w14:textId="77777777" w:rsidR="00442031" w:rsidRPr="00456E59" w:rsidRDefault="00442031">
            <w:pPr>
              <w:jc w:val="both"/>
              <w:rPr>
                <w:rFonts w:ascii="Arial" w:hAnsi="Arial"/>
                <w:sz w:val="28"/>
                <w:szCs w:val="28"/>
              </w:rPr>
            </w:pPr>
          </w:p>
        </w:tc>
      </w:tr>
      <w:tr w:rsidR="00442031" w:rsidRPr="00456E59" w14:paraId="3D5DA959" w14:textId="77777777">
        <w:trPr>
          <w:trHeight w:val="355"/>
          <w:jc w:val="center"/>
        </w:trPr>
        <w:tc>
          <w:tcPr>
            <w:tcW w:w="1231" w:type="dxa"/>
            <w:tcBorders>
              <w:top w:val="nil"/>
              <w:left w:val="nil"/>
              <w:bottom w:val="nil"/>
              <w:right w:val="nil"/>
            </w:tcBorders>
            <w:shd w:val="clear" w:color="auto" w:fill="auto"/>
          </w:tcPr>
          <w:p w14:paraId="77D10BBB" w14:textId="77777777" w:rsidR="00442031" w:rsidRPr="00456E59" w:rsidRDefault="00456E59">
            <w:pPr>
              <w:rPr>
                <w:rFonts w:ascii="Arial" w:hAnsi="Arial"/>
                <w:b/>
                <w:bCs/>
                <w:sz w:val="26"/>
                <w:szCs w:val="26"/>
                <w:rtl/>
              </w:rPr>
            </w:pPr>
            <w:r w:rsidRPr="00456E59">
              <w:rPr>
                <w:rFonts w:ascii="Arial" w:hAnsi="Arial" w:hint="cs"/>
                <w:b/>
                <w:bCs/>
                <w:sz w:val="26"/>
                <w:szCs w:val="26"/>
                <w:rtl/>
              </w:rPr>
              <w:t>הנאשם</w:t>
            </w:r>
          </w:p>
        </w:tc>
        <w:tc>
          <w:tcPr>
            <w:tcW w:w="3978" w:type="dxa"/>
            <w:tcBorders>
              <w:top w:val="nil"/>
              <w:left w:val="nil"/>
              <w:bottom w:val="nil"/>
              <w:right w:val="nil"/>
            </w:tcBorders>
            <w:shd w:val="clear" w:color="auto" w:fill="auto"/>
          </w:tcPr>
          <w:p w14:paraId="29BBFC25" w14:textId="77777777" w:rsidR="00442031" w:rsidRPr="00456E59" w:rsidRDefault="00456E59">
            <w:pPr>
              <w:rPr>
                <w:b/>
                <w:bCs/>
                <w:sz w:val="26"/>
                <w:szCs w:val="26"/>
                <w:rtl/>
              </w:rPr>
            </w:pPr>
            <w:r w:rsidRPr="00456E59">
              <w:rPr>
                <w:rFonts w:hint="cs"/>
                <w:b/>
                <w:bCs/>
                <w:sz w:val="26"/>
                <w:szCs w:val="26"/>
                <w:rtl/>
              </w:rPr>
              <w:t xml:space="preserve">                           אייל יונגר</w:t>
            </w:r>
          </w:p>
        </w:tc>
        <w:tc>
          <w:tcPr>
            <w:tcW w:w="3611" w:type="dxa"/>
            <w:tcBorders>
              <w:top w:val="nil"/>
              <w:left w:val="nil"/>
              <w:bottom w:val="nil"/>
              <w:right w:val="nil"/>
            </w:tcBorders>
            <w:shd w:val="clear" w:color="auto" w:fill="auto"/>
          </w:tcPr>
          <w:p w14:paraId="2BC4F0FB" w14:textId="77777777" w:rsidR="00442031" w:rsidRPr="00456E59" w:rsidRDefault="00442031">
            <w:pPr>
              <w:jc w:val="right"/>
              <w:rPr>
                <w:rFonts w:ascii="Arial" w:hAnsi="Arial" w:cs="FrankRuehl"/>
                <w:sz w:val="26"/>
                <w:szCs w:val="26"/>
              </w:rPr>
            </w:pPr>
          </w:p>
        </w:tc>
      </w:tr>
      <w:tr w:rsidR="00442031" w:rsidRPr="00456E59" w14:paraId="29372909" w14:textId="77777777">
        <w:trPr>
          <w:trHeight w:val="355"/>
          <w:jc w:val="center"/>
        </w:trPr>
        <w:tc>
          <w:tcPr>
            <w:tcW w:w="1231" w:type="dxa"/>
            <w:tcBorders>
              <w:top w:val="nil"/>
              <w:left w:val="nil"/>
              <w:bottom w:val="nil"/>
              <w:right w:val="nil"/>
            </w:tcBorders>
            <w:shd w:val="clear" w:color="auto" w:fill="auto"/>
          </w:tcPr>
          <w:p w14:paraId="4D367ED8" w14:textId="77777777" w:rsidR="00442031" w:rsidRPr="00456E59" w:rsidRDefault="00442031">
            <w:pPr>
              <w:jc w:val="both"/>
              <w:rPr>
                <w:rFonts w:ascii="Arial" w:hAnsi="Arial" w:cs="FrankRuehl"/>
                <w:sz w:val="28"/>
                <w:szCs w:val="28"/>
                <w:rtl/>
              </w:rPr>
            </w:pPr>
          </w:p>
        </w:tc>
        <w:tc>
          <w:tcPr>
            <w:tcW w:w="3978" w:type="dxa"/>
            <w:tcBorders>
              <w:top w:val="nil"/>
              <w:left w:val="nil"/>
              <w:bottom w:val="nil"/>
              <w:right w:val="nil"/>
            </w:tcBorders>
            <w:shd w:val="clear" w:color="auto" w:fill="auto"/>
          </w:tcPr>
          <w:p w14:paraId="3EACF132" w14:textId="77777777" w:rsidR="00442031" w:rsidRPr="00456E59" w:rsidRDefault="00456E59">
            <w:pPr>
              <w:jc w:val="both"/>
              <w:rPr>
                <w:rtl/>
              </w:rPr>
            </w:pPr>
            <w:r w:rsidRPr="00456E59">
              <w:rPr>
                <w:rFonts w:hint="cs"/>
                <w:rtl/>
              </w:rPr>
              <w:t xml:space="preserve">                             על ידי  ב"כ עו"ד ניל סימון </w:t>
            </w:r>
          </w:p>
        </w:tc>
        <w:tc>
          <w:tcPr>
            <w:tcW w:w="3611" w:type="dxa"/>
            <w:tcBorders>
              <w:top w:val="nil"/>
              <w:left w:val="nil"/>
              <w:bottom w:val="nil"/>
              <w:right w:val="nil"/>
            </w:tcBorders>
            <w:shd w:val="clear" w:color="auto" w:fill="auto"/>
          </w:tcPr>
          <w:p w14:paraId="0BADE502" w14:textId="77777777" w:rsidR="00442031" w:rsidRPr="00456E59" w:rsidRDefault="00442031">
            <w:pPr>
              <w:jc w:val="right"/>
              <w:rPr>
                <w:rFonts w:ascii="Arial" w:hAnsi="Arial" w:cs="FrankRuehl"/>
                <w:sz w:val="28"/>
                <w:szCs w:val="28"/>
              </w:rPr>
            </w:pPr>
          </w:p>
        </w:tc>
      </w:tr>
      <w:tr w:rsidR="00442031" w14:paraId="59FDEF92" w14:textId="77777777">
        <w:trPr>
          <w:trHeight w:val="355"/>
          <w:jc w:val="center"/>
        </w:trPr>
        <w:tc>
          <w:tcPr>
            <w:tcW w:w="8820" w:type="dxa"/>
            <w:gridSpan w:val="3"/>
            <w:tcBorders>
              <w:top w:val="nil"/>
              <w:left w:val="nil"/>
              <w:bottom w:val="nil"/>
              <w:right w:val="nil"/>
            </w:tcBorders>
            <w:shd w:val="clear" w:color="auto" w:fill="auto"/>
          </w:tcPr>
          <w:p w14:paraId="442E17A9" w14:textId="77777777" w:rsidR="00E0034F" w:rsidRDefault="00E0034F" w:rsidP="00456E59">
            <w:pPr>
              <w:jc w:val="center"/>
              <w:rPr>
                <w:rFonts w:ascii="Arial" w:hAnsi="Arial"/>
                <w:sz w:val="32"/>
                <w:szCs w:val="32"/>
                <w:rtl/>
              </w:rPr>
            </w:pPr>
            <w:bookmarkStart w:id="3" w:name="PsakDin" w:colFirst="0" w:colLast="0"/>
            <w:bookmarkStart w:id="4" w:name="LawTable"/>
            <w:bookmarkEnd w:id="0"/>
            <w:bookmarkEnd w:id="1"/>
            <w:bookmarkEnd w:id="4"/>
          </w:p>
          <w:p w14:paraId="374E7C9F" w14:textId="77777777" w:rsidR="00E0034F" w:rsidRPr="00E0034F" w:rsidRDefault="00E0034F" w:rsidP="00E0034F">
            <w:pPr>
              <w:spacing w:after="120" w:line="240" w:lineRule="exact"/>
              <w:ind w:left="283" w:hanging="283"/>
              <w:jc w:val="both"/>
              <w:rPr>
                <w:rFonts w:ascii="FrankRuehl" w:hAnsi="FrankRuehl" w:cs="FrankRuehl"/>
                <w:rtl/>
              </w:rPr>
            </w:pPr>
          </w:p>
          <w:p w14:paraId="590FAB83" w14:textId="77777777" w:rsidR="00E0034F" w:rsidRPr="00E0034F" w:rsidRDefault="00E0034F" w:rsidP="00E0034F">
            <w:pPr>
              <w:spacing w:after="120" w:line="240" w:lineRule="exact"/>
              <w:ind w:left="283" w:hanging="283"/>
              <w:jc w:val="both"/>
              <w:rPr>
                <w:rFonts w:ascii="FrankRuehl" w:hAnsi="FrankRuehl" w:cs="FrankRuehl"/>
                <w:rtl/>
              </w:rPr>
            </w:pPr>
            <w:r w:rsidRPr="00E0034F">
              <w:rPr>
                <w:rFonts w:ascii="FrankRuehl" w:hAnsi="FrankRuehl" w:cs="FrankRuehl"/>
                <w:rtl/>
              </w:rPr>
              <w:t xml:space="preserve">חקיקה שאוזכרה: </w:t>
            </w:r>
          </w:p>
          <w:p w14:paraId="4933B2EE" w14:textId="77777777" w:rsidR="00E0034F" w:rsidRPr="00E0034F" w:rsidRDefault="00E0034F" w:rsidP="00E0034F">
            <w:pPr>
              <w:spacing w:after="120" w:line="240" w:lineRule="exact"/>
              <w:ind w:left="283" w:hanging="283"/>
              <w:jc w:val="both"/>
              <w:rPr>
                <w:rFonts w:ascii="FrankRuehl" w:hAnsi="FrankRuehl" w:cs="FrankRuehl"/>
                <w:rtl/>
              </w:rPr>
            </w:pPr>
            <w:hyperlink r:id="rId7" w:history="1">
              <w:r w:rsidRPr="00E0034F">
                <w:rPr>
                  <w:rFonts w:ascii="FrankRuehl" w:hAnsi="FrankRuehl" w:cs="FrankRuehl"/>
                  <w:color w:val="0000FF"/>
                  <w:u w:val="single"/>
                  <w:rtl/>
                </w:rPr>
                <w:t>חוק העונשין, תשל"ז-1977</w:t>
              </w:r>
            </w:hyperlink>
            <w:r w:rsidRPr="00E0034F">
              <w:rPr>
                <w:rFonts w:ascii="FrankRuehl" w:hAnsi="FrankRuehl" w:cs="FrankRuehl"/>
                <w:rtl/>
              </w:rPr>
              <w:t xml:space="preserve">: סע'  </w:t>
            </w:r>
            <w:hyperlink r:id="rId8" w:history="1">
              <w:r w:rsidRPr="00E0034F">
                <w:rPr>
                  <w:rFonts w:ascii="FrankRuehl" w:hAnsi="FrankRuehl" w:cs="FrankRuehl"/>
                  <w:color w:val="0000FF"/>
                  <w:u w:val="single"/>
                  <w:rtl/>
                </w:rPr>
                <w:t>40ב</w:t>
              </w:r>
            </w:hyperlink>
            <w:r w:rsidRPr="00E0034F">
              <w:rPr>
                <w:rFonts w:ascii="FrankRuehl" w:hAnsi="FrankRuehl" w:cs="FrankRuehl"/>
                <w:rtl/>
              </w:rPr>
              <w:t xml:space="preserve">, </w:t>
            </w:r>
            <w:hyperlink r:id="rId9" w:history="1">
              <w:r w:rsidRPr="00E0034F">
                <w:rPr>
                  <w:rFonts w:ascii="FrankRuehl" w:hAnsi="FrankRuehl" w:cs="FrankRuehl"/>
                  <w:color w:val="0000FF"/>
                  <w:u w:val="single"/>
                  <w:rtl/>
                </w:rPr>
                <w:t>40ג'</w:t>
              </w:r>
            </w:hyperlink>
            <w:r w:rsidRPr="00E0034F">
              <w:rPr>
                <w:rFonts w:ascii="FrankRuehl" w:hAnsi="FrankRuehl" w:cs="FrankRuehl"/>
                <w:rtl/>
              </w:rPr>
              <w:t xml:space="preserve">, </w:t>
            </w:r>
            <w:hyperlink r:id="rId10" w:history="1">
              <w:r w:rsidRPr="00E0034F">
                <w:rPr>
                  <w:rFonts w:ascii="FrankRuehl" w:hAnsi="FrankRuehl" w:cs="FrankRuehl"/>
                  <w:color w:val="0000FF"/>
                  <w:u w:val="single"/>
                  <w:rtl/>
                </w:rPr>
                <w:t>144(א)</w:t>
              </w:r>
            </w:hyperlink>
            <w:r w:rsidRPr="00E0034F">
              <w:rPr>
                <w:rFonts w:ascii="FrankRuehl" w:hAnsi="FrankRuehl" w:cs="FrankRuehl"/>
                <w:rtl/>
              </w:rPr>
              <w:t xml:space="preserve">, </w:t>
            </w:r>
            <w:hyperlink r:id="rId11" w:history="1">
              <w:r w:rsidRPr="00E0034F">
                <w:rPr>
                  <w:rFonts w:ascii="FrankRuehl" w:hAnsi="FrankRuehl" w:cs="FrankRuehl"/>
                  <w:color w:val="0000FF"/>
                  <w:u w:val="single"/>
                  <w:rtl/>
                </w:rPr>
                <w:t>40 יא'</w:t>
              </w:r>
            </w:hyperlink>
            <w:r w:rsidRPr="00E0034F">
              <w:rPr>
                <w:rFonts w:ascii="FrankRuehl" w:hAnsi="FrankRuehl" w:cs="FrankRuehl"/>
                <w:rtl/>
              </w:rPr>
              <w:t xml:space="preserve">, </w:t>
            </w:r>
            <w:hyperlink r:id="rId12" w:history="1">
              <w:r w:rsidRPr="00E0034F">
                <w:rPr>
                  <w:rFonts w:ascii="FrankRuehl" w:hAnsi="FrankRuehl" w:cs="FrankRuehl"/>
                  <w:color w:val="0000FF"/>
                  <w:u w:val="single"/>
                  <w:rtl/>
                </w:rPr>
                <w:t>40 יג'</w:t>
              </w:r>
            </w:hyperlink>
          </w:p>
          <w:p w14:paraId="5F643557" w14:textId="77777777" w:rsidR="00E0034F" w:rsidRPr="00E0034F" w:rsidRDefault="00E0034F" w:rsidP="00E0034F">
            <w:pPr>
              <w:spacing w:after="120" w:line="240" w:lineRule="exact"/>
              <w:ind w:left="283" w:hanging="283"/>
              <w:jc w:val="both"/>
              <w:rPr>
                <w:rFonts w:ascii="FrankRuehl" w:hAnsi="FrankRuehl" w:cs="FrankRuehl"/>
                <w:rtl/>
              </w:rPr>
            </w:pPr>
            <w:hyperlink r:id="rId13" w:history="1">
              <w:r w:rsidRPr="00E0034F">
                <w:rPr>
                  <w:rFonts w:ascii="FrankRuehl" w:hAnsi="FrankRuehl" w:cs="FrankRuehl"/>
                  <w:color w:val="0000FF"/>
                  <w:u w:val="single"/>
                  <w:rtl/>
                </w:rPr>
                <w:t>פקודת הסמים המסוכנים [נוסח חדש], תשל"ג-1973</w:t>
              </w:r>
            </w:hyperlink>
            <w:r w:rsidRPr="00E0034F">
              <w:rPr>
                <w:rFonts w:ascii="FrankRuehl" w:hAnsi="FrankRuehl" w:cs="FrankRuehl"/>
                <w:rtl/>
              </w:rPr>
              <w:t xml:space="preserve">: סע'  </w:t>
            </w:r>
            <w:hyperlink r:id="rId14" w:history="1">
              <w:r w:rsidRPr="00E0034F">
                <w:rPr>
                  <w:rFonts w:ascii="FrankRuehl" w:hAnsi="FrankRuehl" w:cs="FrankRuehl"/>
                  <w:color w:val="0000FF"/>
                  <w:u w:val="single"/>
                  <w:rtl/>
                </w:rPr>
                <w:t>7(א)</w:t>
              </w:r>
            </w:hyperlink>
            <w:r w:rsidRPr="00E0034F">
              <w:rPr>
                <w:rFonts w:ascii="FrankRuehl" w:hAnsi="FrankRuehl" w:cs="FrankRuehl"/>
                <w:rtl/>
              </w:rPr>
              <w:t xml:space="preserve">, </w:t>
            </w:r>
            <w:hyperlink r:id="rId15" w:history="1">
              <w:r w:rsidRPr="00E0034F">
                <w:rPr>
                  <w:rFonts w:ascii="FrankRuehl" w:hAnsi="FrankRuehl" w:cs="FrankRuehl"/>
                  <w:color w:val="0000FF"/>
                  <w:u w:val="single"/>
                  <w:rtl/>
                </w:rPr>
                <w:t>7(ג)</w:t>
              </w:r>
            </w:hyperlink>
            <w:r w:rsidRPr="00E0034F">
              <w:rPr>
                <w:rFonts w:ascii="FrankRuehl" w:hAnsi="FrankRuehl" w:cs="FrankRuehl"/>
                <w:rtl/>
              </w:rPr>
              <w:t xml:space="preserve">, </w:t>
            </w:r>
            <w:hyperlink r:id="rId16" w:history="1">
              <w:r w:rsidRPr="00E0034F">
                <w:rPr>
                  <w:rFonts w:ascii="FrankRuehl" w:hAnsi="FrankRuehl" w:cs="FrankRuehl"/>
                  <w:color w:val="0000FF"/>
                  <w:u w:val="single"/>
                  <w:rtl/>
                </w:rPr>
                <w:t>7א</w:t>
              </w:r>
            </w:hyperlink>
            <w:r w:rsidRPr="00E0034F">
              <w:rPr>
                <w:rFonts w:ascii="FrankRuehl" w:hAnsi="FrankRuehl" w:cs="FrankRuehl"/>
                <w:rtl/>
              </w:rPr>
              <w:t xml:space="preserve">, </w:t>
            </w:r>
            <w:hyperlink r:id="rId17" w:history="1">
              <w:r w:rsidRPr="00E0034F">
                <w:rPr>
                  <w:rFonts w:ascii="FrankRuehl" w:hAnsi="FrankRuehl" w:cs="FrankRuehl"/>
                  <w:color w:val="0000FF"/>
                  <w:u w:val="single"/>
                  <w:rtl/>
                </w:rPr>
                <w:t>7ג</w:t>
              </w:r>
            </w:hyperlink>
          </w:p>
          <w:p w14:paraId="225F457D" w14:textId="77777777" w:rsidR="00E0034F" w:rsidRPr="00E0034F" w:rsidRDefault="00E0034F" w:rsidP="00E0034F">
            <w:pPr>
              <w:spacing w:after="120" w:line="240" w:lineRule="exact"/>
              <w:ind w:left="283" w:hanging="283"/>
              <w:jc w:val="both"/>
              <w:rPr>
                <w:rFonts w:ascii="FrankRuehl" w:hAnsi="FrankRuehl" w:cs="FrankRuehl"/>
                <w:rtl/>
              </w:rPr>
            </w:pPr>
          </w:p>
          <w:p w14:paraId="3BF9A20E" w14:textId="77777777" w:rsidR="00E0034F" w:rsidRPr="00E0034F" w:rsidRDefault="00E0034F" w:rsidP="00456E59">
            <w:pPr>
              <w:jc w:val="center"/>
              <w:rPr>
                <w:rFonts w:ascii="Arial" w:hAnsi="Arial"/>
                <w:sz w:val="32"/>
                <w:szCs w:val="32"/>
                <w:rtl/>
              </w:rPr>
            </w:pPr>
            <w:bookmarkStart w:id="5" w:name="LawTable_End"/>
            <w:bookmarkEnd w:id="5"/>
          </w:p>
          <w:p w14:paraId="72CABE29" w14:textId="77777777" w:rsidR="00456E59" w:rsidRPr="00456E59" w:rsidRDefault="00456E59" w:rsidP="00456E59">
            <w:pPr>
              <w:jc w:val="center"/>
              <w:rPr>
                <w:rFonts w:ascii="Arial" w:hAnsi="Arial"/>
                <w:b/>
                <w:bCs/>
                <w:sz w:val="32"/>
                <w:szCs w:val="32"/>
                <w:u w:val="single"/>
                <w:rtl/>
              </w:rPr>
            </w:pPr>
            <w:r w:rsidRPr="00456E59">
              <w:rPr>
                <w:rFonts w:ascii="Arial" w:hAnsi="Arial"/>
                <w:b/>
                <w:bCs/>
                <w:sz w:val="32"/>
                <w:szCs w:val="32"/>
                <w:u w:val="single"/>
                <w:rtl/>
              </w:rPr>
              <w:t>גזר דין</w:t>
            </w:r>
          </w:p>
          <w:p w14:paraId="66EE2B3F" w14:textId="77777777" w:rsidR="00442031" w:rsidRPr="00456E59" w:rsidRDefault="00442031" w:rsidP="00456E59">
            <w:pPr>
              <w:jc w:val="center"/>
              <w:rPr>
                <w:rFonts w:ascii="Arial" w:hAnsi="Arial"/>
                <w:bCs/>
                <w:sz w:val="32"/>
                <w:szCs w:val="32"/>
                <w:u w:val="single"/>
                <w:rtl/>
              </w:rPr>
            </w:pPr>
          </w:p>
        </w:tc>
      </w:tr>
      <w:bookmarkEnd w:id="3"/>
    </w:tbl>
    <w:p w14:paraId="7DDC8C27" w14:textId="77777777" w:rsidR="00442031" w:rsidRDefault="00442031">
      <w:pPr>
        <w:rPr>
          <w:rFonts w:ascii="Arial" w:hAnsi="Arial"/>
          <w:rtl/>
        </w:rPr>
      </w:pPr>
    </w:p>
    <w:p w14:paraId="10F9A563" w14:textId="77777777" w:rsidR="00442031" w:rsidRDefault="00442031">
      <w:pPr>
        <w:rPr>
          <w:rFonts w:ascii="Arial" w:hAnsi="Arial"/>
          <w:rtl/>
        </w:rPr>
      </w:pPr>
    </w:p>
    <w:p w14:paraId="544A8C1F" w14:textId="77777777" w:rsidR="00442031" w:rsidRDefault="00456E59">
      <w:pPr>
        <w:spacing w:line="480" w:lineRule="auto"/>
        <w:rPr>
          <w:b/>
          <w:bCs/>
          <w:u w:val="single"/>
          <w:rtl/>
        </w:rPr>
      </w:pPr>
      <w:r>
        <w:rPr>
          <w:b/>
          <w:bCs/>
          <w:u w:val="single"/>
          <w:rtl/>
        </w:rPr>
        <w:t>רקע</w:t>
      </w:r>
    </w:p>
    <w:p w14:paraId="4AEE7434" w14:textId="77777777" w:rsidR="00442031" w:rsidRDefault="00442031">
      <w:pPr>
        <w:spacing w:line="480" w:lineRule="auto"/>
        <w:rPr>
          <w:rtl/>
        </w:rPr>
      </w:pPr>
    </w:p>
    <w:p w14:paraId="38ECBACB" w14:textId="77777777" w:rsidR="00442031" w:rsidRDefault="00456E59">
      <w:pPr>
        <w:numPr>
          <w:ilvl w:val="0"/>
          <w:numId w:val="1"/>
        </w:numPr>
        <w:spacing w:line="480" w:lineRule="auto"/>
        <w:ind w:left="720"/>
        <w:jc w:val="both"/>
      </w:pPr>
      <w:bookmarkStart w:id="6" w:name="ABSTRACT_START"/>
      <w:bookmarkEnd w:id="6"/>
      <w:r>
        <w:rPr>
          <w:rtl/>
        </w:rPr>
        <w:t xml:space="preserve">הנאשם הורשע לאחר ניהול הוכחות בעבירות של החזקת נשק, עבירה לפי </w:t>
      </w:r>
      <w:hyperlink r:id="rId18" w:history="1">
        <w:r w:rsidR="00556452" w:rsidRPr="00556452">
          <w:rPr>
            <w:color w:val="0000FF"/>
            <w:u w:val="single"/>
            <w:rtl/>
          </w:rPr>
          <w:t>סעיף 144(א)</w:t>
        </w:r>
      </w:hyperlink>
      <w:r>
        <w:rPr>
          <w:rtl/>
        </w:rPr>
        <w:t xml:space="preserve"> רישא ל</w:t>
      </w:r>
      <w:hyperlink r:id="rId19" w:history="1">
        <w:r w:rsidRPr="00456E59">
          <w:rPr>
            <w:color w:val="0000FF"/>
            <w:u w:val="single"/>
            <w:rtl/>
          </w:rPr>
          <w:t>חוק העונשין</w:t>
        </w:r>
      </w:hyperlink>
      <w:r>
        <w:rPr>
          <w:rtl/>
        </w:rPr>
        <w:t xml:space="preserve">, התשל"ז- 1977 (להלן: </w:t>
      </w:r>
      <w:r>
        <w:rPr>
          <w:b/>
          <w:bCs/>
          <w:rtl/>
        </w:rPr>
        <w:t>"החוק"</w:t>
      </w:r>
      <w:r>
        <w:rPr>
          <w:rtl/>
        </w:rPr>
        <w:t xml:space="preserve">) והחזקת סם מסוכן מסוג חשיש לצריכה עצמית בבית ספר בו עבד ועל גופו, עבירה לפי </w:t>
      </w:r>
      <w:hyperlink r:id="rId20" w:history="1">
        <w:r w:rsidR="00556452" w:rsidRPr="00556452">
          <w:rPr>
            <w:color w:val="0000FF"/>
            <w:u w:val="single"/>
            <w:rtl/>
          </w:rPr>
          <w:t>סעיף 7(א)</w:t>
        </w:r>
      </w:hyperlink>
      <w:r>
        <w:rPr>
          <w:rtl/>
        </w:rPr>
        <w:t xml:space="preserve"> ו-</w:t>
      </w:r>
      <w:hyperlink r:id="rId21" w:history="1">
        <w:r w:rsidR="00556452" w:rsidRPr="00556452">
          <w:rPr>
            <w:color w:val="0000FF"/>
            <w:u w:val="single"/>
            <w:rtl/>
          </w:rPr>
          <w:t>7(ג)</w:t>
        </w:r>
      </w:hyperlink>
      <w:r>
        <w:rPr>
          <w:rtl/>
        </w:rPr>
        <w:t xml:space="preserve"> סיפא ל</w:t>
      </w:r>
      <w:hyperlink r:id="rId22" w:history="1">
        <w:r w:rsidRPr="00456E59">
          <w:rPr>
            <w:color w:val="0000FF"/>
            <w:u w:val="single"/>
            <w:rtl/>
          </w:rPr>
          <w:t>פקודת הסמים המסוכנים</w:t>
        </w:r>
      </w:hyperlink>
      <w:r>
        <w:rPr>
          <w:rtl/>
        </w:rPr>
        <w:t xml:space="preserve"> (נוסח חדש), תשל"ג- 1973 (להלן: </w:t>
      </w:r>
      <w:r>
        <w:rPr>
          <w:b/>
          <w:bCs/>
          <w:rtl/>
        </w:rPr>
        <w:t>"הפקודה"</w:t>
      </w:r>
      <w:r>
        <w:rPr>
          <w:rtl/>
        </w:rPr>
        <w:t xml:space="preserve">). </w:t>
      </w:r>
    </w:p>
    <w:p w14:paraId="6CC6D7A8" w14:textId="77777777" w:rsidR="00442031" w:rsidRDefault="00442031">
      <w:pPr>
        <w:spacing w:line="480" w:lineRule="auto"/>
        <w:ind w:left="720"/>
        <w:jc w:val="both"/>
      </w:pPr>
      <w:bookmarkStart w:id="7" w:name="ABSTRACT_END"/>
      <w:bookmarkEnd w:id="7"/>
    </w:p>
    <w:p w14:paraId="234C4709" w14:textId="77777777" w:rsidR="00442031" w:rsidRDefault="00456E59">
      <w:pPr>
        <w:numPr>
          <w:ilvl w:val="0"/>
          <w:numId w:val="1"/>
        </w:numPr>
        <w:spacing w:line="480" w:lineRule="auto"/>
        <w:ind w:left="720"/>
        <w:jc w:val="both"/>
      </w:pPr>
      <w:r>
        <w:rPr>
          <w:rtl/>
        </w:rPr>
        <w:t xml:space="preserve">בהכרעת הדין נקבע כי עובר ליום 12.5.14, החזיק הנאשם מטען חבלה אלחוטי מאולתר שבכוחו להמית אדם, במחסן הסמוך למשרדו, הנמצא מתחת ליציע של אולם ספורט, אשר </w:t>
      </w:r>
      <w:r>
        <w:rPr>
          <w:rtl/>
        </w:rPr>
        <w:lastRenderedPageBreak/>
        <w:t xml:space="preserve">שימש בין היתר את ילדי חטיבת בית ספר "ברנר" ובית ספר "שובו בנות" הסמוכים לו, וכן ילדים רבים המשתתפים בחוגי ספורט מטעם עריית פתח תקווה. המטען כלל מערכת הפעלה מרחוק על ידי מקלט ומשדר אלחוטי.  </w:t>
      </w:r>
    </w:p>
    <w:p w14:paraId="404DF99D" w14:textId="77777777" w:rsidR="00442031" w:rsidRDefault="00442031">
      <w:pPr>
        <w:ind w:left="720"/>
        <w:rPr>
          <w:rtl/>
        </w:rPr>
      </w:pPr>
    </w:p>
    <w:p w14:paraId="0A6DD19B" w14:textId="77777777" w:rsidR="00442031" w:rsidRDefault="00456E59">
      <w:pPr>
        <w:spacing w:line="480" w:lineRule="auto"/>
        <w:ind w:left="720"/>
        <w:jc w:val="both"/>
      </w:pPr>
      <w:r>
        <w:rPr>
          <w:rtl/>
        </w:rPr>
        <w:t>באותו מועד ובסמוך למטען, החזיק הנאשם שקית ובה סם מסוג קנבוס במשקל של 7.59 גרם נטו וכן החזיק במכנסיו, בעת מעצרו ביום 13.5.14, סם מסוג קנבוס במשקל של 0.39 נטו.</w:t>
      </w:r>
    </w:p>
    <w:p w14:paraId="320EEB6B" w14:textId="77777777" w:rsidR="00442031" w:rsidRDefault="00442031">
      <w:pPr>
        <w:spacing w:line="480" w:lineRule="auto"/>
        <w:ind w:left="720"/>
        <w:rPr>
          <w:rtl/>
        </w:rPr>
      </w:pPr>
    </w:p>
    <w:p w14:paraId="016A45FC" w14:textId="77777777" w:rsidR="00442031" w:rsidRDefault="00456E59">
      <w:pPr>
        <w:spacing w:line="480" w:lineRule="auto"/>
        <w:rPr>
          <w:b/>
          <w:bCs/>
          <w:u w:val="single"/>
          <w:rtl/>
        </w:rPr>
      </w:pPr>
      <w:r>
        <w:rPr>
          <w:b/>
          <w:bCs/>
          <w:u w:val="single"/>
          <w:rtl/>
        </w:rPr>
        <w:t>טיעוני הצדדים</w:t>
      </w:r>
    </w:p>
    <w:p w14:paraId="650B8D6A" w14:textId="77777777" w:rsidR="00442031" w:rsidRDefault="00442031">
      <w:pPr>
        <w:spacing w:line="480" w:lineRule="auto"/>
        <w:rPr>
          <w:b/>
          <w:bCs/>
          <w:u w:val="single"/>
          <w:rtl/>
        </w:rPr>
      </w:pPr>
    </w:p>
    <w:p w14:paraId="073D168C" w14:textId="77777777" w:rsidR="00442031" w:rsidRDefault="00456E59">
      <w:pPr>
        <w:numPr>
          <w:ilvl w:val="0"/>
          <w:numId w:val="1"/>
        </w:numPr>
        <w:spacing w:line="480" w:lineRule="auto"/>
        <w:ind w:left="720"/>
        <w:jc w:val="both"/>
        <w:rPr>
          <w:rtl/>
        </w:rPr>
      </w:pPr>
      <w:r>
        <w:rPr>
          <w:rtl/>
        </w:rPr>
        <w:t xml:space="preserve">ב"כ המאשימה טען כי העבירה בה הורשע הנאשם פוגעת בערך החברתי של </w:t>
      </w:r>
      <w:r>
        <w:rPr>
          <w:rFonts w:hint="cs"/>
          <w:rtl/>
        </w:rPr>
        <w:t xml:space="preserve">בטחון </w:t>
      </w:r>
      <w:r>
        <w:rPr>
          <w:rtl/>
        </w:rPr>
        <w:t xml:space="preserve">שלום הציבור. לדברי ב"כ המאשימה, מטעני חבלה משמשים למעשי תקיפה אלימים כלפי החפים מפשע וללא כל אבחנה. </w:t>
      </w:r>
      <w:r>
        <w:rPr>
          <w:rtl/>
          <w:lang w:eastAsia="he-IL"/>
        </w:rPr>
        <w:t xml:space="preserve">בשנים האחרונות חלה הסלמה, השימוש במטעני חבלה הפך לנפוץ, גרם לפגיעות ולהרג </w:t>
      </w:r>
      <w:r>
        <w:rPr>
          <w:rtl/>
        </w:rPr>
        <w:t>ויש צורך בענישה המהווה הרתעה</w:t>
      </w:r>
      <w:r>
        <w:rPr>
          <w:rtl/>
          <w:lang w:eastAsia="he-IL"/>
        </w:rPr>
        <w:t xml:space="preserve">. </w:t>
      </w:r>
      <w:r>
        <w:rPr>
          <w:rtl/>
        </w:rPr>
        <w:t>בבחינת נסיבות המקרה, טען התובע כי מדובר בעבירת נשק ברף העליון, זאת בהתחשב במ</w:t>
      </w:r>
      <w:r>
        <w:rPr>
          <w:rFonts w:hint="cs"/>
          <w:rtl/>
        </w:rPr>
        <w:t>י</w:t>
      </w:r>
      <w:r>
        <w:rPr>
          <w:rtl/>
        </w:rPr>
        <w:t xml:space="preserve">קום מציאת המטען, בכמות חומר הנפץ שנמצא בו ובעובדה כי היה בכוחו להתפוצץ ולהמית אדם. ב"כ המאשימה ציין כי המדובר בנאשם אשר כפר במיוחס לו תוך מסירת גרסת בדים של ממש ותוך סיכון חיי אדם מחד, ובמי שעברו הפלילי אינו מכביד, מאידך. </w:t>
      </w:r>
    </w:p>
    <w:p w14:paraId="4D969B2D" w14:textId="77777777" w:rsidR="00442031" w:rsidRDefault="00442031">
      <w:pPr>
        <w:spacing w:line="480" w:lineRule="auto"/>
        <w:ind w:left="720"/>
        <w:jc w:val="both"/>
        <w:rPr>
          <w:rtl/>
        </w:rPr>
      </w:pPr>
    </w:p>
    <w:p w14:paraId="25CBEE88" w14:textId="77777777" w:rsidR="00442031" w:rsidRDefault="00456E59">
      <w:pPr>
        <w:spacing w:line="480" w:lineRule="auto"/>
        <w:ind w:left="720"/>
        <w:jc w:val="both"/>
      </w:pPr>
      <w:r>
        <w:rPr>
          <w:rtl/>
        </w:rPr>
        <w:t>ב"כ המאשימה הפנה להנחיית פרקליט המדינה, ל</w:t>
      </w:r>
      <w:hyperlink r:id="rId23" w:history="1">
        <w:r w:rsidRPr="00456E59">
          <w:rPr>
            <w:color w:val="0000FF"/>
            <w:u w:val="single"/>
            <w:rtl/>
          </w:rPr>
          <w:t>ת"פ 56232-12-14</w:t>
        </w:r>
      </w:hyperlink>
      <w:r>
        <w:rPr>
          <w:rtl/>
        </w:rPr>
        <w:t xml:space="preserve"> </w:t>
      </w:r>
      <w:r>
        <w:rPr>
          <w:b/>
          <w:bCs/>
          <w:rtl/>
        </w:rPr>
        <w:t>מדינת ישראל נ' מכלוף</w:t>
      </w:r>
      <w:r>
        <w:rPr>
          <w:rtl/>
        </w:rPr>
        <w:t xml:space="preserve"> ולת"פ </w:t>
      </w:r>
      <w:hyperlink r:id="rId24" w:history="1">
        <w:r w:rsidR="00E0034F" w:rsidRPr="00E0034F">
          <w:rPr>
            <w:color w:val="0000FF"/>
            <w:u w:val="single"/>
            <w:rtl/>
          </w:rPr>
          <w:t xml:space="preserve">420-09 </w:t>
        </w:r>
      </w:hyperlink>
      <w:r>
        <w:rPr>
          <w:rtl/>
        </w:rPr>
        <w:t xml:space="preserve"> </w:t>
      </w:r>
      <w:r>
        <w:rPr>
          <w:b/>
          <w:bCs/>
          <w:rtl/>
        </w:rPr>
        <w:t>מ.י. פרקליטות מחוז ירושלים נ' עזאם</w:t>
      </w:r>
      <w:r>
        <w:rPr>
          <w:rtl/>
        </w:rPr>
        <w:t xml:space="preserve">, וטען כי מתחם העונש הראוי בנסיבות העניין נע, בין 3.5, לבין 5.5 שנות מאסר בפועל.  </w:t>
      </w:r>
    </w:p>
    <w:p w14:paraId="1B8AA170" w14:textId="77777777" w:rsidR="00442031" w:rsidRDefault="00442031">
      <w:pPr>
        <w:spacing w:line="480" w:lineRule="auto"/>
        <w:ind w:left="720"/>
        <w:jc w:val="both"/>
      </w:pPr>
    </w:p>
    <w:p w14:paraId="30600AD9" w14:textId="77777777" w:rsidR="00442031" w:rsidRDefault="00456E59">
      <w:pPr>
        <w:spacing w:line="480" w:lineRule="auto"/>
        <w:ind w:left="720"/>
        <w:rPr>
          <w:rtl/>
        </w:rPr>
      </w:pPr>
      <w:r>
        <w:rPr>
          <w:rtl/>
        </w:rPr>
        <w:t>ב"כ המאשימה טען כי יש לגזור על הנאשם מאסר בפועל בחלקו האמצעי של המתחם, לצד מאסר על תנאי וקנס.</w:t>
      </w:r>
    </w:p>
    <w:p w14:paraId="6F8CF368" w14:textId="77777777" w:rsidR="00442031" w:rsidRDefault="00442031">
      <w:pPr>
        <w:spacing w:line="480" w:lineRule="auto"/>
        <w:rPr>
          <w:rtl/>
        </w:rPr>
      </w:pPr>
    </w:p>
    <w:p w14:paraId="0D62CF0D" w14:textId="77777777" w:rsidR="00442031" w:rsidRDefault="00456E59">
      <w:pPr>
        <w:numPr>
          <w:ilvl w:val="0"/>
          <w:numId w:val="1"/>
        </w:numPr>
        <w:spacing w:line="480" w:lineRule="auto"/>
        <w:ind w:left="720"/>
        <w:jc w:val="both"/>
      </w:pPr>
      <w:r>
        <w:rPr>
          <w:rtl/>
        </w:rPr>
        <w:lastRenderedPageBreak/>
        <w:t xml:space="preserve">ב"כ הנאשם הפנה </w:t>
      </w:r>
      <w:r>
        <w:rPr>
          <w:rFonts w:hint="cs"/>
          <w:rtl/>
        </w:rPr>
        <w:t xml:space="preserve">בטיעוני לעונש </w:t>
      </w:r>
      <w:r>
        <w:rPr>
          <w:rtl/>
        </w:rPr>
        <w:t>ל</w:t>
      </w:r>
      <w:hyperlink r:id="rId25" w:history="1">
        <w:r w:rsidRPr="00456E59">
          <w:rPr>
            <w:color w:val="0000FF"/>
            <w:u w:val="single"/>
            <w:rtl/>
          </w:rPr>
          <w:t>ע"פ 5713/10</w:t>
        </w:r>
      </w:hyperlink>
      <w:r>
        <w:rPr>
          <w:rtl/>
        </w:rPr>
        <w:t xml:space="preserve"> </w:t>
      </w:r>
      <w:r>
        <w:rPr>
          <w:b/>
          <w:bCs/>
          <w:rtl/>
        </w:rPr>
        <w:t>יהושע אקרמן נ' מדינת ישראל</w:t>
      </w:r>
      <w:r>
        <w:rPr>
          <w:rtl/>
        </w:rPr>
        <w:t xml:space="preserve"> ול</w:t>
      </w:r>
      <w:hyperlink r:id="rId26" w:history="1">
        <w:r w:rsidRPr="00456E59">
          <w:rPr>
            <w:color w:val="0000FF"/>
            <w:u w:val="single"/>
            <w:rtl/>
          </w:rPr>
          <w:t>ת"פ 2884-04-13</w:t>
        </w:r>
      </w:hyperlink>
      <w:r>
        <w:rPr>
          <w:rtl/>
        </w:rPr>
        <w:t xml:space="preserve"> </w:t>
      </w:r>
      <w:r>
        <w:rPr>
          <w:b/>
          <w:bCs/>
          <w:rtl/>
        </w:rPr>
        <w:t>מדינת ישראל נ' דג'אני ואח'</w:t>
      </w:r>
      <w:r>
        <w:rPr>
          <w:rtl/>
        </w:rPr>
        <w:t>, בהם הורשעו נאשמים בעבירות של החזקת נשק והושתו עליהם 6 חודשי מאסר בדרך של עבודות שירות, וטען כי מבטאים הם את מדיניות הענישה הראויה.</w:t>
      </w:r>
    </w:p>
    <w:p w14:paraId="22ADD95A" w14:textId="77777777" w:rsidR="00442031" w:rsidRDefault="00442031">
      <w:pPr>
        <w:spacing w:line="480" w:lineRule="auto"/>
        <w:ind w:left="720"/>
        <w:jc w:val="both"/>
        <w:rPr>
          <w:rtl/>
        </w:rPr>
      </w:pPr>
    </w:p>
    <w:p w14:paraId="02780AF2" w14:textId="77777777" w:rsidR="00442031" w:rsidRDefault="00456E59">
      <w:pPr>
        <w:spacing w:line="480" w:lineRule="auto"/>
        <w:ind w:left="720"/>
        <w:jc w:val="both"/>
        <w:rPr>
          <w:rtl/>
        </w:rPr>
      </w:pPr>
      <w:r>
        <w:rPr>
          <w:rtl/>
        </w:rPr>
        <w:t xml:space="preserve">ב"כ הנאשם עתר להורות על ניכוי תקופת השחרור בערובה בתנאי איזוק מתקופת המאסר שתיגזר על הנאשם. את הבקשה משית הסניגור על חוק פיקוח אלקטרוני על עצור ועל אסיר משוחרר על תנאי (תיקוני חקיקה), תשע"ה-2014 (להלן: </w:t>
      </w:r>
      <w:r>
        <w:rPr>
          <w:b/>
          <w:bCs/>
          <w:rtl/>
        </w:rPr>
        <w:t>"חוק הפיקוח האלקטרוני"</w:t>
      </w:r>
      <w:r>
        <w:rPr>
          <w:rtl/>
        </w:rPr>
        <w:t xml:space="preserve">), המורה כי מי שנמצא תחת פיקוח אלקטרוני הוא בגדר עצור ולא עוד משוחרר בערובה. </w:t>
      </w:r>
    </w:p>
    <w:p w14:paraId="524890B3" w14:textId="77777777" w:rsidR="00442031" w:rsidRDefault="00442031">
      <w:pPr>
        <w:spacing w:line="480" w:lineRule="auto"/>
        <w:ind w:left="720"/>
        <w:jc w:val="both"/>
        <w:rPr>
          <w:rtl/>
        </w:rPr>
      </w:pPr>
    </w:p>
    <w:p w14:paraId="44E3F201" w14:textId="77777777" w:rsidR="00442031" w:rsidRDefault="00456E59">
      <w:pPr>
        <w:spacing w:line="480" w:lineRule="auto"/>
        <w:ind w:left="720"/>
        <w:jc w:val="both"/>
      </w:pPr>
      <w:r>
        <w:rPr>
          <w:rtl/>
        </w:rPr>
        <w:t xml:space="preserve">אשר לנסיבותיו האישיות של הנאשם, נטען כי מדובר בנאשם כבן 33, שעתיד להינשא בקרוב, בעל עבר פלילי ישן וזניח בעבירות שאינן חמורות ואינן מן העניין. עוד טען ב"כ הנאשם כי מדובר בדמות חיובית ובאדם ערכי אשר מרבה לעסוק בפעילות התנדבותית. ב"כ הנאשם הגיש אסופת מכתבי המלצה ומכתבים המעידים על אופיו החיובי של הנאשם ועל פעילותו הציבורית וההתנדבותית, במיוחד בקרב בני נוער (ר' נה/2) וכן מסמכים המעידים על מצבו הכלכלי הקשה של הנאשם ועל החובות בהם הוא מצוי (ר' נה/3). </w:t>
      </w:r>
    </w:p>
    <w:p w14:paraId="77C7EC13" w14:textId="77777777" w:rsidR="00442031" w:rsidRDefault="00442031">
      <w:pPr>
        <w:spacing w:line="480" w:lineRule="auto"/>
        <w:ind w:left="720"/>
        <w:jc w:val="both"/>
      </w:pPr>
    </w:p>
    <w:p w14:paraId="4BB87B54" w14:textId="77777777" w:rsidR="00442031" w:rsidRDefault="00456E59">
      <w:pPr>
        <w:numPr>
          <w:ilvl w:val="0"/>
          <w:numId w:val="1"/>
        </w:numPr>
        <w:spacing w:line="480" w:lineRule="auto"/>
        <w:ind w:left="720"/>
        <w:jc w:val="both"/>
      </w:pPr>
      <w:r>
        <w:rPr>
          <w:rtl/>
        </w:rPr>
        <w:t xml:space="preserve">מטעמו של הנאשם העידו שישה עדי אופי, אשר העידו על חמלתו של הנאשם, נכונותו לסייע לזולת ועל תרומתו וסיועו לבני נוער בסיכון.  </w:t>
      </w:r>
    </w:p>
    <w:p w14:paraId="7F602B0A" w14:textId="77777777" w:rsidR="00442031" w:rsidRDefault="00442031">
      <w:pPr>
        <w:spacing w:line="480" w:lineRule="auto"/>
        <w:ind w:left="720"/>
        <w:jc w:val="both"/>
      </w:pPr>
    </w:p>
    <w:p w14:paraId="2760238F" w14:textId="77777777" w:rsidR="00442031" w:rsidRDefault="00456E59">
      <w:pPr>
        <w:numPr>
          <w:ilvl w:val="0"/>
          <w:numId w:val="1"/>
        </w:numPr>
        <w:spacing w:line="480" w:lineRule="auto"/>
        <w:ind w:left="720"/>
        <w:jc w:val="both"/>
        <w:rPr>
          <w:rtl/>
        </w:rPr>
      </w:pPr>
      <w:r>
        <w:rPr>
          <w:rtl/>
        </w:rPr>
        <w:t xml:space="preserve">הנאשם, בדבריו האחרונים, לא לקח אחריות על מעשיו ולא הביע חרטה. סנגורו מסר כי בכוונתו לערער על הכרעת הדין. </w:t>
      </w:r>
    </w:p>
    <w:p w14:paraId="2E40E16B" w14:textId="77777777" w:rsidR="00442031" w:rsidRDefault="00442031">
      <w:pPr>
        <w:spacing w:line="480" w:lineRule="auto"/>
        <w:jc w:val="both"/>
        <w:rPr>
          <w:b/>
          <w:bCs/>
          <w:u w:val="single"/>
          <w:rtl/>
        </w:rPr>
      </w:pPr>
    </w:p>
    <w:p w14:paraId="0A148FC1" w14:textId="77777777" w:rsidR="00442031" w:rsidRDefault="00456E59">
      <w:pPr>
        <w:spacing w:line="480" w:lineRule="auto"/>
        <w:jc w:val="both"/>
        <w:rPr>
          <w:b/>
          <w:bCs/>
          <w:u w:val="single"/>
          <w:rtl/>
        </w:rPr>
      </w:pPr>
      <w:r>
        <w:rPr>
          <w:b/>
          <w:bCs/>
          <w:u w:val="single"/>
          <w:rtl/>
        </w:rPr>
        <w:t>דיון</w:t>
      </w:r>
    </w:p>
    <w:p w14:paraId="51DB9656" w14:textId="77777777" w:rsidR="00442031" w:rsidRDefault="00442031">
      <w:pPr>
        <w:spacing w:line="480" w:lineRule="auto"/>
        <w:jc w:val="both"/>
        <w:rPr>
          <w:rtl/>
        </w:rPr>
      </w:pPr>
    </w:p>
    <w:p w14:paraId="7023360F" w14:textId="77777777" w:rsidR="00442031" w:rsidRDefault="00456E59">
      <w:pPr>
        <w:numPr>
          <w:ilvl w:val="0"/>
          <w:numId w:val="1"/>
        </w:numPr>
        <w:spacing w:line="480" w:lineRule="auto"/>
        <w:ind w:left="720"/>
        <w:jc w:val="both"/>
      </w:pPr>
      <w:r>
        <w:rPr>
          <w:rtl/>
        </w:rPr>
        <w:lastRenderedPageBreak/>
        <w:t xml:space="preserve">לאחר ששמעתי את טיעוני הצדדים, אני סבור כי יש לגזור על הנאשם מאסר בפועל לתקופה ממושכת, מאסר על תנאי וקנס כספי. </w:t>
      </w:r>
    </w:p>
    <w:p w14:paraId="11DDCEF8" w14:textId="77777777" w:rsidR="00442031" w:rsidRDefault="00442031">
      <w:pPr>
        <w:spacing w:line="480" w:lineRule="auto"/>
        <w:ind w:left="720"/>
        <w:jc w:val="both"/>
        <w:rPr>
          <w:rtl/>
        </w:rPr>
      </w:pPr>
    </w:p>
    <w:p w14:paraId="0559BAC4" w14:textId="77777777" w:rsidR="00442031" w:rsidRDefault="00456E59">
      <w:pPr>
        <w:numPr>
          <w:ilvl w:val="0"/>
          <w:numId w:val="1"/>
        </w:numPr>
        <w:spacing w:line="480" w:lineRule="auto"/>
        <w:ind w:left="720"/>
        <w:jc w:val="both"/>
        <w:rPr>
          <w:rtl/>
        </w:rPr>
      </w:pPr>
      <w:r>
        <w:rPr>
          <w:rtl/>
        </w:rPr>
        <w:t>במקרה דנן כתב האישום מתאר אירוע אחד ולכן יש לקבוע בגינו מתחם עונש הולם אחד .</w:t>
      </w:r>
    </w:p>
    <w:p w14:paraId="5E5EAD4B" w14:textId="77777777" w:rsidR="00442031" w:rsidRDefault="00442031">
      <w:pPr>
        <w:spacing w:line="480" w:lineRule="auto"/>
        <w:rPr>
          <w:rtl/>
        </w:rPr>
      </w:pPr>
    </w:p>
    <w:p w14:paraId="712B0A02" w14:textId="77777777" w:rsidR="00442031" w:rsidRDefault="00442031">
      <w:pPr>
        <w:spacing w:line="480" w:lineRule="auto"/>
        <w:rPr>
          <w:rtl/>
        </w:rPr>
      </w:pPr>
    </w:p>
    <w:p w14:paraId="1B2BE0EB" w14:textId="77777777" w:rsidR="00442031" w:rsidRDefault="00442031">
      <w:pPr>
        <w:spacing w:line="480" w:lineRule="auto"/>
        <w:rPr>
          <w:rtl/>
        </w:rPr>
      </w:pPr>
    </w:p>
    <w:p w14:paraId="7D606A50" w14:textId="77777777" w:rsidR="00442031" w:rsidRDefault="00456E59">
      <w:pPr>
        <w:spacing w:line="480" w:lineRule="auto"/>
        <w:rPr>
          <w:b/>
          <w:bCs/>
          <w:u w:val="single"/>
          <w:rtl/>
        </w:rPr>
      </w:pPr>
      <w:r>
        <w:rPr>
          <w:b/>
          <w:bCs/>
          <w:u w:val="single"/>
          <w:rtl/>
        </w:rPr>
        <w:t>קביעת מתחם העונש ההולם</w:t>
      </w:r>
    </w:p>
    <w:p w14:paraId="76DB822F" w14:textId="77777777" w:rsidR="00442031" w:rsidRDefault="00442031">
      <w:pPr>
        <w:spacing w:line="480" w:lineRule="auto"/>
        <w:rPr>
          <w:b/>
          <w:bCs/>
          <w:u w:val="single"/>
          <w:rtl/>
        </w:rPr>
      </w:pPr>
    </w:p>
    <w:p w14:paraId="5E1E407B" w14:textId="77777777" w:rsidR="00442031" w:rsidRDefault="00456E59">
      <w:pPr>
        <w:numPr>
          <w:ilvl w:val="0"/>
          <w:numId w:val="1"/>
        </w:numPr>
        <w:spacing w:line="480" w:lineRule="auto"/>
        <w:ind w:left="720"/>
        <w:jc w:val="both"/>
      </w:pPr>
      <w:r>
        <w:rPr>
          <w:rtl/>
        </w:rPr>
        <w:t xml:space="preserve">עקרון ההלימה הוא העיקרון המנחה בהתאם </w:t>
      </w:r>
      <w:hyperlink r:id="rId27" w:history="1">
        <w:r w:rsidR="00556452" w:rsidRPr="00556452">
          <w:rPr>
            <w:color w:val="0000FF"/>
            <w:u w:val="single"/>
            <w:rtl/>
          </w:rPr>
          <w:t>לסעיף 40ב</w:t>
        </w:r>
      </w:hyperlink>
      <w:r>
        <w:rPr>
          <w:rtl/>
        </w:rPr>
        <w:t xml:space="preserve"> לחוק. בקביעת מתחם העונש ההולם, יש להתחשב בערך החברתי שנפגע, כתוצאה מביצוע העבירה בה הורשע הנאשם, במידת הפגיעה באותם ערכים, במדיניות הענישה הנוהגת ובנסיבות הקשורות בביצוע העבירה. </w:t>
      </w:r>
    </w:p>
    <w:p w14:paraId="499C8ED1" w14:textId="77777777" w:rsidR="00442031" w:rsidRDefault="00442031">
      <w:pPr>
        <w:spacing w:line="480" w:lineRule="auto"/>
        <w:ind w:left="720"/>
        <w:rPr>
          <w:rtl/>
        </w:rPr>
      </w:pPr>
    </w:p>
    <w:p w14:paraId="161FC37E" w14:textId="77777777" w:rsidR="00442031" w:rsidRDefault="00456E59">
      <w:pPr>
        <w:numPr>
          <w:ilvl w:val="0"/>
          <w:numId w:val="1"/>
        </w:numPr>
        <w:spacing w:line="480" w:lineRule="auto"/>
        <w:ind w:left="720"/>
        <w:jc w:val="both"/>
      </w:pPr>
      <w:r>
        <w:rPr>
          <w:rtl/>
        </w:rPr>
        <w:t>במקרה שלפניי, הערך החברתי אשר נפגע בעקבות מעשיו של הנאשם, הינו זכות הציבור להגנה על ביטחונו, שלמות גופו ושלוות נפשו.</w:t>
      </w:r>
    </w:p>
    <w:p w14:paraId="5B9B6AE6" w14:textId="77777777" w:rsidR="00442031" w:rsidRDefault="00442031">
      <w:pPr>
        <w:spacing w:line="480" w:lineRule="auto"/>
        <w:ind w:left="720"/>
        <w:rPr>
          <w:rtl/>
        </w:rPr>
      </w:pPr>
    </w:p>
    <w:p w14:paraId="7460E73F" w14:textId="77777777" w:rsidR="00442031" w:rsidRDefault="00456E59">
      <w:pPr>
        <w:numPr>
          <w:ilvl w:val="0"/>
          <w:numId w:val="1"/>
        </w:numPr>
        <w:spacing w:line="480" w:lineRule="auto"/>
        <w:ind w:left="720"/>
        <w:jc w:val="both"/>
      </w:pPr>
      <w:r>
        <w:rPr>
          <w:rtl/>
        </w:rPr>
        <w:t xml:space="preserve">בחינת מידת הפגיעה בערך המוגן מובילה למסקנה כי מדובר בפגיעה ממשית רחבה ועמוקה. הנאשם העמיד בסכנת חיים של ממש ילדים, עוברי אורח ואף שוטרים. החזקת מטען חבלה הכולל חומר נפיץ בכמות שאינה מועטה, ובסמוך לו שלט רחוק תואם שיש בכוחו להפעיל את אותו מטען, מצביעה על רמת מסוכנות גבוהה. הטמנתו במקום בו נמצא, בסמוך למקום שהייתם ומשחקם של ילדים תמימים, אשר הם והוריהם נותנים אמונם בנאשם, מלמדת בנוסף על הפרת אמון בוטה מצדו של הנאשם כלפי אותם ילדים תמימים וכלפי הציבור. </w:t>
      </w:r>
    </w:p>
    <w:p w14:paraId="44945918" w14:textId="77777777" w:rsidR="00442031" w:rsidRDefault="00442031">
      <w:pPr>
        <w:ind w:left="720"/>
        <w:rPr>
          <w:rtl/>
        </w:rPr>
      </w:pPr>
    </w:p>
    <w:p w14:paraId="0A2AB547" w14:textId="77777777" w:rsidR="00442031" w:rsidRDefault="00456E59">
      <w:pPr>
        <w:numPr>
          <w:ilvl w:val="0"/>
          <w:numId w:val="1"/>
        </w:numPr>
        <w:spacing w:line="480" w:lineRule="auto"/>
        <w:ind w:left="720"/>
        <w:jc w:val="both"/>
      </w:pPr>
      <w:r>
        <w:rPr>
          <w:rtl/>
        </w:rPr>
        <w:t>בחינת מדיניות הענישה הנוהגת מעלה כי במקרים דומים הוטלו על נאשמים עונשים כמפורט להלן:</w:t>
      </w:r>
    </w:p>
    <w:p w14:paraId="23792A2E" w14:textId="77777777" w:rsidR="00442031" w:rsidRDefault="00442031">
      <w:pPr>
        <w:ind w:left="720"/>
        <w:rPr>
          <w:rtl/>
        </w:rPr>
      </w:pPr>
    </w:p>
    <w:p w14:paraId="7A53E1D3" w14:textId="77777777" w:rsidR="00442031" w:rsidRDefault="00456E59">
      <w:pPr>
        <w:numPr>
          <w:ilvl w:val="0"/>
          <w:numId w:val="2"/>
        </w:numPr>
        <w:spacing w:line="480" w:lineRule="auto"/>
        <w:jc w:val="both"/>
      </w:pPr>
      <w:r>
        <w:rPr>
          <w:rtl/>
        </w:rPr>
        <w:lastRenderedPageBreak/>
        <w:t>ב</w:t>
      </w:r>
      <w:hyperlink r:id="rId28" w:history="1">
        <w:r w:rsidRPr="00456E59">
          <w:rPr>
            <w:color w:val="0000FF"/>
            <w:u w:val="single"/>
            <w:rtl/>
          </w:rPr>
          <w:t>ת"פ (ב"ש) 56232-12-14</w:t>
        </w:r>
      </w:hyperlink>
      <w:r>
        <w:rPr>
          <w:rtl/>
        </w:rPr>
        <w:t xml:space="preserve"> </w:t>
      </w:r>
      <w:r>
        <w:rPr>
          <w:b/>
          <w:bCs/>
          <w:rtl/>
        </w:rPr>
        <w:t xml:space="preserve">מדינת ישראל נ' אדי יהודה מכלוף </w:t>
      </w:r>
      <w:r>
        <w:rPr>
          <w:rtl/>
        </w:rPr>
        <w:t>הורשע הנאשם 1 בהתאם להודאתו</w:t>
      </w:r>
      <w:r>
        <w:rPr>
          <w:b/>
          <w:bCs/>
          <w:rtl/>
        </w:rPr>
        <w:t xml:space="preserve"> </w:t>
      </w:r>
      <w:r>
        <w:rPr>
          <w:rtl/>
        </w:rPr>
        <w:t>בעבירות שעניינן החזקת והובלת נשק מסוג מטען חבלה</w:t>
      </w:r>
      <w:r>
        <w:rPr>
          <w:b/>
          <w:bCs/>
          <w:rtl/>
        </w:rPr>
        <w:t xml:space="preserve">. </w:t>
      </w:r>
      <w:r>
        <w:rPr>
          <w:rtl/>
        </w:rPr>
        <w:t>לנאשם 1 עבר פלילי רלוונטי</w:t>
      </w:r>
      <w:r>
        <w:rPr>
          <w:b/>
          <w:bCs/>
          <w:rtl/>
        </w:rPr>
        <w:t xml:space="preserve">. </w:t>
      </w:r>
      <w:r>
        <w:rPr>
          <w:rtl/>
        </w:rPr>
        <w:t>בית המשפט כיבד את הסדר הטיעון, והטיל על הנאשם 3 שנות מאסר בפועל.</w:t>
      </w:r>
      <w:r>
        <w:rPr>
          <w:b/>
          <w:bCs/>
          <w:rtl/>
        </w:rPr>
        <w:t xml:space="preserve"> </w:t>
      </w:r>
      <w:r>
        <w:rPr>
          <w:rtl/>
        </w:rPr>
        <w:t>(יוער כי בית המשפט סבר כי ההסדר מקל והדגיש כי מדובר בענישה על בסיס הסדר טיעון שנחתם בין השאר על רקע קשיים ראייתיים</w:t>
      </w:r>
      <w:r>
        <w:rPr>
          <w:rFonts w:hint="cs"/>
          <w:rtl/>
        </w:rPr>
        <w:t>.</w:t>
      </w:r>
      <w:r>
        <w:rPr>
          <w:rtl/>
        </w:rPr>
        <w:t xml:space="preserve"> בהתאם לכך, החמיר בית המשפט המחוזי ברכיב המאסר המותנה</w:t>
      </w:r>
      <w:r>
        <w:rPr>
          <w:rFonts w:hint="cs"/>
          <w:rtl/>
        </w:rPr>
        <w:t>)</w:t>
      </w:r>
      <w:r>
        <w:rPr>
          <w:rtl/>
        </w:rPr>
        <w:t xml:space="preserve">. </w:t>
      </w:r>
    </w:p>
    <w:p w14:paraId="7F0B67EA" w14:textId="77777777" w:rsidR="00442031" w:rsidRDefault="00442031">
      <w:pPr>
        <w:ind w:left="720"/>
        <w:rPr>
          <w:b/>
          <w:bCs/>
          <w:rtl/>
        </w:rPr>
      </w:pPr>
    </w:p>
    <w:p w14:paraId="739E7D68" w14:textId="77777777" w:rsidR="00442031" w:rsidRDefault="00456E59">
      <w:pPr>
        <w:numPr>
          <w:ilvl w:val="0"/>
          <w:numId w:val="2"/>
        </w:numPr>
        <w:spacing w:line="480" w:lineRule="auto"/>
        <w:jc w:val="both"/>
        <w:rPr>
          <w:b/>
          <w:bCs/>
        </w:rPr>
      </w:pPr>
      <w:r>
        <w:rPr>
          <w:rtl/>
        </w:rPr>
        <w:t>ב</w:t>
      </w:r>
      <w:hyperlink r:id="rId29" w:history="1">
        <w:r w:rsidRPr="00456E59">
          <w:rPr>
            <w:color w:val="0000FF"/>
            <w:u w:val="single"/>
            <w:rtl/>
          </w:rPr>
          <w:t>ת"פ 10735-08-09</w:t>
        </w:r>
      </w:hyperlink>
      <w:r>
        <w:rPr>
          <w:rtl/>
        </w:rPr>
        <w:t xml:space="preserve"> </w:t>
      </w:r>
      <w:r>
        <w:rPr>
          <w:rFonts w:hint="cs"/>
          <w:b/>
          <w:bCs/>
          <w:rtl/>
        </w:rPr>
        <w:t xml:space="preserve">(מחוזי י-ם) </w:t>
      </w:r>
      <w:r>
        <w:rPr>
          <w:b/>
          <w:bCs/>
          <w:rtl/>
        </w:rPr>
        <w:t xml:space="preserve">מדינת ישראל נ' דבאח </w:t>
      </w:r>
      <w:r>
        <w:rPr>
          <w:rtl/>
        </w:rPr>
        <w:t>הורשע הנאשם</w:t>
      </w:r>
      <w:r>
        <w:rPr>
          <w:b/>
          <w:bCs/>
          <w:rtl/>
        </w:rPr>
        <w:t xml:space="preserve"> </w:t>
      </w:r>
      <w:r>
        <w:rPr>
          <w:rtl/>
        </w:rPr>
        <w:t>ב</w:t>
      </w:r>
      <w:r>
        <w:rPr>
          <w:color w:val="000000"/>
          <w:rtl/>
        </w:rPr>
        <w:t>עבירה של החזקת נשק</w:t>
      </w:r>
      <w:r>
        <w:rPr>
          <w:rtl/>
        </w:rPr>
        <w:t xml:space="preserve"> מסוג מטען חבלה בסמוך לביתו</w:t>
      </w:r>
      <w:r>
        <w:rPr>
          <w:b/>
          <w:bCs/>
          <w:rtl/>
        </w:rPr>
        <w:t xml:space="preserve">. </w:t>
      </w:r>
      <w:r>
        <w:rPr>
          <w:rtl/>
        </w:rPr>
        <w:t>לנאשם עבר פלילי מכביד</w:t>
      </w:r>
      <w:r>
        <w:rPr>
          <w:b/>
          <w:bCs/>
          <w:rtl/>
        </w:rPr>
        <w:t xml:space="preserve">, </w:t>
      </w:r>
      <w:r>
        <w:rPr>
          <w:rtl/>
        </w:rPr>
        <w:t>והוא נידון ל-30 חודשי מאסר בפועל</w:t>
      </w:r>
      <w:r>
        <w:rPr>
          <w:b/>
          <w:bCs/>
          <w:rtl/>
        </w:rPr>
        <w:t>.</w:t>
      </w:r>
    </w:p>
    <w:p w14:paraId="223DF34C" w14:textId="77777777" w:rsidR="00442031" w:rsidRDefault="00442031">
      <w:pPr>
        <w:ind w:left="720"/>
        <w:rPr>
          <w:b/>
          <w:bCs/>
          <w:rtl/>
        </w:rPr>
      </w:pPr>
    </w:p>
    <w:p w14:paraId="3DAB6F78" w14:textId="77777777" w:rsidR="00442031" w:rsidRDefault="00456E59">
      <w:pPr>
        <w:numPr>
          <w:ilvl w:val="0"/>
          <w:numId w:val="2"/>
        </w:numPr>
        <w:spacing w:line="480" w:lineRule="auto"/>
        <w:jc w:val="both"/>
        <w:rPr>
          <w:b/>
          <w:bCs/>
        </w:rPr>
      </w:pPr>
      <w:r>
        <w:rPr>
          <w:rtl/>
        </w:rPr>
        <w:t>ב</w:t>
      </w:r>
      <w:hyperlink r:id="rId30" w:history="1">
        <w:r w:rsidRPr="00456E59">
          <w:rPr>
            <w:color w:val="0000FF"/>
            <w:u w:val="single"/>
            <w:rtl/>
          </w:rPr>
          <w:t>ת"פ 402/09</w:t>
        </w:r>
      </w:hyperlink>
      <w:r>
        <w:rPr>
          <w:rtl/>
        </w:rPr>
        <w:t xml:space="preserve"> </w:t>
      </w:r>
      <w:r>
        <w:rPr>
          <w:b/>
          <w:bCs/>
          <w:rtl/>
        </w:rPr>
        <w:t>מדינת ישראל נ' עזאם</w:t>
      </w:r>
      <w:r>
        <w:rPr>
          <w:rtl/>
        </w:rPr>
        <w:t xml:space="preserve"> (להלן: </w:t>
      </w:r>
      <w:r>
        <w:rPr>
          <w:b/>
          <w:bCs/>
          <w:rtl/>
        </w:rPr>
        <w:t>"פרשת עזאם"</w:t>
      </w:r>
      <w:r>
        <w:rPr>
          <w:rtl/>
        </w:rPr>
        <w:t>) הורשע הנאשם בעבירה של החזקת נשק (מטען צינור שלצדו שלט רחוק). לנאשם עבר פלילי שאינו מכביד. הנאשם הודה ובית המשפט הטיל עליו</w:t>
      </w:r>
      <w:r>
        <w:rPr>
          <w:rFonts w:hint="cs"/>
          <w:rtl/>
        </w:rPr>
        <w:t xml:space="preserve"> 5.5</w:t>
      </w:r>
      <w:r>
        <w:rPr>
          <w:rtl/>
        </w:rPr>
        <w:t xml:space="preserve"> שנות מאסר.</w:t>
      </w:r>
      <w:r>
        <w:rPr>
          <w:b/>
          <w:bCs/>
          <w:rtl/>
        </w:rPr>
        <w:t xml:space="preserve"> </w:t>
      </w:r>
    </w:p>
    <w:p w14:paraId="74E025A8" w14:textId="77777777" w:rsidR="00442031" w:rsidRDefault="00442031">
      <w:pPr>
        <w:ind w:left="720"/>
        <w:rPr>
          <w:b/>
          <w:bCs/>
          <w:rtl/>
        </w:rPr>
      </w:pPr>
    </w:p>
    <w:p w14:paraId="5611A0C8" w14:textId="77777777" w:rsidR="00442031" w:rsidRDefault="00442031">
      <w:pPr>
        <w:ind w:left="720"/>
        <w:rPr>
          <w:b/>
          <w:bCs/>
          <w:rtl/>
        </w:rPr>
      </w:pPr>
    </w:p>
    <w:p w14:paraId="7D51F125" w14:textId="77777777" w:rsidR="00442031" w:rsidRDefault="00456E59">
      <w:pPr>
        <w:numPr>
          <w:ilvl w:val="0"/>
          <w:numId w:val="1"/>
        </w:numPr>
        <w:spacing w:line="480" w:lineRule="auto"/>
        <w:ind w:left="720"/>
        <w:jc w:val="both"/>
      </w:pPr>
      <w:r>
        <w:rPr>
          <w:rtl/>
        </w:rPr>
        <w:t>בתי המשפט הביעו לא אחת דעתם בהקשר למדיניות הענישה המחמירה הראויה לעבירות החזקת נשק שלא כדין, זאת לאור המסוכנות הרבה שמגולמת בעבירות אלו.</w:t>
      </w:r>
    </w:p>
    <w:p w14:paraId="4B9D0623" w14:textId="77777777" w:rsidR="00442031" w:rsidRDefault="00442031">
      <w:pPr>
        <w:spacing w:line="480" w:lineRule="auto"/>
        <w:jc w:val="both"/>
        <w:rPr>
          <w:rtl/>
        </w:rPr>
      </w:pPr>
    </w:p>
    <w:p w14:paraId="6201438E" w14:textId="77777777" w:rsidR="00442031" w:rsidRDefault="00456E59">
      <w:pPr>
        <w:spacing w:line="480" w:lineRule="auto"/>
        <w:ind w:left="720"/>
        <w:jc w:val="both"/>
        <w:rPr>
          <w:rtl/>
        </w:rPr>
      </w:pPr>
      <w:r>
        <w:rPr>
          <w:rtl/>
        </w:rPr>
        <w:t xml:space="preserve">המחוקק קבע רמת ענישה מחמירה בעבירות החזקת נשק שלא כדין. סעיף </w:t>
      </w:r>
      <w:hyperlink r:id="rId31" w:history="1">
        <w:r w:rsidR="00556452" w:rsidRPr="00556452">
          <w:rPr>
            <w:color w:val="0000FF"/>
            <w:u w:val="single"/>
            <w:rtl/>
          </w:rPr>
          <w:t>144 (א)</w:t>
        </w:r>
      </w:hyperlink>
      <w:r>
        <w:rPr>
          <w:rtl/>
        </w:rPr>
        <w:t xml:space="preserve"> קובע לאמור:</w:t>
      </w:r>
    </w:p>
    <w:p w14:paraId="65898C6E" w14:textId="77777777" w:rsidR="00442031" w:rsidRDefault="00442031">
      <w:pPr>
        <w:spacing w:line="480" w:lineRule="auto"/>
        <w:ind w:left="720"/>
        <w:jc w:val="both"/>
        <w:rPr>
          <w:rtl/>
        </w:rPr>
      </w:pPr>
    </w:p>
    <w:p w14:paraId="68DD3CBD" w14:textId="77777777" w:rsidR="00442031" w:rsidRDefault="00456E59">
      <w:pPr>
        <w:spacing w:line="480" w:lineRule="auto"/>
        <w:ind w:left="1440"/>
        <w:jc w:val="both"/>
        <w:rPr>
          <w:rtl/>
        </w:rPr>
      </w:pPr>
      <w:r>
        <w:rPr>
          <w:b/>
          <w:bCs/>
          <w:rtl/>
        </w:rPr>
        <w:t>"(א) הרוכש או המחזיק נשק בלא רשות על פי דין להחזקתו, דינו - מאסר שבע שנים</w:t>
      </w:r>
      <w:r>
        <w:rPr>
          <w:rtl/>
        </w:rPr>
        <w:t xml:space="preserve">". </w:t>
      </w:r>
    </w:p>
    <w:p w14:paraId="0A700444" w14:textId="77777777" w:rsidR="00442031" w:rsidRDefault="00442031">
      <w:pPr>
        <w:spacing w:line="480" w:lineRule="auto"/>
        <w:ind w:left="1440"/>
        <w:jc w:val="both"/>
        <w:rPr>
          <w:rtl/>
        </w:rPr>
      </w:pPr>
    </w:p>
    <w:p w14:paraId="066063DF" w14:textId="77777777" w:rsidR="00442031" w:rsidRDefault="00456E59">
      <w:pPr>
        <w:spacing w:line="480" w:lineRule="auto"/>
        <w:ind w:left="720"/>
        <w:jc w:val="both"/>
        <w:rPr>
          <w:rtl/>
          <w:lang w:eastAsia="he-IL"/>
        </w:rPr>
      </w:pPr>
      <w:r>
        <w:rPr>
          <w:rtl/>
          <w:lang w:eastAsia="he-IL"/>
        </w:rPr>
        <w:t xml:space="preserve">על הצורך בענישה מחמירה עמדה כב' השופטת ביניש (כתוארה אז) בע"פ </w:t>
      </w:r>
      <w:hyperlink r:id="rId32" w:history="1">
        <w:r w:rsidR="00E0034F" w:rsidRPr="00E0034F">
          <w:rPr>
            <w:color w:val="0000FF"/>
            <w:u w:val="single"/>
            <w:rtl/>
            <w:lang w:eastAsia="he-IL"/>
          </w:rPr>
          <w:t xml:space="preserve">1332/04 </w:t>
        </w:r>
      </w:hyperlink>
      <w:r>
        <w:rPr>
          <w:rtl/>
          <w:lang w:eastAsia="he-IL"/>
        </w:rPr>
        <w:t xml:space="preserve"> </w:t>
      </w:r>
      <w:r>
        <w:rPr>
          <w:b/>
          <w:bCs/>
          <w:rtl/>
          <w:lang w:eastAsia="he-IL"/>
        </w:rPr>
        <w:t>מדינת ישראל נ' יצחק רפאל פס ואח'</w:t>
      </w:r>
      <w:r>
        <w:rPr>
          <w:rtl/>
          <w:lang w:eastAsia="he-IL"/>
        </w:rPr>
        <w:t>, תק-על 2004(2),  228 (להלן: "</w:t>
      </w:r>
      <w:r>
        <w:rPr>
          <w:b/>
          <w:bCs/>
          <w:rtl/>
          <w:lang w:eastAsia="he-IL"/>
        </w:rPr>
        <w:t>פרשת פס</w:t>
      </w:r>
      <w:r>
        <w:rPr>
          <w:rtl/>
          <w:lang w:eastAsia="he-IL"/>
        </w:rPr>
        <w:t>"):</w:t>
      </w:r>
    </w:p>
    <w:p w14:paraId="3AE41A35" w14:textId="77777777" w:rsidR="00442031" w:rsidRDefault="00442031">
      <w:pPr>
        <w:spacing w:line="480" w:lineRule="auto"/>
        <w:jc w:val="both"/>
        <w:rPr>
          <w:rtl/>
          <w:lang w:eastAsia="he-IL"/>
        </w:rPr>
      </w:pPr>
    </w:p>
    <w:p w14:paraId="5BCE45EF" w14:textId="77777777" w:rsidR="00442031" w:rsidRDefault="00456E59">
      <w:pPr>
        <w:spacing w:line="480" w:lineRule="auto"/>
        <w:ind w:left="1440" w:right="936"/>
        <w:jc w:val="both"/>
        <w:rPr>
          <w:rtl/>
          <w:lang w:eastAsia="he-IL"/>
        </w:rPr>
      </w:pPr>
      <w:r>
        <w:rPr>
          <w:rtl/>
          <w:lang w:eastAsia="he-IL"/>
        </w:rPr>
        <w:lastRenderedPageBreak/>
        <w:t>"</w:t>
      </w:r>
      <w:r>
        <w:rPr>
          <w:b/>
          <w:bCs/>
          <w:rtl/>
          <w:lang w:eastAsia="he-IL"/>
        </w:rPr>
        <w:t>מן הראוי שיהיה בעונש כדי להרתיע מנפיצות התופעה העבריינית של החזקה, נשיאה ושימוש בנשק חם מסוגים שונים.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והאידיאולוגית כאחד - מחייבים מתן ביטוי עונשי הולם והחמרה ברמת הענישה ... אם אכן נהגו בתי המשפט בסלחנות עד כה בעבירות נשק, ניתן לומר כי לא הרימו תרומה מספקת לעקירת התופעה של החזקה או נשיאה של נשק, שהתפשטה במקומותינו והתדרדרה לשימוש בו בידי גורמים המסכנים את שלומו ובטחונו של הציבור</w:t>
      </w:r>
      <w:r>
        <w:rPr>
          <w:rtl/>
          <w:lang w:eastAsia="he-IL"/>
        </w:rPr>
        <w:t xml:space="preserve">." </w:t>
      </w:r>
    </w:p>
    <w:p w14:paraId="135DC422" w14:textId="77777777" w:rsidR="00442031" w:rsidRDefault="00442031">
      <w:pPr>
        <w:spacing w:line="480" w:lineRule="auto"/>
        <w:ind w:left="1440" w:right="936"/>
        <w:jc w:val="both"/>
        <w:rPr>
          <w:rtl/>
          <w:lang w:eastAsia="he-IL"/>
        </w:rPr>
      </w:pPr>
    </w:p>
    <w:p w14:paraId="0F3A0BD2" w14:textId="77777777" w:rsidR="00442031" w:rsidRDefault="00456E59">
      <w:pPr>
        <w:spacing w:line="480" w:lineRule="auto"/>
        <w:ind w:left="720"/>
        <w:jc w:val="both"/>
        <w:rPr>
          <w:rtl/>
          <w:lang w:eastAsia="he-IL"/>
        </w:rPr>
      </w:pPr>
      <w:r>
        <w:rPr>
          <w:rtl/>
          <w:lang w:eastAsia="he-IL"/>
        </w:rPr>
        <w:t xml:space="preserve">סבורני כי זמינותם של מטעני החבלה (כפי שתואר בהכרעת הדין), הסיכון הרב הנשקף מהם והמציאות הביטחונית השוררת במחוזותינו, </w:t>
      </w:r>
      <w:r>
        <w:rPr>
          <w:b/>
          <w:bCs/>
          <w:rtl/>
          <w:lang w:eastAsia="he-IL"/>
        </w:rPr>
        <w:t>מחייבים הטלת ענישה מחמירה</w:t>
      </w:r>
      <w:r>
        <w:rPr>
          <w:rtl/>
          <w:lang w:eastAsia="he-IL"/>
        </w:rPr>
        <w:t>.</w:t>
      </w:r>
    </w:p>
    <w:p w14:paraId="40E424FF" w14:textId="77777777" w:rsidR="00442031" w:rsidRDefault="00442031">
      <w:pPr>
        <w:spacing w:line="480" w:lineRule="auto"/>
        <w:ind w:right="936"/>
        <w:jc w:val="both"/>
        <w:rPr>
          <w:rtl/>
          <w:lang w:eastAsia="he-IL"/>
        </w:rPr>
      </w:pPr>
    </w:p>
    <w:p w14:paraId="0B6C1CD6" w14:textId="77777777" w:rsidR="00442031" w:rsidRDefault="00456E59">
      <w:pPr>
        <w:spacing w:line="480" w:lineRule="auto"/>
        <w:ind w:left="720"/>
        <w:jc w:val="both"/>
        <w:rPr>
          <w:rtl/>
          <w:lang w:eastAsia="he-IL"/>
        </w:rPr>
      </w:pPr>
      <w:r>
        <w:rPr>
          <w:rtl/>
          <w:lang w:eastAsia="he-IL"/>
        </w:rPr>
        <w:t>בפרשת פס הנ"ל, בית המשפט קבע כי בקביעת מידת העונש יש לבחון את המטרה אשר לשמה הוחזק הנשק, יחד עם שיקולים נוספים :</w:t>
      </w:r>
    </w:p>
    <w:p w14:paraId="4D9AFB2F" w14:textId="77777777" w:rsidR="00442031" w:rsidRDefault="00442031">
      <w:pPr>
        <w:spacing w:line="480" w:lineRule="auto"/>
        <w:jc w:val="both"/>
        <w:rPr>
          <w:rtl/>
          <w:lang w:eastAsia="he-IL"/>
        </w:rPr>
      </w:pPr>
    </w:p>
    <w:p w14:paraId="4DA311D1" w14:textId="77777777" w:rsidR="00442031" w:rsidRDefault="00456E59">
      <w:pPr>
        <w:spacing w:line="480" w:lineRule="auto"/>
        <w:ind w:left="1440" w:right="936"/>
        <w:jc w:val="both"/>
        <w:rPr>
          <w:rtl/>
          <w:lang w:eastAsia="he-IL"/>
        </w:rPr>
      </w:pPr>
      <w:r>
        <w:rPr>
          <w:rtl/>
          <w:lang w:eastAsia="he-IL"/>
        </w:rPr>
        <w:t>"</w:t>
      </w:r>
      <w:r>
        <w:rPr>
          <w:b/>
          <w:bCs/>
          <w:rtl/>
          <w:lang w:eastAsia="he-I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 (השוו: </w:t>
      </w:r>
      <w:hyperlink r:id="rId33" w:history="1">
        <w:r w:rsidRPr="00456E59">
          <w:rPr>
            <w:b/>
            <w:bCs/>
            <w:color w:val="0000FF"/>
            <w:u w:val="single"/>
            <w:rtl/>
            <w:lang w:eastAsia="he-IL"/>
          </w:rPr>
          <w:t>ב"ש 625/82</w:t>
        </w:r>
      </w:hyperlink>
      <w:r>
        <w:rPr>
          <w:b/>
          <w:bCs/>
          <w:rtl/>
          <w:lang w:eastAsia="he-IL"/>
        </w:rPr>
        <w:t xml:space="preserve"> חלמי אבו מוך נ' מדינת ישראל (לא פורסם)). כאשר מדובר בנשק שעל-פי טיבו אינו מיועד להגנה עצמית וכל כולו </w:t>
      </w:r>
      <w:r>
        <w:rPr>
          <w:b/>
          <w:bCs/>
          <w:rtl/>
          <w:lang w:eastAsia="he-IL"/>
        </w:rPr>
        <w:lastRenderedPageBreak/>
        <w:t>נשק התקפי רב עוצמה אשר השימוש בו יכול להביא להרג ללא הבחנה, יש בעבירת ההחזקה והנשיאה של אותו נשק חומרה מיוחדת</w:t>
      </w:r>
      <w:r>
        <w:rPr>
          <w:rtl/>
          <w:lang w:eastAsia="he-IL"/>
        </w:rPr>
        <w:t xml:space="preserve">". </w:t>
      </w:r>
    </w:p>
    <w:p w14:paraId="03EF4D4E" w14:textId="77777777" w:rsidR="00442031" w:rsidRDefault="00442031">
      <w:pPr>
        <w:spacing w:line="480" w:lineRule="auto"/>
        <w:ind w:left="1440" w:right="936"/>
        <w:jc w:val="both"/>
        <w:rPr>
          <w:rtl/>
          <w:lang w:eastAsia="he-IL"/>
        </w:rPr>
      </w:pPr>
    </w:p>
    <w:p w14:paraId="0E755CAA" w14:textId="77777777" w:rsidR="00442031" w:rsidRDefault="00456E59">
      <w:pPr>
        <w:spacing w:line="480" w:lineRule="auto"/>
        <w:ind w:left="720"/>
        <w:jc w:val="both"/>
        <w:rPr>
          <w:rtl/>
        </w:rPr>
      </w:pPr>
      <w:r>
        <w:rPr>
          <w:rtl/>
        </w:rPr>
        <w:t xml:space="preserve">בנסיבות המקרה מצאתי כי יש לייחס חומרה רבה למקום הטמנת המטען ולעובדה שמדובר במטען חבלה שניתן להפעילו מרחוק. רמת הסיכון במקרה שלפנינו גבוהה מזו המוצגת בפסיקה שהוגשה מטעם ההגנה. </w:t>
      </w:r>
    </w:p>
    <w:p w14:paraId="4770A97E" w14:textId="77777777" w:rsidR="00442031" w:rsidRDefault="00442031">
      <w:pPr>
        <w:spacing w:line="480" w:lineRule="auto"/>
        <w:ind w:left="720"/>
        <w:jc w:val="both"/>
        <w:rPr>
          <w:rtl/>
        </w:rPr>
      </w:pPr>
    </w:p>
    <w:p w14:paraId="48232868" w14:textId="77777777" w:rsidR="00442031" w:rsidRDefault="00456E59">
      <w:pPr>
        <w:spacing w:line="480" w:lineRule="auto"/>
        <w:ind w:left="720"/>
        <w:jc w:val="both"/>
        <w:rPr>
          <w:rtl/>
        </w:rPr>
      </w:pPr>
      <w:r>
        <w:rPr>
          <w:rtl/>
        </w:rPr>
        <w:t>אף נסיבותיו של המקרה ב</w:t>
      </w:r>
      <w:hyperlink r:id="rId34" w:history="1">
        <w:r w:rsidRPr="00456E59">
          <w:rPr>
            <w:color w:val="0000FF"/>
            <w:u w:val="single"/>
            <w:rtl/>
          </w:rPr>
          <w:t>ת"פ 2884-04-13</w:t>
        </w:r>
      </w:hyperlink>
      <w:r>
        <w:rPr>
          <w:rtl/>
        </w:rPr>
        <w:t xml:space="preserve"> שהוגש על ידי ההגנה רחוקות שנות אור מהמקרה שלפנינו ורמת הענישה שם אינה ישימה למקרה שלפני. </w:t>
      </w:r>
    </w:p>
    <w:p w14:paraId="07D1EB43" w14:textId="77777777" w:rsidR="00442031" w:rsidRDefault="00442031">
      <w:pPr>
        <w:spacing w:line="480" w:lineRule="auto"/>
        <w:ind w:left="720"/>
        <w:jc w:val="both"/>
        <w:rPr>
          <w:rtl/>
        </w:rPr>
      </w:pPr>
    </w:p>
    <w:p w14:paraId="1B3B15C6" w14:textId="77777777" w:rsidR="00442031" w:rsidRDefault="00456E59">
      <w:pPr>
        <w:spacing w:line="480" w:lineRule="auto"/>
        <w:ind w:left="720"/>
        <w:jc w:val="both"/>
        <w:rPr>
          <w:rtl/>
        </w:rPr>
      </w:pPr>
      <w:r>
        <w:rPr>
          <w:rtl/>
        </w:rPr>
        <w:t xml:space="preserve">דומה כי </w:t>
      </w:r>
      <w:r>
        <w:rPr>
          <w:rFonts w:hint="cs"/>
          <w:rtl/>
        </w:rPr>
        <w:t>ה</w:t>
      </w:r>
      <w:r>
        <w:rPr>
          <w:rtl/>
        </w:rPr>
        <w:t xml:space="preserve">הסברים שנרשמו </w:t>
      </w:r>
      <w:r>
        <w:rPr>
          <w:b/>
          <w:bCs/>
          <w:rtl/>
        </w:rPr>
        <w:t>בפרשת עזאם</w:t>
      </w:r>
      <w:r>
        <w:rPr>
          <w:rtl/>
        </w:rPr>
        <w:t xml:space="preserve"> (ר' סעיף 6 עמ' 15) אשר לחומרת המעשה, הנזק הפוטנציאלי העצום לציבור, כמו גם העובדה "שפיגועים פליליים" הפכו לתופעה שכיחה במקומותינו, יפים גם למקרה שלפנינו. </w:t>
      </w:r>
    </w:p>
    <w:p w14:paraId="44BF1BC1" w14:textId="77777777" w:rsidR="00442031" w:rsidRDefault="00442031">
      <w:pPr>
        <w:spacing w:line="480" w:lineRule="auto"/>
        <w:ind w:left="720"/>
        <w:jc w:val="both"/>
        <w:rPr>
          <w:rtl/>
        </w:rPr>
      </w:pPr>
    </w:p>
    <w:p w14:paraId="7298983F" w14:textId="77777777" w:rsidR="00442031" w:rsidRDefault="00456E59">
      <w:pPr>
        <w:numPr>
          <w:ilvl w:val="0"/>
          <w:numId w:val="1"/>
        </w:numPr>
        <w:spacing w:line="480" w:lineRule="auto"/>
        <w:ind w:left="720"/>
        <w:jc w:val="both"/>
      </w:pPr>
      <w:r>
        <w:rPr>
          <w:rtl/>
        </w:rPr>
        <w:t xml:space="preserve">באשר לנסיבות ביצוע העבירה (בהתאם </w:t>
      </w:r>
      <w:hyperlink r:id="rId35" w:history="1">
        <w:r w:rsidR="00556452" w:rsidRPr="00556452">
          <w:rPr>
            <w:color w:val="0000FF"/>
            <w:u w:val="single"/>
            <w:rtl/>
          </w:rPr>
          <w:t>לסעיף 40ג'</w:t>
        </w:r>
      </w:hyperlink>
      <w:r>
        <w:rPr>
          <w:rtl/>
        </w:rPr>
        <w:t xml:space="preserve"> לחוק), יש לייחס חומרה יתרה לכך שמטען החבלה נתפס במחסן פתוח ונגיש לכל, הנמצא מתחת ליציע אולם הספורט המשמש ילדים רבים, כפי שתואר בהרחבה בהכרעת הדין. בעניין זה אציין כי התמונה שנפרשה לעיני בית המשפט במהלך ניהול ההוכחות והתעניינותו של הנאשם בסוגיות הקשורות במטעני חבלה כפי שעולה מחומר הראי</w:t>
      </w:r>
      <w:r>
        <w:rPr>
          <w:rFonts w:hint="cs"/>
          <w:rtl/>
        </w:rPr>
        <w:t>ו</w:t>
      </w:r>
      <w:r>
        <w:rPr>
          <w:rtl/>
        </w:rPr>
        <w:t xml:space="preserve">ת שהוגש לעיוני, מטרידה ביותר ומביאה למסקנה שאף גרסתו החלופית "התמימה" של הנאשם, שלפיה מצא את המטען זמן קצר עובר לפשיטת המשטרה ודיווח על כך "בתום לב" לעיתונאי, אינה נכונה ואין בה כדי להקל עמו. נהפוך הוא.  </w:t>
      </w:r>
    </w:p>
    <w:p w14:paraId="6315A09F" w14:textId="77777777" w:rsidR="00442031" w:rsidRDefault="00442031">
      <w:pPr>
        <w:spacing w:line="480" w:lineRule="auto"/>
        <w:ind w:left="720"/>
        <w:jc w:val="both"/>
      </w:pPr>
    </w:p>
    <w:p w14:paraId="4FBFD7CA" w14:textId="77777777" w:rsidR="00442031" w:rsidRDefault="00456E59">
      <w:pPr>
        <w:numPr>
          <w:ilvl w:val="0"/>
          <w:numId w:val="1"/>
        </w:numPr>
        <w:spacing w:line="480" w:lineRule="auto"/>
        <w:ind w:left="720"/>
        <w:jc w:val="both"/>
        <w:rPr>
          <w:rtl/>
        </w:rPr>
      </w:pPr>
      <w:r>
        <w:rPr>
          <w:rtl/>
        </w:rPr>
        <w:t>לאחר שנדרשתי למכלול השיקולים הרלוונטיים ובהתאם לתיקון 113 ל</w:t>
      </w:r>
      <w:hyperlink r:id="rId36" w:history="1">
        <w:r w:rsidRPr="00456E59">
          <w:rPr>
            <w:color w:val="0000FF"/>
            <w:u w:val="single"/>
            <w:rtl/>
          </w:rPr>
          <w:t>חוק העונשין</w:t>
        </w:r>
      </w:hyperlink>
      <w:r>
        <w:rPr>
          <w:rtl/>
        </w:rPr>
        <w:t xml:space="preserve"> (סעיף </w:t>
      </w:r>
      <w:hyperlink r:id="rId37" w:history="1">
        <w:r w:rsidR="00556452" w:rsidRPr="00556452">
          <w:rPr>
            <w:color w:val="0000FF"/>
            <w:u w:val="single"/>
            <w:rtl/>
          </w:rPr>
          <w:t>40 יג'</w:t>
        </w:r>
      </w:hyperlink>
      <w:r>
        <w:rPr>
          <w:rtl/>
        </w:rPr>
        <w:t>), אני קובע מתחם עונש הולם שהינו החל משנתיים ועד ל-5 שנות מאסר בפועל, לצד מאסר על תנאי וקנס.</w:t>
      </w:r>
    </w:p>
    <w:p w14:paraId="0DC64D08" w14:textId="77777777" w:rsidR="00442031" w:rsidRDefault="00442031">
      <w:pPr>
        <w:spacing w:line="480" w:lineRule="auto"/>
        <w:ind w:left="720"/>
        <w:jc w:val="both"/>
        <w:rPr>
          <w:rtl/>
        </w:rPr>
      </w:pPr>
    </w:p>
    <w:p w14:paraId="0B85EDEC" w14:textId="77777777" w:rsidR="00442031" w:rsidRDefault="00442031">
      <w:pPr>
        <w:spacing w:line="480" w:lineRule="auto"/>
        <w:ind w:left="720"/>
        <w:jc w:val="both"/>
        <w:rPr>
          <w:rtl/>
        </w:rPr>
      </w:pPr>
    </w:p>
    <w:p w14:paraId="2C052B30" w14:textId="77777777" w:rsidR="00442031" w:rsidRDefault="00442031">
      <w:pPr>
        <w:spacing w:line="480" w:lineRule="auto"/>
        <w:ind w:left="720"/>
        <w:jc w:val="both"/>
      </w:pPr>
    </w:p>
    <w:p w14:paraId="5D56899B" w14:textId="77777777" w:rsidR="00442031" w:rsidRDefault="00456E59">
      <w:pPr>
        <w:spacing w:line="480" w:lineRule="auto"/>
        <w:rPr>
          <w:b/>
          <w:bCs/>
          <w:u w:val="single"/>
          <w:rtl/>
        </w:rPr>
      </w:pPr>
      <w:r>
        <w:rPr>
          <w:b/>
          <w:bCs/>
          <w:u w:val="single"/>
          <w:rtl/>
        </w:rPr>
        <w:t>גזירת העונש המתאים לנאשם</w:t>
      </w:r>
    </w:p>
    <w:p w14:paraId="5BE9EFD9" w14:textId="77777777" w:rsidR="00442031" w:rsidRDefault="00442031">
      <w:pPr>
        <w:spacing w:line="480" w:lineRule="auto"/>
        <w:rPr>
          <w:b/>
          <w:bCs/>
          <w:u w:val="single"/>
          <w:rtl/>
        </w:rPr>
      </w:pPr>
    </w:p>
    <w:p w14:paraId="38A3514B" w14:textId="77777777" w:rsidR="00442031" w:rsidRDefault="00456E59">
      <w:pPr>
        <w:numPr>
          <w:ilvl w:val="0"/>
          <w:numId w:val="1"/>
        </w:numPr>
        <w:spacing w:line="480" w:lineRule="auto"/>
        <w:ind w:left="720"/>
        <w:jc w:val="both"/>
        <w:rPr>
          <w:b/>
          <w:bCs/>
          <w:u w:val="single"/>
        </w:rPr>
      </w:pPr>
      <w:r>
        <w:rPr>
          <w:rtl/>
        </w:rPr>
        <w:t xml:space="preserve">בגזירת העונש המתאים לנאשם, בגדרי מתחם העונש ההולם, יש להתחשב בנסיבות שאינן קשורות בביצוע העבירה (סעיף </w:t>
      </w:r>
      <w:hyperlink r:id="rId38" w:history="1">
        <w:r w:rsidR="00556452" w:rsidRPr="00556452">
          <w:rPr>
            <w:color w:val="0000FF"/>
            <w:u w:val="single"/>
            <w:rtl/>
          </w:rPr>
          <w:t>40 יא'</w:t>
        </w:r>
      </w:hyperlink>
      <w:r>
        <w:rPr>
          <w:rtl/>
        </w:rPr>
        <w:t xml:space="preserve">). </w:t>
      </w:r>
    </w:p>
    <w:p w14:paraId="6C726E94" w14:textId="77777777" w:rsidR="00442031" w:rsidRDefault="00442031">
      <w:pPr>
        <w:spacing w:line="480" w:lineRule="auto"/>
        <w:ind w:left="720"/>
        <w:jc w:val="both"/>
        <w:rPr>
          <w:b/>
          <w:bCs/>
          <w:u w:val="single"/>
        </w:rPr>
      </w:pPr>
    </w:p>
    <w:p w14:paraId="7D0916C7" w14:textId="77777777" w:rsidR="00442031" w:rsidRDefault="00456E59">
      <w:pPr>
        <w:numPr>
          <w:ilvl w:val="0"/>
          <w:numId w:val="1"/>
        </w:numPr>
        <w:spacing w:line="480" w:lineRule="auto"/>
        <w:ind w:left="720"/>
        <w:jc w:val="both"/>
      </w:pPr>
      <w:r>
        <w:rPr>
          <w:rtl/>
        </w:rPr>
        <w:t xml:space="preserve">הנאשם לא לקח אחריות על מעשיו ולא הודה במיוחס לו. תחת זאת ניהל הנאשם משפט אשר בסופו קבעתי אשמתו וציינתי בהכרעת הדין את התרשמותי השלילית ממהימנותו. אכן, אין בעובדה שבחר הנאשם להעמיד את התביעה על ראיותיה כדי להחמיר עמו בדין, אך באותה מידה אין מקום להקל בעונשו.  </w:t>
      </w:r>
    </w:p>
    <w:p w14:paraId="60BBC99A" w14:textId="77777777" w:rsidR="00442031" w:rsidRDefault="00442031">
      <w:pPr>
        <w:spacing w:line="480" w:lineRule="auto"/>
        <w:ind w:left="720"/>
        <w:jc w:val="both"/>
        <w:rPr>
          <w:b/>
          <w:bCs/>
          <w:u w:val="single"/>
        </w:rPr>
      </w:pPr>
    </w:p>
    <w:p w14:paraId="1F31F5C9" w14:textId="77777777" w:rsidR="00442031" w:rsidRDefault="00456E59">
      <w:pPr>
        <w:numPr>
          <w:ilvl w:val="0"/>
          <w:numId w:val="1"/>
        </w:numPr>
        <w:spacing w:line="480" w:lineRule="auto"/>
        <w:ind w:left="720"/>
        <w:jc w:val="both"/>
      </w:pPr>
      <w:r>
        <w:rPr>
          <w:rtl/>
        </w:rPr>
        <w:t>במסגרת השיקולים לקולא לקחתי בחשבון את אישיותו החיובית של הנאשם, כפי שזו נצטיירה מדבריהם של עדי האופי שדיברו בשבחו ומהמסמכים שהוגשו (נה/2), וכן את עברו הפלילי, הכולל הרשעה בעבירות של הפרעה, שימוש בכוח להימנע ממעצר, איומים והעלבת עובד ציבור (הרשעה משנת 2010 בגין עבירות משנת 2008), וכן רישום המעיד על אי הרשעה בעבירות של הפרעה לעו</w:t>
      </w:r>
      <w:r>
        <w:rPr>
          <w:rFonts w:hint="cs"/>
          <w:rtl/>
        </w:rPr>
        <w:t>ב</w:t>
      </w:r>
      <w:r>
        <w:rPr>
          <w:rtl/>
        </w:rPr>
        <w:t xml:space="preserve">ד ציבור והעלבתו. העובדה שעברו הפלילי אינו מכביד אין בה כדי להקל עם הנאשם אשר לא נטל אחריות על מעשיו. </w:t>
      </w:r>
    </w:p>
    <w:p w14:paraId="5AAED584" w14:textId="77777777" w:rsidR="00442031" w:rsidRDefault="00442031">
      <w:pPr>
        <w:ind w:left="720"/>
        <w:rPr>
          <w:rtl/>
        </w:rPr>
      </w:pPr>
    </w:p>
    <w:p w14:paraId="00421D52" w14:textId="77777777" w:rsidR="00442031" w:rsidRDefault="00442031">
      <w:pPr>
        <w:ind w:left="720"/>
        <w:rPr>
          <w:rtl/>
        </w:rPr>
      </w:pPr>
    </w:p>
    <w:p w14:paraId="036B89A4" w14:textId="77777777" w:rsidR="00442031" w:rsidRDefault="00456E59">
      <w:pPr>
        <w:numPr>
          <w:ilvl w:val="0"/>
          <w:numId w:val="1"/>
        </w:numPr>
        <w:spacing w:line="480" w:lineRule="auto"/>
        <w:ind w:left="720"/>
        <w:jc w:val="both"/>
        <w:rPr>
          <w:rtl/>
        </w:rPr>
      </w:pPr>
      <w:r>
        <w:rPr>
          <w:rtl/>
        </w:rPr>
        <w:t xml:space="preserve">על בית המשפט בעת גזירת דינו של הנאשם, להתחשב במכלול הנסיבות של המעשה מול נסיבות העושה. אני סבור כי בעבירות נשק יש לתת משקל נכבד ומשמעותי לאינטרס הציבורי ולצורך להרתיע עבריינים בכוח מלבצע עבירות דומות, וזאת על פני נסיבותיו האישיות של העבריין. בענין זה ראה, </w:t>
      </w:r>
      <w:hyperlink r:id="rId39" w:history="1">
        <w:r w:rsidRPr="00456E59">
          <w:rPr>
            <w:color w:val="0000FF"/>
            <w:u w:val="single"/>
            <w:rtl/>
          </w:rPr>
          <w:t>ע"פ 5066/98</w:t>
        </w:r>
      </w:hyperlink>
      <w:r>
        <w:rPr>
          <w:rtl/>
        </w:rPr>
        <w:t xml:space="preserve"> </w:t>
      </w:r>
      <w:r>
        <w:rPr>
          <w:b/>
          <w:bCs/>
          <w:rtl/>
        </w:rPr>
        <w:t>מדינת ישראל נ' ניעמן דחלה ואח'</w:t>
      </w:r>
      <w:r>
        <w:rPr>
          <w:rtl/>
        </w:rPr>
        <w:t xml:space="preserve">, תק-על 99(3), 1574 וכן </w:t>
      </w:r>
      <w:hyperlink r:id="rId40" w:history="1">
        <w:r w:rsidRPr="00456E59">
          <w:rPr>
            <w:color w:val="0000FF"/>
            <w:u w:val="single"/>
            <w:rtl/>
          </w:rPr>
          <w:t>רע"פ 2718/04</w:t>
        </w:r>
      </w:hyperlink>
      <w:r>
        <w:rPr>
          <w:rtl/>
        </w:rPr>
        <w:t xml:space="preserve"> </w:t>
      </w:r>
      <w:r>
        <w:rPr>
          <w:b/>
          <w:bCs/>
          <w:rtl/>
        </w:rPr>
        <w:t>אבו דאחל נ' מדינת ישראל</w:t>
      </w:r>
      <w:r>
        <w:rPr>
          <w:rtl/>
        </w:rPr>
        <w:t>, לא פורסם (2004).</w:t>
      </w:r>
      <w:r>
        <w:rPr>
          <w:rFonts w:hint="cs"/>
          <w:rtl/>
        </w:rPr>
        <w:t xml:space="preserve"> </w:t>
      </w:r>
      <w:r>
        <w:rPr>
          <w:rtl/>
        </w:rPr>
        <w:t xml:space="preserve">במקרה שלפנינו יש להטיל ענישה שיש בה משום הרתעת היחיד והרתעת הרבים. </w:t>
      </w:r>
    </w:p>
    <w:p w14:paraId="4F8C0A8E" w14:textId="77777777" w:rsidR="00442031" w:rsidRDefault="00442031">
      <w:pPr>
        <w:spacing w:line="480" w:lineRule="auto"/>
        <w:ind w:left="720"/>
        <w:jc w:val="both"/>
      </w:pPr>
    </w:p>
    <w:p w14:paraId="4A7DD7B7" w14:textId="77777777" w:rsidR="00442031" w:rsidRDefault="00442031">
      <w:pPr>
        <w:ind w:left="720"/>
        <w:rPr>
          <w:rtl/>
        </w:rPr>
      </w:pPr>
    </w:p>
    <w:p w14:paraId="58C97147" w14:textId="77777777" w:rsidR="00442031" w:rsidRDefault="00456E59">
      <w:pPr>
        <w:numPr>
          <w:ilvl w:val="0"/>
          <w:numId w:val="1"/>
        </w:numPr>
        <w:spacing w:line="480" w:lineRule="auto"/>
        <w:ind w:left="720"/>
        <w:jc w:val="both"/>
      </w:pPr>
      <w:r>
        <w:rPr>
          <w:rtl/>
        </w:rPr>
        <w:t>אשר לבקשה לניכוי ימי מעצר הבית בפיקוח אלקטרוני מימי המאסר: הנאשם היה עצור במתקן כליאה בין התאריכים 13.</w:t>
      </w:r>
      <w:r>
        <w:rPr>
          <w:rFonts w:hint="cs"/>
          <w:rtl/>
        </w:rPr>
        <w:t>5</w:t>
      </w:r>
      <w:r>
        <w:rPr>
          <w:rtl/>
        </w:rPr>
        <w:t>.1</w:t>
      </w:r>
      <w:r>
        <w:rPr>
          <w:rFonts w:hint="cs"/>
          <w:rtl/>
        </w:rPr>
        <w:t xml:space="preserve">4 עד </w:t>
      </w:r>
      <w:r>
        <w:rPr>
          <w:rtl/>
        </w:rPr>
        <w:t xml:space="preserve">17.7.14 (להלן: </w:t>
      </w:r>
      <w:r>
        <w:rPr>
          <w:b/>
          <w:bCs/>
          <w:rtl/>
        </w:rPr>
        <w:t>"תקופת המעצר"</w:t>
      </w:r>
      <w:r>
        <w:rPr>
          <w:rtl/>
        </w:rPr>
        <w:t>). כמו כן, שהה הנאשם במעצר בית באיזוק אלקטרוני בין התאריכים 17.7.14</w:t>
      </w:r>
      <w:r>
        <w:rPr>
          <w:rFonts w:hint="cs"/>
          <w:rtl/>
        </w:rPr>
        <w:t xml:space="preserve"> עד </w:t>
      </w:r>
      <w:r>
        <w:rPr>
          <w:rtl/>
        </w:rPr>
        <w:t>19.1.15 (להלן: "תקופת מעצר הבית באיזוק").</w:t>
      </w:r>
    </w:p>
    <w:p w14:paraId="430B9CEA" w14:textId="77777777" w:rsidR="00442031" w:rsidRDefault="00442031">
      <w:pPr>
        <w:spacing w:line="480" w:lineRule="auto"/>
        <w:jc w:val="both"/>
        <w:rPr>
          <w:rtl/>
        </w:rPr>
      </w:pPr>
    </w:p>
    <w:p w14:paraId="2F8F9AF8" w14:textId="77777777" w:rsidR="00442031" w:rsidRDefault="00456E59">
      <w:pPr>
        <w:spacing w:line="480" w:lineRule="auto"/>
        <w:ind w:left="720"/>
        <w:jc w:val="both"/>
        <w:rPr>
          <w:rtl/>
        </w:rPr>
      </w:pPr>
      <w:r>
        <w:rPr>
          <w:rtl/>
        </w:rPr>
        <w:t>חוק הפיקוח האלקטרוני התקבל בכנסת ביום 8.12.14 ונכנס לתוקף ביום 16.06.15.</w:t>
      </w:r>
    </w:p>
    <w:p w14:paraId="3338ED64" w14:textId="77777777" w:rsidR="00442031" w:rsidRDefault="00456E59">
      <w:pPr>
        <w:spacing w:line="480" w:lineRule="auto"/>
        <w:ind w:left="720"/>
        <w:jc w:val="both"/>
        <w:rPr>
          <w:rtl/>
        </w:rPr>
      </w:pPr>
      <w:r>
        <w:rPr>
          <w:rtl/>
        </w:rPr>
        <w:t xml:space="preserve">בסוגיה זו קיימות גישות שונות בבית המשפט המחוזי, כך למשל: דחתה כב' השופטת תמר נאות פרי (מחוזי חיפה) </w:t>
      </w:r>
      <w:r>
        <w:rPr>
          <w:b/>
          <w:bCs/>
          <w:rtl/>
        </w:rPr>
        <w:t>ב</w:t>
      </w:r>
      <w:hyperlink r:id="rId41" w:history="1">
        <w:r w:rsidRPr="00456E59">
          <w:rPr>
            <w:b/>
            <w:bCs/>
            <w:color w:val="0000FF"/>
            <w:u w:val="single"/>
            <w:rtl/>
          </w:rPr>
          <w:t>ת"פ 54685-01-12</w:t>
        </w:r>
      </w:hyperlink>
      <w:r>
        <w:rPr>
          <w:rtl/>
        </w:rPr>
        <w:t xml:space="preserve">, בקשה דומה ואולם כב' השופט כמאל סעד בבימה"ש המחוזי בחיפה, </w:t>
      </w:r>
      <w:hyperlink r:id="rId42" w:history="1">
        <w:r w:rsidRPr="00456E59">
          <w:rPr>
            <w:b/>
            <w:bCs/>
            <w:color w:val="0000FF"/>
            <w:u w:val="single"/>
            <w:rtl/>
          </w:rPr>
          <w:t>ת"פ 3617-01-15</w:t>
        </w:r>
      </w:hyperlink>
      <w:r>
        <w:rPr>
          <w:rtl/>
        </w:rPr>
        <w:t xml:space="preserve"> גזר דין מיום 28.10.15, הורה על ניכוי ימי מעצר הבית תחת פיקוח אלקטרוני. </w:t>
      </w:r>
    </w:p>
    <w:p w14:paraId="29F7F23E" w14:textId="77777777" w:rsidR="00442031" w:rsidRDefault="00456E59">
      <w:pPr>
        <w:spacing w:line="480" w:lineRule="auto"/>
        <w:ind w:left="720"/>
        <w:jc w:val="both"/>
        <w:rPr>
          <w:rtl/>
        </w:rPr>
      </w:pPr>
      <w:r>
        <w:rPr>
          <w:rtl/>
        </w:rPr>
        <w:t xml:space="preserve">בחוק הפיקוח על איזוק אלקטרוני אין כל הוראה מפורשת המורה על ניכוי אוטומטי של ימי המעצר. </w:t>
      </w:r>
    </w:p>
    <w:p w14:paraId="2814F0FE" w14:textId="77777777" w:rsidR="00442031" w:rsidRDefault="00456E59">
      <w:pPr>
        <w:spacing w:line="480" w:lineRule="auto"/>
        <w:ind w:left="720"/>
        <w:jc w:val="both"/>
        <w:rPr>
          <w:rtl/>
        </w:rPr>
      </w:pPr>
      <w:r>
        <w:rPr>
          <w:rtl/>
        </w:rPr>
        <w:t xml:space="preserve">אם ניתן לראות, בימי המעצר באיזוק האלקטרוני לאחר כניסת החוק לתוקפו כימי מעצר לכל דבר </w:t>
      </w:r>
      <w:r>
        <w:rPr>
          <w:rFonts w:hint="cs"/>
          <w:rtl/>
        </w:rPr>
        <w:t xml:space="preserve">(בשינויים המחויבים) הרי </w:t>
      </w:r>
      <w:r>
        <w:rPr>
          <w:rtl/>
        </w:rPr>
        <w:t xml:space="preserve">שאין כך הם פני הדברים </w:t>
      </w:r>
      <w:r>
        <w:rPr>
          <w:rFonts w:hint="cs"/>
          <w:rtl/>
        </w:rPr>
        <w:t>עובר החוק ל</w:t>
      </w:r>
      <w:r>
        <w:rPr>
          <w:rtl/>
        </w:rPr>
        <w:t>כניסתו של החוק לתוקף והסטטוס של שוהה באיזוק אלקטרוני בתקופה</w:t>
      </w:r>
      <w:r>
        <w:rPr>
          <w:rFonts w:hint="cs"/>
          <w:rtl/>
        </w:rPr>
        <w:t xml:space="preserve"> זו </w:t>
      </w:r>
      <w:r>
        <w:rPr>
          <w:rtl/>
        </w:rPr>
        <w:t>הוא כשל משוחרר בערובה ולא עצור.</w:t>
      </w:r>
    </w:p>
    <w:p w14:paraId="466E0A27" w14:textId="77777777" w:rsidR="00442031" w:rsidRDefault="00456E59">
      <w:pPr>
        <w:spacing w:line="480" w:lineRule="auto"/>
        <w:ind w:left="720"/>
        <w:jc w:val="both"/>
      </w:pPr>
      <w:r>
        <w:rPr>
          <w:rtl/>
        </w:rPr>
        <w:t xml:space="preserve">בנסיבות אלו ומהנימוקים המפורטים בהחלטת כב' השופטת תמר נאור פרי, </w:t>
      </w:r>
      <w:r>
        <w:rPr>
          <w:b/>
          <w:bCs/>
          <w:rtl/>
        </w:rPr>
        <w:t>ב</w:t>
      </w:r>
      <w:hyperlink r:id="rId43" w:history="1">
        <w:r w:rsidRPr="00456E59">
          <w:rPr>
            <w:b/>
            <w:bCs/>
            <w:color w:val="0000FF"/>
            <w:u w:val="single"/>
            <w:rtl/>
          </w:rPr>
          <w:t>ת"פ 54685-01-12</w:t>
        </w:r>
      </w:hyperlink>
      <w:r>
        <w:rPr>
          <w:rtl/>
        </w:rPr>
        <w:t xml:space="preserve"> הנ"ל, אני דוחה הבקשה. כך או אחרת, אתייחס במסגרת הענישה שאטיל על הנאשם גם בתקופה זו. </w:t>
      </w:r>
    </w:p>
    <w:p w14:paraId="068857C2" w14:textId="77777777" w:rsidR="00442031" w:rsidRDefault="00442031">
      <w:pPr>
        <w:spacing w:line="480" w:lineRule="auto"/>
        <w:rPr>
          <w:b/>
          <w:bCs/>
          <w:u w:val="single"/>
          <w:rtl/>
        </w:rPr>
      </w:pPr>
    </w:p>
    <w:p w14:paraId="379B5BEF" w14:textId="77777777" w:rsidR="00442031" w:rsidRDefault="00456E59">
      <w:pPr>
        <w:numPr>
          <w:ilvl w:val="0"/>
          <w:numId w:val="1"/>
        </w:numPr>
        <w:spacing w:line="480" w:lineRule="auto"/>
        <w:ind w:left="720"/>
        <w:jc w:val="both"/>
        <w:rPr>
          <w:b/>
          <w:bCs/>
          <w:u w:val="single"/>
        </w:rPr>
      </w:pPr>
      <w:r>
        <w:rPr>
          <w:rtl/>
        </w:rPr>
        <w:t>אשר על כן הנני גוזר על הנאשם את העונשים הבאים:</w:t>
      </w:r>
    </w:p>
    <w:p w14:paraId="5E22AAFA" w14:textId="77777777" w:rsidR="00442031" w:rsidRDefault="00442031">
      <w:pPr>
        <w:spacing w:line="480" w:lineRule="auto"/>
        <w:ind w:left="720"/>
        <w:jc w:val="both"/>
        <w:rPr>
          <w:b/>
          <w:bCs/>
          <w:u w:val="single"/>
        </w:rPr>
      </w:pPr>
    </w:p>
    <w:p w14:paraId="730619C6" w14:textId="77777777" w:rsidR="00442031" w:rsidRDefault="00456E59">
      <w:pPr>
        <w:numPr>
          <w:ilvl w:val="0"/>
          <w:numId w:val="3"/>
        </w:numPr>
        <w:spacing w:line="480" w:lineRule="auto"/>
        <w:jc w:val="both"/>
        <w:rPr>
          <w:u w:val="single"/>
        </w:rPr>
      </w:pPr>
      <w:r>
        <w:rPr>
          <w:rtl/>
        </w:rPr>
        <w:t xml:space="preserve">מאסר בפועל למשך 4 שנים בניכוי תקופת המעצר מיום 13.05.14 ועד ליום 17.07.14. </w:t>
      </w:r>
    </w:p>
    <w:p w14:paraId="4C17C2C8" w14:textId="77777777" w:rsidR="00442031" w:rsidRDefault="00442031">
      <w:pPr>
        <w:spacing w:line="480" w:lineRule="auto"/>
        <w:ind w:left="1080"/>
        <w:jc w:val="both"/>
        <w:rPr>
          <w:u w:val="single"/>
        </w:rPr>
      </w:pPr>
    </w:p>
    <w:p w14:paraId="46984441" w14:textId="77777777" w:rsidR="00442031" w:rsidRDefault="00456E59">
      <w:pPr>
        <w:numPr>
          <w:ilvl w:val="0"/>
          <w:numId w:val="3"/>
        </w:numPr>
        <w:spacing w:line="360" w:lineRule="auto"/>
        <w:jc w:val="both"/>
      </w:pPr>
      <w:r>
        <w:rPr>
          <w:rtl/>
        </w:rPr>
        <w:t>12 חודשי מאסר על תנאי, לבל יעבור הנאשם במשך 3 שנים על כל עבירת נשק.</w:t>
      </w:r>
    </w:p>
    <w:p w14:paraId="5A7F4408" w14:textId="77777777" w:rsidR="00442031" w:rsidRDefault="00442031">
      <w:pPr>
        <w:ind w:left="720"/>
        <w:rPr>
          <w:rtl/>
        </w:rPr>
      </w:pPr>
    </w:p>
    <w:p w14:paraId="5F61DF9D" w14:textId="77777777" w:rsidR="00442031" w:rsidRDefault="00456E59">
      <w:pPr>
        <w:numPr>
          <w:ilvl w:val="0"/>
          <w:numId w:val="3"/>
        </w:numPr>
        <w:spacing w:line="360" w:lineRule="auto"/>
        <w:jc w:val="both"/>
      </w:pPr>
      <w:r>
        <w:rPr>
          <w:rtl/>
        </w:rPr>
        <w:t xml:space="preserve">4 חודשי מאסר על תנאי לבל יעבור הנאשם במשך שנתיים עבירה לפי סעיף </w:t>
      </w:r>
      <w:hyperlink r:id="rId44" w:history="1">
        <w:r w:rsidR="00556452" w:rsidRPr="00556452">
          <w:rPr>
            <w:color w:val="0000FF"/>
            <w:u w:val="single"/>
            <w:rtl/>
          </w:rPr>
          <w:t>7א' ו-7ג'</w:t>
        </w:r>
      </w:hyperlink>
      <w:r>
        <w:rPr>
          <w:rtl/>
        </w:rPr>
        <w:t xml:space="preserve"> סיפא ל</w:t>
      </w:r>
      <w:hyperlink r:id="rId45" w:history="1">
        <w:r w:rsidRPr="00456E59">
          <w:rPr>
            <w:color w:val="0000FF"/>
            <w:u w:val="single"/>
            <w:rtl/>
          </w:rPr>
          <w:t>פקודת הסמים המסוכנים</w:t>
        </w:r>
      </w:hyperlink>
      <w:r>
        <w:rPr>
          <w:rtl/>
        </w:rPr>
        <w:t xml:space="preserve">. </w:t>
      </w:r>
    </w:p>
    <w:p w14:paraId="48CC7BC7" w14:textId="77777777" w:rsidR="00442031" w:rsidRDefault="00442031">
      <w:pPr>
        <w:spacing w:line="480" w:lineRule="auto"/>
        <w:ind w:left="1080"/>
        <w:jc w:val="both"/>
        <w:rPr>
          <w:u w:val="single"/>
        </w:rPr>
      </w:pPr>
    </w:p>
    <w:p w14:paraId="67B550CA" w14:textId="77777777" w:rsidR="00442031" w:rsidRDefault="00456E59">
      <w:pPr>
        <w:numPr>
          <w:ilvl w:val="0"/>
          <w:numId w:val="3"/>
        </w:numPr>
        <w:spacing w:line="360" w:lineRule="auto"/>
        <w:jc w:val="both"/>
      </w:pPr>
      <w:r>
        <w:rPr>
          <w:rtl/>
        </w:rPr>
        <w:t xml:space="preserve">קנס כספי בסך 3,000 ₪  או 20 ימי מאסר תמורתם. הקנס ישולם ב-3 תשלומים שווים ורצופים החל מיום 01.12.15. </w:t>
      </w:r>
    </w:p>
    <w:p w14:paraId="31E94ADF" w14:textId="77777777" w:rsidR="00442031" w:rsidRDefault="00442031">
      <w:pPr>
        <w:ind w:left="720"/>
        <w:rPr>
          <w:rtl/>
        </w:rPr>
      </w:pPr>
    </w:p>
    <w:p w14:paraId="5DEA1FA8" w14:textId="77777777" w:rsidR="00442031" w:rsidRDefault="00456E59">
      <w:pPr>
        <w:spacing w:line="360" w:lineRule="auto"/>
        <w:ind w:left="1080"/>
        <w:jc w:val="both"/>
      </w:pPr>
      <w:r>
        <w:rPr>
          <w:rtl/>
        </w:rPr>
        <w:t xml:space="preserve">לא ישולם תשלום מהתשלומים שנקבעו יעמוד מלוא הסכום לפרעון מיידי. </w:t>
      </w:r>
    </w:p>
    <w:p w14:paraId="79CD5747" w14:textId="77777777" w:rsidR="00442031" w:rsidRDefault="00442031">
      <w:pPr>
        <w:spacing w:line="480" w:lineRule="auto"/>
        <w:ind w:left="720"/>
        <w:jc w:val="both"/>
        <w:rPr>
          <w:b/>
          <w:bCs/>
          <w:u w:val="single"/>
          <w:rtl/>
        </w:rPr>
      </w:pPr>
    </w:p>
    <w:p w14:paraId="559A4A89" w14:textId="77777777" w:rsidR="00442031" w:rsidRDefault="00456E59">
      <w:pPr>
        <w:rPr>
          <w:b/>
          <w:bCs/>
          <w:rtl/>
        </w:rPr>
      </w:pPr>
      <w:r>
        <w:rPr>
          <w:rFonts w:hint="cs"/>
          <w:b/>
          <w:bCs/>
          <w:rtl/>
        </w:rPr>
        <w:t xml:space="preserve">זכות ערעור כחוק. </w:t>
      </w:r>
    </w:p>
    <w:p w14:paraId="1B2A3A78" w14:textId="77777777" w:rsidR="00442031" w:rsidRDefault="00456E59">
      <w:pPr>
        <w:rPr>
          <w:b/>
          <w:bCs/>
          <w:rtl/>
        </w:rPr>
      </w:pPr>
      <w:r>
        <w:rPr>
          <w:rFonts w:hint="cs"/>
          <w:b/>
          <w:bCs/>
          <w:rtl/>
        </w:rPr>
        <w:t xml:space="preserve">המוצגים, האמל"ח והסמים </w:t>
      </w:r>
      <w:r>
        <w:rPr>
          <w:b/>
          <w:bCs/>
          <w:rtl/>
        </w:rPr>
        <w:t>–</w:t>
      </w:r>
      <w:r>
        <w:rPr>
          <w:rFonts w:hint="cs"/>
          <w:b/>
          <w:bCs/>
          <w:rtl/>
        </w:rPr>
        <w:t xml:space="preserve"> יושמדו, יתר המוצגים בהתאם להחלטת קצין ממונה. </w:t>
      </w:r>
    </w:p>
    <w:p w14:paraId="3E11D91F" w14:textId="77777777" w:rsidR="00442031" w:rsidRDefault="00442031">
      <w:pPr>
        <w:rPr>
          <w:rtl/>
        </w:rPr>
      </w:pPr>
    </w:p>
    <w:p w14:paraId="4DC357B2" w14:textId="77777777" w:rsidR="00442031" w:rsidRPr="00456E59" w:rsidRDefault="00456E59">
      <w:pPr>
        <w:rPr>
          <w:color w:val="FFFFFF"/>
          <w:sz w:val="2"/>
          <w:szCs w:val="2"/>
          <w:rtl/>
        </w:rPr>
      </w:pPr>
      <w:r w:rsidRPr="00456E59">
        <w:rPr>
          <w:color w:val="FFFFFF"/>
          <w:sz w:val="2"/>
          <w:szCs w:val="2"/>
          <w:rtl/>
        </w:rPr>
        <w:t>5129371</w:t>
      </w:r>
    </w:p>
    <w:p w14:paraId="5A0834E9" w14:textId="77777777" w:rsidR="00442031" w:rsidRDefault="00456E59">
      <w:pPr>
        <w:rPr>
          <w:rFonts w:cs="FrankRuehl"/>
          <w:sz w:val="28"/>
          <w:szCs w:val="28"/>
          <w:rtl/>
        </w:rPr>
      </w:pPr>
      <w:r w:rsidRPr="00456E59">
        <w:rPr>
          <w:rFonts w:ascii="Arial" w:hAnsi="Arial"/>
          <w:color w:val="FFFFFF"/>
          <w:sz w:val="2"/>
          <w:szCs w:val="2"/>
          <w:rtl/>
        </w:rPr>
        <w:t>54678313</w:t>
      </w:r>
      <w:r>
        <w:rPr>
          <w:rFonts w:ascii="Arial" w:hAnsi="Arial"/>
          <w:rtl/>
        </w:rPr>
        <w:t xml:space="preserve">ניתן היום,  י"ט חשוון תשע"ו, 01 נובמבר 2015, בהעדר הצדדים. </w:t>
      </w:r>
    </w:p>
    <w:p w14:paraId="07E2A20B" w14:textId="77777777" w:rsidR="00442031" w:rsidRDefault="00456E5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C6F39D8" w14:textId="77777777" w:rsidR="00442031" w:rsidRDefault="00442031">
      <w:pPr>
        <w:jc w:val="center"/>
        <w:rPr>
          <w:rFonts w:ascii="Arial" w:hAnsi="Arial" w:cs="FrankRuehl"/>
          <w:sz w:val="28"/>
          <w:szCs w:val="28"/>
          <w:rtl/>
        </w:rPr>
      </w:pPr>
    </w:p>
    <w:p w14:paraId="720ACFA2" w14:textId="77777777" w:rsidR="00442031" w:rsidRDefault="00442031">
      <w:pPr>
        <w:rPr>
          <w:rFonts w:cs="FrankRuehl"/>
          <w:sz w:val="28"/>
          <w:szCs w:val="28"/>
          <w:rtl/>
        </w:rPr>
      </w:pPr>
    </w:p>
    <w:p w14:paraId="23CC7496" w14:textId="77777777" w:rsidR="00442031" w:rsidRDefault="00442031">
      <w:pPr>
        <w:pStyle w:val="a3"/>
        <w:jc w:val="center"/>
        <w:rPr>
          <w:rtl/>
        </w:rPr>
      </w:pPr>
    </w:p>
    <w:p w14:paraId="75A16658" w14:textId="77777777" w:rsidR="00456E59" w:rsidRPr="00456E59" w:rsidRDefault="00456E59" w:rsidP="00456E59">
      <w:pPr>
        <w:keepNext/>
        <w:rPr>
          <w:rFonts w:ascii="David" w:hAnsi="David"/>
          <w:color w:val="000000"/>
          <w:sz w:val="22"/>
          <w:szCs w:val="22"/>
          <w:rtl/>
        </w:rPr>
      </w:pPr>
    </w:p>
    <w:p w14:paraId="4BE04597" w14:textId="77777777" w:rsidR="00456E59" w:rsidRPr="00456E59" w:rsidRDefault="00456E59" w:rsidP="00456E59">
      <w:pPr>
        <w:keepNext/>
        <w:rPr>
          <w:rFonts w:ascii="David" w:hAnsi="David"/>
          <w:color w:val="000000"/>
          <w:sz w:val="22"/>
          <w:szCs w:val="22"/>
          <w:rtl/>
        </w:rPr>
      </w:pPr>
      <w:r w:rsidRPr="00456E59">
        <w:rPr>
          <w:rFonts w:ascii="David" w:hAnsi="David"/>
          <w:color w:val="000000"/>
          <w:sz w:val="22"/>
          <w:szCs w:val="22"/>
          <w:rtl/>
        </w:rPr>
        <w:t>ארז נוריאלי 54678313</w:t>
      </w:r>
    </w:p>
    <w:p w14:paraId="75DA8300" w14:textId="77777777" w:rsidR="00456E59" w:rsidRDefault="00456E59" w:rsidP="00456E59">
      <w:r w:rsidRPr="00456E59">
        <w:rPr>
          <w:color w:val="000000"/>
          <w:rtl/>
        </w:rPr>
        <w:t>נוסח מסמך זה כפוף לשינויי ניסוח ועריכה</w:t>
      </w:r>
    </w:p>
    <w:p w14:paraId="5AE08C56" w14:textId="77777777" w:rsidR="00456E59" w:rsidRDefault="00456E59" w:rsidP="00456E59">
      <w:pPr>
        <w:rPr>
          <w:rtl/>
        </w:rPr>
      </w:pPr>
    </w:p>
    <w:p w14:paraId="7374AA76" w14:textId="77777777" w:rsidR="00456E59" w:rsidRDefault="00456E59" w:rsidP="00456E59">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5DBC6E4C" w14:textId="77777777" w:rsidR="00442031" w:rsidRDefault="00442031" w:rsidP="00456E59">
      <w:pPr>
        <w:jc w:val="center"/>
        <w:rPr>
          <w:rFonts w:hint="cs"/>
          <w:color w:val="0000FF"/>
          <w:u w:val="single"/>
          <w:rtl/>
        </w:rPr>
      </w:pPr>
    </w:p>
    <w:p w14:paraId="20E03626" w14:textId="77777777" w:rsidR="00E0034F" w:rsidRPr="00456E59" w:rsidRDefault="00E0034F" w:rsidP="00456E59">
      <w:pPr>
        <w:jc w:val="center"/>
        <w:rPr>
          <w:color w:val="0000FF"/>
          <w:u w:val="single"/>
        </w:rPr>
      </w:pPr>
    </w:p>
    <w:sectPr w:rsidR="00E0034F" w:rsidRPr="00456E59" w:rsidSect="00456E59">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F840A" w14:textId="77777777" w:rsidR="0031304E" w:rsidRDefault="0031304E">
      <w:r>
        <w:separator/>
      </w:r>
    </w:p>
  </w:endnote>
  <w:endnote w:type="continuationSeparator" w:id="0">
    <w:p w14:paraId="037F7879" w14:textId="77777777" w:rsidR="0031304E" w:rsidRDefault="0031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6F11" w14:textId="77777777" w:rsidR="00305DC7" w:rsidRDefault="00305DC7" w:rsidP="00456E5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7D6C24E" w14:textId="77777777" w:rsidR="00305DC7" w:rsidRPr="00456E59" w:rsidRDefault="00305DC7" w:rsidP="00456E59">
    <w:pPr>
      <w:pStyle w:val="a4"/>
      <w:pBdr>
        <w:top w:val="single" w:sz="4" w:space="1" w:color="auto"/>
        <w:between w:val="single" w:sz="4" w:space="0" w:color="auto"/>
      </w:pBdr>
      <w:spacing w:after="60"/>
      <w:jc w:val="center"/>
      <w:rPr>
        <w:rFonts w:ascii="FrankRuehl" w:hAnsi="FrankRuehl" w:cs="FrankRuehl"/>
        <w:color w:val="000000"/>
      </w:rPr>
    </w:pPr>
    <w:r w:rsidRPr="00456E5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0F75" w14:textId="77777777" w:rsidR="00305DC7" w:rsidRDefault="00305DC7" w:rsidP="00456E5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26E1">
      <w:rPr>
        <w:rFonts w:ascii="FrankRuehl" w:hAnsi="FrankRuehl" w:cs="FrankRuehl"/>
        <w:noProof/>
        <w:rtl/>
      </w:rPr>
      <w:t>1</w:t>
    </w:r>
    <w:r>
      <w:rPr>
        <w:rFonts w:ascii="FrankRuehl" w:hAnsi="FrankRuehl" w:cs="FrankRuehl"/>
        <w:rtl/>
      </w:rPr>
      <w:fldChar w:fldCharType="end"/>
    </w:r>
  </w:p>
  <w:p w14:paraId="452CD1D2" w14:textId="77777777" w:rsidR="00305DC7" w:rsidRPr="00456E59" w:rsidRDefault="00305DC7" w:rsidP="00456E59">
    <w:pPr>
      <w:pStyle w:val="a4"/>
      <w:pBdr>
        <w:top w:val="single" w:sz="4" w:space="1" w:color="auto"/>
        <w:between w:val="single" w:sz="4" w:space="0" w:color="auto"/>
      </w:pBdr>
      <w:spacing w:after="60"/>
      <w:jc w:val="center"/>
      <w:rPr>
        <w:rFonts w:ascii="FrankRuehl" w:hAnsi="FrankRuehl" w:cs="FrankRuehl"/>
        <w:color w:val="000000"/>
      </w:rPr>
    </w:pPr>
    <w:r w:rsidRPr="00456E59">
      <w:rPr>
        <w:rFonts w:ascii="FrankRuehl" w:hAnsi="FrankRuehl" w:cs="FrankRuehl"/>
        <w:color w:val="000000"/>
      </w:rPr>
      <w:pict w14:anchorId="133F6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CBD3B" w14:textId="77777777" w:rsidR="0031304E" w:rsidRDefault="0031304E">
      <w:r>
        <w:separator/>
      </w:r>
    </w:p>
  </w:footnote>
  <w:footnote w:type="continuationSeparator" w:id="0">
    <w:p w14:paraId="0A8FDDDF" w14:textId="77777777" w:rsidR="0031304E" w:rsidRDefault="00313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1F218" w14:textId="77777777" w:rsidR="00305DC7" w:rsidRPr="00456E59" w:rsidRDefault="00305DC7" w:rsidP="00456E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47022-05-14</w:t>
    </w:r>
    <w:r>
      <w:rPr>
        <w:rFonts w:ascii="David" w:hAnsi="David"/>
        <w:color w:val="000000"/>
        <w:sz w:val="22"/>
        <w:szCs w:val="22"/>
        <w:rtl/>
      </w:rPr>
      <w:tab/>
      <w:t xml:space="preserve"> מדינת ישראל נ' אייל יונגר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D4104" w14:textId="77777777" w:rsidR="00305DC7" w:rsidRPr="00456E59" w:rsidRDefault="00305DC7" w:rsidP="00456E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47022-05-14</w:t>
    </w:r>
    <w:r>
      <w:rPr>
        <w:rFonts w:ascii="David" w:hAnsi="David"/>
        <w:color w:val="000000"/>
        <w:sz w:val="22"/>
        <w:szCs w:val="22"/>
        <w:rtl/>
      </w:rPr>
      <w:tab/>
      <w:t xml:space="preserve"> מדינת ישראל נ' אייל יונגר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A23CC"/>
    <w:multiLevelType w:val="hybridMultilevel"/>
    <w:tmpl w:val="BAD04892"/>
    <w:lvl w:ilvl="0" w:tplc="9918D4C0">
      <w:start w:val="1"/>
      <w:numFmt w:val="hebrew1"/>
      <w:lvlText w:val="%1."/>
      <w:lvlJc w:val="left"/>
      <w:pPr>
        <w:ind w:left="1440" w:hanging="360"/>
      </w:pPr>
      <w:rPr>
        <w:rFonts w:cs="Times New Roman" w:hint="default"/>
        <w:b w:val="0"/>
        <w:bCs w:val="0"/>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45591A55"/>
    <w:multiLevelType w:val="hybridMultilevel"/>
    <w:tmpl w:val="B550762A"/>
    <w:lvl w:ilvl="0" w:tplc="AF68BEC6">
      <w:start w:val="1"/>
      <w:numFmt w:val="decimal"/>
      <w:lvlText w:val="%1."/>
      <w:lvlJc w:val="left"/>
      <w:pPr>
        <w:ind w:left="1080" w:hanging="720"/>
      </w:pPr>
      <w:rPr>
        <w:rFonts w:cs="Times New Roman" w:hint="default"/>
        <w:b w:val="0"/>
        <w:bCs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0217787"/>
    <w:multiLevelType w:val="hybridMultilevel"/>
    <w:tmpl w:val="8CB8F02E"/>
    <w:lvl w:ilvl="0" w:tplc="B2E0D61E">
      <w:start w:val="1"/>
      <w:numFmt w:val="hebrew1"/>
      <w:lvlText w:val="%1."/>
      <w:lvlJc w:val="left"/>
      <w:pPr>
        <w:ind w:left="1080" w:hanging="360"/>
      </w:pPr>
      <w:rPr>
        <w:rFonts w:cs="Times New Roman" w:hint="default"/>
        <w:b w:val="0"/>
        <w:bCs w:val="0"/>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904026299">
    <w:abstractNumId w:val="1"/>
  </w:num>
  <w:num w:numId="2" w16cid:durableId="922494143">
    <w:abstractNumId w:val="0"/>
  </w:num>
  <w:num w:numId="3" w16cid:durableId="2064017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2031"/>
    <w:rsid w:val="001B26E1"/>
    <w:rsid w:val="00305DC7"/>
    <w:rsid w:val="0031304E"/>
    <w:rsid w:val="00442031"/>
    <w:rsid w:val="00456E59"/>
    <w:rsid w:val="00556452"/>
    <w:rsid w:val="00691362"/>
    <w:rsid w:val="00693A3B"/>
    <w:rsid w:val="00706ACC"/>
    <w:rsid w:val="009905DB"/>
    <w:rsid w:val="009D6D2B"/>
    <w:rsid w:val="00E003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93CEDE"/>
  <w15:chartTrackingRefBased/>
  <w15:docId w15:val="{114851F2-7D8D-4C72-B5D9-1918DA5E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203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42031"/>
    <w:pPr>
      <w:tabs>
        <w:tab w:val="center" w:pos="4153"/>
        <w:tab w:val="right" w:pos="8306"/>
      </w:tabs>
    </w:pPr>
  </w:style>
  <w:style w:type="paragraph" w:styleId="a4">
    <w:name w:val="footer"/>
    <w:basedOn w:val="a"/>
    <w:rsid w:val="00442031"/>
    <w:pPr>
      <w:tabs>
        <w:tab w:val="center" w:pos="4153"/>
        <w:tab w:val="right" w:pos="8306"/>
      </w:tabs>
    </w:pPr>
  </w:style>
  <w:style w:type="character" w:styleId="a5">
    <w:name w:val="page number"/>
    <w:basedOn w:val="a0"/>
    <w:rsid w:val="00442031"/>
  </w:style>
  <w:style w:type="character" w:styleId="Hyperlink">
    <w:name w:val="Hyperlink"/>
    <w:rsid w:val="00456E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6862688" TargetMode="External"/><Relationship Id="rId39" Type="http://schemas.openxmlformats.org/officeDocument/2006/relationships/hyperlink" Target="http://www.nevo.co.il/case/5991408"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6862688" TargetMode="External"/><Relationship Id="rId42" Type="http://schemas.openxmlformats.org/officeDocument/2006/relationships/hyperlink" Target="http://www.nevo.co.il/case/18785069"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5798073"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2503741" TargetMode="External"/><Relationship Id="rId32" Type="http://schemas.openxmlformats.org/officeDocument/2006/relationships/hyperlink" Target="http://www.nevo.co.il/case/5762686" TargetMode="External"/><Relationship Id="rId37" Type="http://schemas.openxmlformats.org/officeDocument/2006/relationships/hyperlink" Target="http://www.nevo.co.il/law/70301/40jc" TargetMode="External"/><Relationship Id="rId40" Type="http://schemas.openxmlformats.org/officeDocument/2006/relationships/hyperlink" Target="http://www.nevo.co.il/case/5852404"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18762911" TargetMode="External"/><Relationship Id="rId28" Type="http://schemas.openxmlformats.org/officeDocument/2006/relationships/hyperlink" Target="http://www.nevo.co.il/case/18762911" TargetMode="External"/><Relationship Id="rId36" Type="http://schemas.openxmlformats.org/officeDocument/2006/relationships/hyperlink" Target="http://www.nevo.co.il/law/70301" TargetMode="External"/><Relationship Id="rId49"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4216/7a;7c"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40b" TargetMode="External"/><Relationship Id="rId30" Type="http://schemas.openxmlformats.org/officeDocument/2006/relationships/hyperlink" Target="http://www.nevo.co.il/case/2515434" TargetMode="External"/><Relationship Id="rId35" Type="http://schemas.openxmlformats.org/officeDocument/2006/relationships/hyperlink" Target="http://www.nevo.co.il/law/70301/40c" TargetMode="External"/><Relationship Id="rId43" Type="http://schemas.openxmlformats.org/officeDocument/2006/relationships/hyperlink" Target="http://www.nevo.co.il/case/5088892" TargetMode="External"/><Relationship Id="rId48"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678001" TargetMode="External"/><Relationship Id="rId33" Type="http://schemas.openxmlformats.org/officeDocument/2006/relationships/hyperlink" Target="http://www.nevo.co.il/case/17929065" TargetMode="External"/><Relationship Id="rId38" Type="http://schemas.openxmlformats.org/officeDocument/2006/relationships/hyperlink" Target="http://www.nevo.co.il/law/70301/40ja"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508889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2268</Words>
  <Characters>11343</Characters>
  <Application>Microsoft Office Word</Application>
  <DocSecurity>0</DocSecurity>
  <Lines>94</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13584</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1114140</vt:i4>
      </vt:variant>
      <vt:variant>
        <vt:i4>111</vt:i4>
      </vt:variant>
      <vt:variant>
        <vt:i4>0</vt:i4>
      </vt:variant>
      <vt:variant>
        <vt:i4>5</vt:i4>
      </vt:variant>
      <vt:variant>
        <vt:lpwstr>http://www.nevo.co.il/law/4216/7a;7c</vt:lpwstr>
      </vt:variant>
      <vt:variant>
        <vt:lpwstr/>
      </vt:variant>
      <vt:variant>
        <vt:i4>3604597</vt:i4>
      </vt:variant>
      <vt:variant>
        <vt:i4>108</vt:i4>
      </vt:variant>
      <vt:variant>
        <vt:i4>0</vt:i4>
      </vt:variant>
      <vt:variant>
        <vt:i4>5</vt:i4>
      </vt:variant>
      <vt:variant>
        <vt:lpwstr>http://www.nevo.co.il/case/5088892</vt:lpwstr>
      </vt:variant>
      <vt:variant>
        <vt:lpwstr/>
      </vt:variant>
      <vt:variant>
        <vt:i4>3473524</vt:i4>
      </vt:variant>
      <vt:variant>
        <vt:i4>105</vt:i4>
      </vt:variant>
      <vt:variant>
        <vt:i4>0</vt:i4>
      </vt:variant>
      <vt:variant>
        <vt:i4>5</vt:i4>
      </vt:variant>
      <vt:variant>
        <vt:lpwstr>http://www.nevo.co.il/case/18785069</vt:lpwstr>
      </vt:variant>
      <vt:variant>
        <vt:lpwstr/>
      </vt:variant>
      <vt:variant>
        <vt:i4>3604597</vt:i4>
      </vt:variant>
      <vt:variant>
        <vt:i4>102</vt:i4>
      </vt:variant>
      <vt:variant>
        <vt:i4>0</vt:i4>
      </vt:variant>
      <vt:variant>
        <vt:i4>5</vt:i4>
      </vt:variant>
      <vt:variant>
        <vt:lpwstr>http://www.nevo.co.il/case/5088892</vt:lpwstr>
      </vt:variant>
      <vt:variant>
        <vt:lpwstr/>
      </vt:variant>
      <vt:variant>
        <vt:i4>3145854</vt:i4>
      </vt:variant>
      <vt:variant>
        <vt:i4>99</vt:i4>
      </vt:variant>
      <vt:variant>
        <vt:i4>0</vt:i4>
      </vt:variant>
      <vt:variant>
        <vt:i4>5</vt:i4>
      </vt:variant>
      <vt:variant>
        <vt:lpwstr>http://www.nevo.co.il/case/5852404</vt:lpwstr>
      </vt:variant>
      <vt:variant>
        <vt:lpwstr/>
      </vt:variant>
      <vt:variant>
        <vt:i4>3145852</vt:i4>
      </vt:variant>
      <vt:variant>
        <vt:i4>96</vt:i4>
      </vt:variant>
      <vt:variant>
        <vt:i4>0</vt:i4>
      </vt:variant>
      <vt:variant>
        <vt:i4>5</vt:i4>
      </vt:variant>
      <vt:variant>
        <vt:lpwstr>http://www.nevo.co.il/case/5991408</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393227</vt:i4>
      </vt:variant>
      <vt:variant>
        <vt:i4>90</vt:i4>
      </vt:variant>
      <vt:variant>
        <vt:i4>0</vt:i4>
      </vt:variant>
      <vt:variant>
        <vt:i4>5</vt:i4>
      </vt:variant>
      <vt:variant>
        <vt:lpwstr>http://www.nevo.co.il/law/70301/40jc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4063350</vt:i4>
      </vt:variant>
      <vt:variant>
        <vt:i4>81</vt:i4>
      </vt:variant>
      <vt:variant>
        <vt:i4>0</vt:i4>
      </vt:variant>
      <vt:variant>
        <vt:i4>5</vt:i4>
      </vt:variant>
      <vt:variant>
        <vt:lpwstr>http://www.nevo.co.il/case/6862688</vt:lpwstr>
      </vt:variant>
      <vt:variant>
        <vt:lpwstr/>
      </vt:variant>
      <vt:variant>
        <vt:i4>3604593</vt:i4>
      </vt:variant>
      <vt:variant>
        <vt:i4>78</vt:i4>
      </vt:variant>
      <vt:variant>
        <vt:i4>0</vt:i4>
      </vt:variant>
      <vt:variant>
        <vt:i4>5</vt:i4>
      </vt:variant>
      <vt:variant>
        <vt:lpwstr>http://www.nevo.co.il/case/17929065</vt:lpwstr>
      </vt:variant>
      <vt:variant>
        <vt:lpwstr/>
      </vt:variant>
      <vt:variant>
        <vt:i4>3342457</vt:i4>
      </vt:variant>
      <vt:variant>
        <vt:i4>75</vt:i4>
      </vt:variant>
      <vt:variant>
        <vt:i4>0</vt:i4>
      </vt:variant>
      <vt:variant>
        <vt:i4>5</vt:i4>
      </vt:variant>
      <vt:variant>
        <vt:lpwstr>http://www.nevo.co.il/case/5762686</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3342455</vt:i4>
      </vt:variant>
      <vt:variant>
        <vt:i4>69</vt:i4>
      </vt:variant>
      <vt:variant>
        <vt:i4>0</vt:i4>
      </vt:variant>
      <vt:variant>
        <vt:i4>5</vt:i4>
      </vt:variant>
      <vt:variant>
        <vt:lpwstr>http://www.nevo.co.il/case/2515434</vt:lpwstr>
      </vt:variant>
      <vt:variant>
        <vt:lpwstr/>
      </vt:variant>
      <vt:variant>
        <vt:i4>4128892</vt:i4>
      </vt:variant>
      <vt:variant>
        <vt:i4>66</vt:i4>
      </vt:variant>
      <vt:variant>
        <vt:i4>0</vt:i4>
      </vt:variant>
      <vt:variant>
        <vt:i4>5</vt:i4>
      </vt:variant>
      <vt:variant>
        <vt:lpwstr>http://www.nevo.co.il/case/5798073</vt:lpwstr>
      </vt:variant>
      <vt:variant>
        <vt:lpwstr/>
      </vt:variant>
      <vt:variant>
        <vt:i4>3473523</vt:i4>
      </vt:variant>
      <vt:variant>
        <vt:i4>63</vt:i4>
      </vt:variant>
      <vt:variant>
        <vt:i4>0</vt:i4>
      </vt:variant>
      <vt:variant>
        <vt:i4>5</vt:i4>
      </vt:variant>
      <vt:variant>
        <vt:lpwstr>http://www.nevo.co.il/case/18762911</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4063350</vt:i4>
      </vt:variant>
      <vt:variant>
        <vt:i4>57</vt:i4>
      </vt:variant>
      <vt:variant>
        <vt:i4>0</vt:i4>
      </vt:variant>
      <vt:variant>
        <vt:i4>5</vt:i4>
      </vt:variant>
      <vt:variant>
        <vt:lpwstr>http://www.nevo.co.il/case/6862688</vt:lpwstr>
      </vt:variant>
      <vt:variant>
        <vt:lpwstr/>
      </vt:variant>
      <vt:variant>
        <vt:i4>3342458</vt:i4>
      </vt:variant>
      <vt:variant>
        <vt:i4>54</vt:i4>
      </vt:variant>
      <vt:variant>
        <vt:i4>0</vt:i4>
      </vt:variant>
      <vt:variant>
        <vt:i4>5</vt:i4>
      </vt:variant>
      <vt:variant>
        <vt:lpwstr>http://www.nevo.co.il/case/5678001</vt:lpwstr>
      </vt:variant>
      <vt:variant>
        <vt:lpwstr/>
      </vt:variant>
      <vt:variant>
        <vt:i4>3407990</vt:i4>
      </vt:variant>
      <vt:variant>
        <vt:i4>51</vt:i4>
      </vt:variant>
      <vt:variant>
        <vt:i4>0</vt:i4>
      </vt:variant>
      <vt:variant>
        <vt:i4>5</vt:i4>
      </vt:variant>
      <vt:variant>
        <vt:lpwstr>http://www.nevo.co.il/case/2503741</vt:lpwstr>
      </vt:variant>
      <vt:variant>
        <vt:lpwstr/>
      </vt:variant>
      <vt:variant>
        <vt:i4>3473523</vt:i4>
      </vt:variant>
      <vt:variant>
        <vt:i4>48</vt:i4>
      </vt:variant>
      <vt:variant>
        <vt:i4>0</vt:i4>
      </vt:variant>
      <vt:variant>
        <vt:i4>5</vt:i4>
      </vt:variant>
      <vt:variant>
        <vt:lpwstr>http://www.nevo.co.il/case/18762911</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4784202</vt:i4>
      </vt:variant>
      <vt:variant>
        <vt:i4>30</vt:i4>
      </vt:variant>
      <vt:variant>
        <vt:i4>0</vt:i4>
      </vt:variant>
      <vt:variant>
        <vt:i4>5</vt:i4>
      </vt:variant>
      <vt:variant>
        <vt:lpwstr>http://www.nevo.co.il/law/4216/7c</vt:lpwstr>
      </vt:variant>
      <vt:variant>
        <vt:lpwstr/>
      </vt:variant>
      <vt:variant>
        <vt:i4>4784202</vt:i4>
      </vt:variant>
      <vt:variant>
        <vt:i4>27</vt:i4>
      </vt:variant>
      <vt:variant>
        <vt:i4>0</vt:i4>
      </vt:variant>
      <vt:variant>
        <vt:i4>5</vt:i4>
      </vt:variant>
      <vt:variant>
        <vt:lpwstr>http://www.nevo.co.il/law/4216/7a</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2025-02-24T13:29:00Z</dcterms:created>
  <dcterms:modified xsi:type="dcterms:W3CDTF">2025-02-24T13:29:00Z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47022</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אייל יונגר</vt:lpwstr>
  </property>
  <property fmtid="{D5CDD505-2E9C-101B-9397-08002B2CF9AE}" pid="10" name="LAWYER">
    <vt:lpwstr>ידי;גבי פאר;ניל סימון</vt:lpwstr>
  </property>
  <property fmtid="{D5CDD505-2E9C-101B-9397-08002B2CF9AE}" pid="11" name="JUDGE">
    <vt:lpwstr>ארז נוריאלי</vt:lpwstr>
  </property>
  <property fmtid="{D5CDD505-2E9C-101B-9397-08002B2CF9AE}" pid="12" name="CITY">
    <vt:lpwstr>פ"ת</vt:lpwstr>
  </property>
  <property fmtid="{D5CDD505-2E9C-101B-9397-08002B2CF9AE}" pid="13" name="DATE">
    <vt:lpwstr>20151101</vt:lpwstr>
  </property>
  <property fmtid="{D5CDD505-2E9C-101B-9397-08002B2CF9AE}" pid="14" name="TYPE_N_DATE">
    <vt:lpwstr>38020151101</vt:lpwstr>
  </property>
  <property fmtid="{D5CDD505-2E9C-101B-9397-08002B2CF9AE}" pid="15" name="WORDNUMPAGES">
    <vt:lpwstr>10</vt:lpwstr>
  </property>
  <property fmtid="{D5CDD505-2E9C-101B-9397-08002B2CF9AE}" pid="16" name="TYPE_ABS_DATE">
    <vt:lpwstr>380020151101</vt:lpwstr>
  </property>
  <property fmtid="{D5CDD505-2E9C-101B-9397-08002B2CF9AE}" pid="17" name="ISABSTRACT">
    <vt:lpwstr>Y</vt:lpwstr>
  </property>
  <property fmtid="{D5CDD505-2E9C-101B-9397-08002B2CF9AE}" pid="18" name="CASESLISTTMP1">
    <vt:lpwstr>18762911:2;2503741;5678001;6862688:2;5798073;2515434;5762686;17929065;5991408;5852404;5088892:2;18785069</vt:lpwstr>
  </property>
  <property fmtid="{D5CDD505-2E9C-101B-9397-08002B2CF9AE}" pid="19" name="LAWLISTTMP1">
    <vt:lpwstr>70301/144.a:2;040b;040c;40jc;40ja</vt:lpwstr>
  </property>
  <property fmtid="{D5CDD505-2E9C-101B-9397-08002B2CF9AE}" pid="20" name="LAWLISTTMP2">
    <vt:lpwstr>4216/007.a;007.c;007a;007c</vt:lpwstr>
  </property>
</Properties>
</file>