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6"/>
        <w:gridCol w:w="3675"/>
      </w:tblGrid>
      <w:tr w:rsidR="00DD4788" w:rsidRPr="00DB1D1F" w14:paraId="0ED39557" w14:textId="77777777">
        <w:trPr>
          <w:trHeight w:hRule="exact" w:val="418"/>
          <w:jc w:val="center"/>
        </w:trPr>
        <w:tc>
          <w:tcPr>
            <w:tcW w:w="8721" w:type="dxa"/>
            <w:gridSpan w:val="2"/>
          </w:tcPr>
          <w:p w14:paraId="1C4499F9" w14:textId="77777777" w:rsidR="00DD4788" w:rsidRPr="00DB1D1F" w:rsidRDefault="00DB1D1F">
            <w:pPr>
              <w:pStyle w:val="a3"/>
              <w:jc w:val="center"/>
              <w:rPr>
                <w:rFonts w:ascii="Tahoma" w:hAnsi="Tahoma" w:cs="Tahoma"/>
                <w:color w:val="000080"/>
                <w:rtl/>
              </w:rPr>
            </w:pPr>
            <w:bookmarkStart w:id="0" w:name="LastJudge"/>
            <w:r w:rsidRPr="00DB1D1F">
              <w:rPr>
                <w:rFonts w:ascii="Tahoma" w:hAnsi="Tahoma" w:cs="Tahoma"/>
                <w:b/>
                <w:bCs/>
                <w:color w:val="000080"/>
                <w:rtl/>
              </w:rPr>
              <w:t>בית משפט השלום בכפר סבא</w:t>
            </w:r>
          </w:p>
        </w:tc>
      </w:tr>
      <w:tr w:rsidR="00DD4788" w:rsidRPr="00DB1D1F" w14:paraId="1CD3F11C" w14:textId="77777777">
        <w:trPr>
          <w:trHeight w:val="337"/>
          <w:jc w:val="center"/>
        </w:trPr>
        <w:tc>
          <w:tcPr>
            <w:tcW w:w="5046" w:type="dxa"/>
          </w:tcPr>
          <w:p w14:paraId="6614E0B4" w14:textId="77777777" w:rsidR="00DD4788" w:rsidRPr="00DB1D1F" w:rsidRDefault="00DB1D1F">
            <w:pPr>
              <w:rPr>
                <w:rFonts w:cs="FrankRuehl"/>
                <w:sz w:val="28"/>
                <w:szCs w:val="28"/>
                <w:rtl/>
              </w:rPr>
            </w:pPr>
            <w:r w:rsidRPr="00DB1D1F">
              <w:rPr>
                <w:rFonts w:cs="FrankRuehl"/>
                <w:sz w:val="28"/>
                <w:szCs w:val="28"/>
                <w:rtl/>
              </w:rPr>
              <w:t>ת"פ</w:t>
            </w:r>
            <w:r w:rsidRPr="00DB1D1F">
              <w:rPr>
                <w:rFonts w:cs="FrankRuehl" w:hint="cs"/>
                <w:sz w:val="28"/>
                <w:szCs w:val="28"/>
                <w:rtl/>
              </w:rPr>
              <w:t xml:space="preserve"> </w:t>
            </w:r>
            <w:r w:rsidRPr="00DB1D1F">
              <w:rPr>
                <w:rFonts w:cs="FrankRuehl"/>
                <w:sz w:val="28"/>
                <w:szCs w:val="28"/>
                <w:rtl/>
              </w:rPr>
              <w:t>41873-07-14</w:t>
            </w:r>
            <w:r w:rsidRPr="00DB1D1F">
              <w:rPr>
                <w:rFonts w:cs="FrankRuehl" w:hint="cs"/>
                <w:sz w:val="28"/>
                <w:szCs w:val="28"/>
                <w:rtl/>
              </w:rPr>
              <w:t xml:space="preserve"> </w:t>
            </w:r>
            <w:r w:rsidRPr="00DB1D1F">
              <w:rPr>
                <w:rFonts w:cs="FrankRuehl"/>
                <w:sz w:val="28"/>
                <w:szCs w:val="28"/>
                <w:rtl/>
              </w:rPr>
              <w:t>מדינת ישראל נ' עבד אל רחים ואח'</w:t>
            </w:r>
          </w:p>
          <w:p w14:paraId="49FD38C6" w14:textId="77777777" w:rsidR="00DD4788" w:rsidRPr="00DB1D1F" w:rsidRDefault="00DD4788">
            <w:pPr>
              <w:pStyle w:val="a3"/>
              <w:rPr>
                <w:rFonts w:cs="FrankRuehl"/>
                <w:sz w:val="28"/>
                <w:szCs w:val="28"/>
                <w:rtl/>
              </w:rPr>
            </w:pPr>
          </w:p>
        </w:tc>
        <w:tc>
          <w:tcPr>
            <w:tcW w:w="3675" w:type="dxa"/>
          </w:tcPr>
          <w:p w14:paraId="1277E68A" w14:textId="77777777" w:rsidR="00DD4788" w:rsidRPr="00DB1D1F" w:rsidRDefault="00DB1D1F">
            <w:pPr>
              <w:pStyle w:val="a3"/>
              <w:jc w:val="right"/>
              <w:rPr>
                <w:rFonts w:cs="FrankRuehl"/>
                <w:sz w:val="28"/>
                <w:szCs w:val="28"/>
                <w:rtl/>
              </w:rPr>
            </w:pPr>
            <w:r w:rsidRPr="00DB1D1F">
              <w:rPr>
                <w:rFonts w:cs="FrankRuehl" w:hint="cs"/>
                <w:sz w:val="28"/>
                <w:szCs w:val="28"/>
                <w:rtl/>
              </w:rPr>
              <w:t>28 אוקטובר 2015</w:t>
            </w:r>
          </w:p>
        </w:tc>
      </w:tr>
    </w:tbl>
    <w:p w14:paraId="09D582C3" w14:textId="77777777" w:rsidR="00DD4788" w:rsidRPr="00DB1D1F" w:rsidRDefault="00DB1D1F">
      <w:pPr>
        <w:pStyle w:val="a3"/>
        <w:rPr>
          <w:rtl/>
        </w:rPr>
      </w:pPr>
      <w:r w:rsidRPr="00DB1D1F">
        <w:rPr>
          <w:rFonts w:hint="cs"/>
          <w:rtl/>
        </w:rPr>
        <w:t xml:space="preserve"> </w:t>
      </w:r>
    </w:p>
    <w:p w14:paraId="5F06202B" w14:textId="77777777" w:rsidR="00DD4788" w:rsidRPr="00DB1D1F" w:rsidRDefault="00DB1D1F">
      <w:pPr>
        <w:pStyle w:val="a3"/>
      </w:pPr>
      <w:r w:rsidRPr="00DB1D1F">
        <w:rPr>
          <w:rFonts w:cs="Times New Roman" w:hint="cs"/>
          <w:b/>
          <w:bCs/>
          <w:sz w:val="26"/>
          <w:szCs w:val="28"/>
          <w:rtl/>
        </w:rPr>
        <w:t xml:space="preserve"> </w:t>
      </w:r>
    </w:p>
    <w:p w14:paraId="090D0DB5" w14:textId="77777777" w:rsidR="00DD4788" w:rsidRPr="00DB1D1F" w:rsidRDefault="00DD47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D4788" w:rsidRPr="00DB1D1F" w14:paraId="457D7BAA" w14:textId="77777777">
        <w:trPr>
          <w:trHeight w:val="295"/>
          <w:jc w:val="center"/>
        </w:trPr>
        <w:tc>
          <w:tcPr>
            <w:tcW w:w="923" w:type="dxa"/>
            <w:tcBorders>
              <w:top w:val="nil"/>
              <w:left w:val="nil"/>
              <w:bottom w:val="nil"/>
              <w:right w:val="nil"/>
            </w:tcBorders>
            <w:shd w:val="clear" w:color="auto" w:fill="auto"/>
          </w:tcPr>
          <w:p w14:paraId="54D38470" w14:textId="77777777" w:rsidR="00DD4788" w:rsidRPr="00DB1D1F" w:rsidRDefault="00DB1D1F">
            <w:pPr>
              <w:jc w:val="both"/>
              <w:rPr>
                <w:rFonts w:ascii="Arial" w:hAnsi="Arial"/>
                <w:sz w:val="26"/>
                <w:szCs w:val="26"/>
              </w:rPr>
            </w:pPr>
            <w:r w:rsidRPr="00DB1D1F">
              <w:rPr>
                <w:rFonts w:ascii="Arial" w:hAnsi="Arial" w:hint="cs"/>
                <w:sz w:val="26"/>
                <w:szCs w:val="26"/>
                <w:rtl/>
              </w:rPr>
              <w:t>ל</w:t>
            </w:r>
            <w:r w:rsidRPr="00DB1D1F">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518C928E" w14:textId="77777777" w:rsidR="00DD4788" w:rsidRPr="00DB1D1F" w:rsidRDefault="00DB1D1F">
            <w:pPr>
              <w:rPr>
                <w:rFonts w:ascii="Arial" w:hAnsi="Arial"/>
                <w:b/>
                <w:bCs/>
                <w:sz w:val="26"/>
                <w:szCs w:val="26"/>
                <w:rtl/>
              </w:rPr>
            </w:pPr>
            <w:r w:rsidRPr="00DB1D1F">
              <w:rPr>
                <w:rFonts w:ascii="Arial" w:hAnsi="Arial" w:hint="cs"/>
                <w:b/>
                <w:bCs/>
                <w:sz w:val="26"/>
                <w:szCs w:val="26"/>
                <w:rtl/>
              </w:rPr>
              <w:t>כב' ה</w:t>
            </w:r>
            <w:r w:rsidRPr="00DB1D1F">
              <w:rPr>
                <w:rFonts w:hint="cs"/>
                <w:rtl/>
              </w:rPr>
              <w:t>שופט</w:t>
            </w:r>
            <w:r w:rsidRPr="00DB1D1F">
              <w:rPr>
                <w:rFonts w:ascii="Arial" w:hAnsi="Arial" w:hint="cs"/>
                <w:b/>
                <w:bCs/>
                <w:sz w:val="26"/>
                <w:szCs w:val="26"/>
                <w:rtl/>
              </w:rPr>
              <w:t xml:space="preserve">  </w:t>
            </w:r>
            <w:r w:rsidRPr="00DB1D1F">
              <w:rPr>
                <w:rFonts w:hint="cs"/>
                <w:rtl/>
              </w:rPr>
              <w:t>מיכאל קרשן</w:t>
            </w:r>
          </w:p>
          <w:p w14:paraId="18DF3192" w14:textId="77777777" w:rsidR="00DD4788" w:rsidRPr="00DB1D1F" w:rsidRDefault="00DD4788">
            <w:pPr>
              <w:jc w:val="both"/>
              <w:rPr>
                <w:rFonts w:ascii="Arial" w:hAnsi="Arial"/>
                <w:sz w:val="26"/>
                <w:szCs w:val="26"/>
              </w:rPr>
            </w:pPr>
          </w:p>
        </w:tc>
      </w:tr>
      <w:tr w:rsidR="00DD4788" w:rsidRPr="00DB1D1F" w14:paraId="168245C6" w14:textId="77777777">
        <w:trPr>
          <w:trHeight w:val="355"/>
          <w:jc w:val="center"/>
        </w:trPr>
        <w:tc>
          <w:tcPr>
            <w:tcW w:w="923" w:type="dxa"/>
            <w:tcBorders>
              <w:top w:val="nil"/>
              <w:left w:val="nil"/>
              <w:bottom w:val="nil"/>
              <w:right w:val="nil"/>
            </w:tcBorders>
            <w:shd w:val="clear" w:color="auto" w:fill="auto"/>
          </w:tcPr>
          <w:p w14:paraId="79FE097D" w14:textId="77777777" w:rsidR="00DD4788" w:rsidRPr="00DB1D1F" w:rsidRDefault="00DD4788">
            <w:pPr>
              <w:jc w:val="both"/>
              <w:rPr>
                <w:rFonts w:ascii="Arial" w:hAnsi="Arial"/>
                <w:sz w:val="26"/>
                <w:szCs w:val="26"/>
                <w:rtl/>
              </w:rPr>
            </w:pPr>
            <w:bookmarkStart w:id="1" w:name="FirstAppellant"/>
          </w:p>
          <w:p w14:paraId="21BEED5C" w14:textId="77777777" w:rsidR="00DD4788" w:rsidRPr="00DB1D1F" w:rsidRDefault="00DB1D1F">
            <w:pPr>
              <w:jc w:val="both"/>
              <w:rPr>
                <w:rFonts w:ascii="Arial" w:hAnsi="Arial"/>
                <w:sz w:val="26"/>
                <w:szCs w:val="26"/>
              </w:rPr>
            </w:pPr>
            <w:r w:rsidRPr="00DB1D1F">
              <w:rPr>
                <w:rFonts w:ascii="Arial" w:hAnsi="Arial" w:hint="cs"/>
                <w:sz w:val="26"/>
                <w:szCs w:val="26"/>
                <w:rtl/>
              </w:rPr>
              <w:t>בעניין:</w:t>
            </w:r>
          </w:p>
        </w:tc>
        <w:tc>
          <w:tcPr>
            <w:tcW w:w="4126" w:type="dxa"/>
            <w:tcBorders>
              <w:top w:val="nil"/>
              <w:left w:val="nil"/>
              <w:bottom w:val="nil"/>
              <w:right w:val="nil"/>
            </w:tcBorders>
            <w:shd w:val="clear" w:color="auto" w:fill="auto"/>
          </w:tcPr>
          <w:p w14:paraId="34A49A18" w14:textId="77777777" w:rsidR="00DD4788" w:rsidRPr="00DB1D1F" w:rsidRDefault="00DD4788">
            <w:pPr>
              <w:jc w:val="both"/>
              <w:rPr>
                <w:rFonts w:ascii="Arial" w:hAnsi="Arial"/>
                <w:sz w:val="26"/>
                <w:szCs w:val="26"/>
                <w:rtl/>
              </w:rPr>
            </w:pPr>
          </w:p>
          <w:p w14:paraId="29B862FC" w14:textId="77777777" w:rsidR="00DD4788" w:rsidRPr="00DB1D1F" w:rsidRDefault="00DB1D1F">
            <w:pPr>
              <w:rPr>
                <w:rFonts w:ascii="Arial" w:hAnsi="Arial"/>
                <w:sz w:val="26"/>
                <w:szCs w:val="26"/>
              </w:rPr>
            </w:pPr>
            <w:r w:rsidRPr="00DB1D1F">
              <w:rPr>
                <w:rFonts w:ascii="Arial" w:hAnsi="Arial" w:hint="cs"/>
                <w:sz w:val="26"/>
                <w:szCs w:val="26"/>
                <w:rtl/>
              </w:rPr>
              <w:t>ה</w:t>
            </w:r>
            <w:r w:rsidRPr="00DB1D1F">
              <w:rPr>
                <w:rFonts w:hint="cs"/>
                <w:rtl/>
              </w:rPr>
              <w:t>מאשימה</w:t>
            </w:r>
          </w:p>
        </w:tc>
        <w:tc>
          <w:tcPr>
            <w:tcW w:w="3771" w:type="dxa"/>
            <w:tcBorders>
              <w:top w:val="nil"/>
              <w:left w:val="nil"/>
              <w:bottom w:val="nil"/>
              <w:right w:val="nil"/>
            </w:tcBorders>
            <w:shd w:val="clear" w:color="auto" w:fill="auto"/>
          </w:tcPr>
          <w:p w14:paraId="21BA3657" w14:textId="77777777" w:rsidR="00DD4788" w:rsidRPr="00DB1D1F" w:rsidRDefault="00DD4788">
            <w:pPr>
              <w:rPr>
                <w:rFonts w:ascii="Arial" w:hAnsi="Arial"/>
                <w:sz w:val="26"/>
                <w:szCs w:val="26"/>
                <w:rtl/>
              </w:rPr>
            </w:pPr>
          </w:p>
          <w:p w14:paraId="7FC36472" w14:textId="77777777" w:rsidR="00DD4788" w:rsidRPr="00DB1D1F" w:rsidRDefault="00DB1D1F">
            <w:pPr>
              <w:rPr>
                <w:sz w:val="26"/>
                <w:szCs w:val="26"/>
              </w:rPr>
            </w:pPr>
            <w:r w:rsidRPr="00DB1D1F">
              <w:rPr>
                <w:rFonts w:hint="cs"/>
                <w:rtl/>
              </w:rPr>
              <w:t>מדינת ישראל</w:t>
            </w:r>
          </w:p>
          <w:p w14:paraId="05F15624" w14:textId="77777777" w:rsidR="00DD4788" w:rsidRPr="00DB1D1F" w:rsidRDefault="00DD4788">
            <w:pPr>
              <w:jc w:val="both"/>
              <w:rPr>
                <w:rFonts w:ascii="Arial" w:hAnsi="Arial"/>
                <w:sz w:val="26"/>
                <w:szCs w:val="26"/>
              </w:rPr>
            </w:pPr>
          </w:p>
        </w:tc>
      </w:tr>
      <w:bookmarkEnd w:id="1"/>
      <w:tr w:rsidR="00DD4788" w:rsidRPr="00DB1D1F" w14:paraId="0D93A7FA" w14:textId="77777777">
        <w:trPr>
          <w:trHeight w:val="355"/>
          <w:jc w:val="center"/>
        </w:trPr>
        <w:tc>
          <w:tcPr>
            <w:tcW w:w="923" w:type="dxa"/>
            <w:tcBorders>
              <w:top w:val="nil"/>
              <w:left w:val="nil"/>
              <w:bottom w:val="nil"/>
              <w:right w:val="nil"/>
            </w:tcBorders>
            <w:shd w:val="clear" w:color="auto" w:fill="auto"/>
          </w:tcPr>
          <w:p w14:paraId="1EBB743B" w14:textId="77777777" w:rsidR="00DD4788" w:rsidRPr="00DB1D1F" w:rsidRDefault="00DD4788">
            <w:pPr>
              <w:jc w:val="both"/>
              <w:rPr>
                <w:rFonts w:ascii="Arial" w:hAnsi="Arial"/>
                <w:sz w:val="26"/>
                <w:szCs w:val="26"/>
                <w:rtl/>
              </w:rPr>
            </w:pPr>
          </w:p>
        </w:tc>
        <w:tc>
          <w:tcPr>
            <w:tcW w:w="4126" w:type="dxa"/>
            <w:tcBorders>
              <w:top w:val="nil"/>
              <w:left w:val="nil"/>
              <w:bottom w:val="nil"/>
              <w:right w:val="nil"/>
            </w:tcBorders>
            <w:shd w:val="clear" w:color="auto" w:fill="auto"/>
          </w:tcPr>
          <w:p w14:paraId="1866B0DC" w14:textId="77777777" w:rsidR="00DD4788" w:rsidRPr="00DB1D1F" w:rsidRDefault="00DD4788">
            <w:pPr>
              <w:jc w:val="both"/>
              <w:rPr>
                <w:sz w:val="26"/>
                <w:szCs w:val="26"/>
                <w:rtl/>
              </w:rPr>
            </w:pPr>
          </w:p>
        </w:tc>
        <w:tc>
          <w:tcPr>
            <w:tcW w:w="3771" w:type="dxa"/>
            <w:tcBorders>
              <w:top w:val="nil"/>
              <w:left w:val="nil"/>
              <w:bottom w:val="nil"/>
              <w:right w:val="nil"/>
            </w:tcBorders>
            <w:shd w:val="clear" w:color="auto" w:fill="auto"/>
          </w:tcPr>
          <w:p w14:paraId="369BAEF4" w14:textId="77777777" w:rsidR="00DD4788" w:rsidRPr="00DB1D1F" w:rsidRDefault="00DD4788">
            <w:pPr>
              <w:jc w:val="right"/>
              <w:rPr>
                <w:rFonts w:ascii="Arial" w:hAnsi="Arial"/>
                <w:sz w:val="26"/>
                <w:szCs w:val="26"/>
                <w:rtl/>
              </w:rPr>
            </w:pPr>
          </w:p>
        </w:tc>
      </w:tr>
      <w:tr w:rsidR="00DD4788" w:rsidRPr="00DB1D1F" w14:paraId="5DB46769" w14:textId="77777777">
        <w:trPr>
          <w:trHeight w:val="355"/>
          <w:jc w:val="center"/>
        </w:trPr>
        <w:tc>
          <w:tcPr>
            <w:tcW w:w="923" w:type="dxa"/>
            <w:tcBorders>
              <w:top w:val="nil"/>
              <w:left w:val="nil"/>
              <w:bottom w:val="nil"/>
              <w:right w:val="nil"/>
            </w:tcBorders>
            <w:shd w:val="clear" w:color="auto" w:fill="auto"/>
          </w:tcPr>
          <w:p w14:paraId="749FD36C" w14:textId="77777777" w:rsidR="00DD4788" w:rsidRPr="00DB1D1F" w:rsidRDefault="00DD4788">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327EB984" w14:textId="77777777" w:rsidR="00DD4788" w:rsidRPr="00DB1D1F" w:rsidRDefault="00DD4788">
            <w:pPr>
              <w:jc w:val="center"/>
              <w:rPr>
                <w:rFonts w:ascii="Arial" w:hAnsi="Arial"/>
                <w:b/>
                <w:bCs/>
                <w:sz w:val="26"/>
                <w:szCs w:val="26"/>
                <w:rtl/>
              </w:rPr>
            </w:pPr>
          </w:p>
          <w:p w14:paraId="429FCA5B" w14:textId="77777777" w:rsidR="00DD4788" w:rsidRPr="00DB1D1F" w:rsidRDefault="00DB1D1F">
            <w:pPr>
              <w:jc w:val="center"/>
              <w:rPr>
                <w:rFonts w:ascii="Arial" w:hAnsi="Arial"/>
                <w:b/>
                <w:bCs/>
                <w:sz w:val="26"/>
                <w:szCs w:val="26"/>
                <w:rtl/>
              </w:rPr>
            </w:pPr>
            <w:r w:rsidRPr="00DB1D1F">
              <w:rPr>
                <w:rFonts w:ascii="Arial" w:hAnsi="Arial"/>
                <w:b/>
                <w:bCs/>
                <w:sz w:val="26"/>
                <w:szCs w:val="26"/>
                <w:rtl/>
              </w:rPr>
              <w:t>נגד</w:t>
            </w:r>
          </w:p>
          <w:p w14:paraId="0722D0E4" w14:textId="77777777" w:rsidR="00DD4788" w:rsidRPr="00DB1D1F" w:rsidRDefault="00DD4788">
            <w:pPr>
              <w:jc w:val="both"/>
              <w:rPr>
                <w:rFonts w:ascii="Arial" w:hAnsi="Arial"/>
                <w:sz w:val="26"/>
                <w:szCs w:val="26"/>
              </w:rPr>
            </w:pPr>
          </w:p>
        </w:tc>
      </w:tr>
      <w:tr w:rsidR="00DD4788" w:rsidRPr="00DB1D1F" w14:paraId="2A6E6FDB" w14:textId="77777777">
        <w:trPr>
          <w:trHeight w:val="355"/>
          <w:jc w:val="center"/>
        </w:trPr>
        <w:tc>
          <w:tcPr>
            <w:tcW w:w="923" w:type="dxa"/>
            <w:tcBorders>
              <w:top w:val="nil"/>
              <w:left w:val="nil"/>
              <w:bottom w:val="nil"/>
              <w:right w:val="nil"/>
            </w:tcBorders>
            <w:shd w:val="clear" w:color="auto" w:fill="auto"/>
          </w:tcPr>
          <w:p w14:paraId="6CF003E7" w14:textId="77777777" w:rsidR="00DD4788" w:rsidRPr="00DB1D1F" w:rsidRDefault="00DD4788">
            <w:pPr>
              <w:jc w:val="both"/>
              <w:rPr>
                <w:rFonts w:ascii="Arial" w:hAnsi="Arial"/>
                <w:sz w:val="26"/>
                <w:szCs w:val="26"/>
                <w:rtl/>
              </w:rPr>
            </w:pPr>
          </w:p>
        </w:tc>
        <w:tc>
          <w:tcPr>
            <w:tcW w:w="4126" w:type="dxa"/>
            <w:tcBorders>
              <w:top w:val="nil"/>
              <w:left w:val="nil"/>
              <w:bottom w:val="nil"/>
              <w:right w:val="nil"/>
            </w:tcBorders>
            <w:shd w:val="clear" w:color="auto" w:fill="auto"/>
          </w:tcPr>
          <w:p w14:paraId="4ED2B02D" w14:textId="77777777" w:rsidR="00DD4788" w:rsidRPr="00DB1D1F" w:rsidRDefault="00DB1D1F">
            <w:pPr>
              <w:jc w:val="both"/>
              <w:rPr>
                <w:sz w:val="26"/>
                <w:szCs w:val="26"/>
                <w:rtl/>
              </w:rPr>
            </w:pPr>
            <w:r w:rsidRPr="00DB1D1F">
              <w:rPr>
                <w:rFonts w:ascii="Arial" w:hAnsi="Arial" w:hint="cs"/>
                <w:sz w:val="26"/>
                <w:szCs w:val="26"/>
                <w:rtl/>
              </w:rPr>
              <w:t>ה</w:t>
            </w:r>
            <w:r w:rsidRPr="00DB1D1F">
              <w:rPr>
                <w:rFonts w:hint="cs"/>
                <w:rtl/>
              </w:rPr>
              <w:t>נאשם</w:t>
            </w:r>
          </w:p>
        </w:tc>
        <w:tc>
          <w:tcPr>
            <w:tcW w:w="3771" w:type="dxa"/>
            <w:tcBorders>
              <w:top w:val="nil"/>
              <w:left w:val="nil"/>
              <w:bottom w:val="nil"/>
              <w:right w:val="nil"/>
            </w:tcBorders>
            <w:shd w:val="clear" w:color="auto" w:fill="auto"/>
          </w:tcPr>
          <w:p w14:paraId="03BD808C" w14:textId="77777777" w:rsidR="00DD4788" w:rsidRPr="00DB1D1F" w:rsidRDefault="00DD4788">
            <w:pPr>
              <w:jc w:val="right"/>
              <w:rPr>
                <w:rFonts w:ascii="Arial" w:hAnsi="Arial"/>
                <w:sz w:val="26"/>
                <w:szCs w:val="26"/>
              </w:rPr>
            </w:pPr>
          </w:p>
          <w:p w14:paraId="17F9384E" w14:textId="77777777" w:rsidR="00DD4788" w:rsidRPr="00DB1D1F" w:rsidRDefault="00DB1D1F">
            <w:pPr>
              <w:jc w:val="both"/>
            </w:pPr>
            <w:r w:rsidRPr="00DB1D1F">
              <w:rPr>
                <w:rFonts w:hint="cs"/>
                <w:rtl/>
              </w:rPr>
              <w:t>שאכר עבד אל רחים</w:t>
            </w:r>
          </w:p>
          <w:p w14:paraId="4EF1B9B7" w14:textId="77777777" w:rsidR="00DD4788" w:rsidRPr="00DB1D1F" w:rsidRDefault="00DB1D1F">
            <w:pPr>
              <w:jc w:val="both"/>
            </w:pPr>
            <w:r w:rsidRPr="00DB1D1F">
              <w:rPr>
                <w:rtl/>
              </w:rPr>
              <w:t xml:space="preserve">     </w:t>
            </w:r>
          </w:p>
        </w:tc>
      </w:tr>
      <w:tr w:rsidR="00DD4788" w:rsidRPr="00DB1D1F" w14:paraId="05444344" w14:textId="77777777">
        <w:trPr>
          <w:trHeight w:val="355"/>
          <w:jc w:val="center"/>
        </w:trPr>
        <w:tc>
          <w:tcPr>
            <w:tcW w:w="923" w:type="dxa"/>
            <w:tcBorders>
              <w:top w:val="nil"/>
              <w:left w:val="nil"/>
              <w:bottom w:val="nil"/>
              <w:right w:val="nil"/>
            </w:tcBorders>
            <w:shd w:val="clear" w:color="auto" w:fill="auto"/>
          </w:tcPr>
          <w:p w14:paraId="69C5FE3F" w14:textId="77777777" w:rsidR="00DD4788" w:rsidRPr="00DB1D1F" w:rsidRDefault="00DD4788">
            <w:pPr>
              <w:jc w:val="both"/>
              <w:rPr>
                <w:rFonts w:ascii="Arial" w:hAnsi="Arial"/>
                <w:sz w:val="26"/>
                <w:szCs w:val="26"/>
                <w:rtl/>
              </w:rPr>
            </w:pPr>
          </w:p>
        </w:tc>
        <w:tc>
          <w:tcPr>
            <w:tcW w:w="4126" w:type="dxa"/>
            <w:tcBorders>
              <w:top w:val="nil"/>
              <w:left w:val="nil"/>
              <w:bottom w:val="nil"/>
              <w:right w:val="nil"/>
            </w:tcBorders>
            <w:shd w:val="clear" w:color="auto" w:fill="auto"/>
          </w:tcPr>
          <w:p w14:paraId="6BB7A0FC" w14:textId="77777777" w:rsidR="00DD4788" w:rsidRPr="00DB1D1F" w:rsidRDefault="00DD4788">
            <w:pPr>
              <w:jc w:val="both"/>
              <w:rPr>
                <w:sz w:val="26"/>
                <w:szCs w:val="26"/>
                <w:rtl/>
              </w:rPr>
            </w:pPr>
          </w:p>
        </w:tc>
        <w:tc>
          <w:tcPr>
            <w:tcW w:w="3771" w:type="dxa"/>
            <w:tcBorders>
              <w:top w:val="nil"/>
              <w:left w:val="nil"/>
              <w:bottom w:val="nil"/>
              <w:right w:val="nil"/>
            </w:tcBorders>
            <w:shd w:val="clear" w:color="auto" w:fill="auto"/>
          </w:tcPr>
          <w:p w14:paraId="7EA7C52D" w14:textId="77777777" w:rsidR="00DD4788" w:rsidRPr="00DB1D1F" w:rsidRDefault="00DD4788">
            <w:pPr>
              <w:jc w:val="right"/>
              <w:rPr>
                <w:rFonts w:ascii="Arial" w:hAnsi="Arial"/>
                <w:sz w:val="26"/>
                <w:szCs w:val="26"/>
              </w:rPr>
            </w:pPr>
          </w:p>
        </w:tc>
      </w:tr>
    </w:tbl>
    <w:p w14:paraId="26D53B2E" w14:textId="77777777" w:rsidR="00DD4788" w:rsidRPr="00DB1D1F" w:rsidRDefault="00DB1D1F">
      <w:pPr>
        <w:rPr>
          <w:b/>
          <w:bCs/>
          <w:rtl/>
        </w:rPr>
      </w:pPr>
      <w:r w:rsidRPr="00DB1D1F">
        <w:rPr>
          <w:rFonts w:hint="cs"/>
          <w:b/>
          <w:bCs/>
          <w:rtl/>
        </w:rPr>
        <w:t>נוכחים:</w:t>
      </w:r>
    </w:p>
    <w:p w14:paraId="5D4C2562" w14:textId="77777777" w:rsidR="00DD4788" w:rsidRPr="00DB1D1F" w:rsidRDefault="00DB1D1F">
      <w:pPr>
        <w:rPr>
          <w:b/>
          <w:bCs/>
          <w:rtl/>
        </w:rPr>
      </w:pPr>
      <w:bookmarkStart w:id="2" w:name="FirstLawyer"/>
      <w:r w:rsidRPr="00DB1D1F">
        <w:rPr>
          <w:rFonts w:hint="cs"/>
          <w:b/>
          <w:bCs/>
          <w:rtl/>
        </w:rPr>
        <w:t>ב"כ</w:t>
      </w:r>
      <w:bookmarkEnd w:id="2"/>
      <w:r w:rsidRPr="00DB1D1F">
        <w:rPr>
          <w:rFonts w:hint="cs"/>
          <w:b/>
          <w:bCs/>
          <w:rtl/>
        </w:rPr>
        <w:t xml:space="preserve"> המאשימה </w:t>
      </w:r>
      <w:r w:rsidRPr="00DB1D1F">
        <w:rPr>
          <w:b/>
          <w:bCs/>
          <w:rtl/>
        </w:rPr>
        <w:t>–</w:t>
      </w:r>
      <w:r w:rsidRPr="00DB1D1F">
        <w:rPr>
          <w:rFonts w:hint="cs"/>
          <w:b/>
          <w:bCs/>
          <w:rtl/>
        </w:rPr>
        <w:t xml:space="preserve"> עו"ד טלי קרת ועו"ד נעמה תור-זאבי</w:t>
      </w:r>
    </w:p>
    <w:p w14:paraId="4D42F9FE" w14:textId="77777777" w:rsidR="00DD4788" w:rsidRPr="00DB1D1F" w:rsidRDefault="00DB1D1F">
      <w:pPr>
        <w:rPr>
          <w:b/>
          <w:bCs/>
          <w:rtl/>
        </w:rPr>
      </w:pPr>
      <w:r w:rsidRPr="00DB1D1F">
        <w:rPr>
          <w:rFonts w:hint="cs"/>
          <w:b/>
          <w:bCs/>
          <w:rtl/>
        </w:rPr>
        <w:t xml:space="preserve">ב"כ הנאשם </w:t>
      </w:r>
      <w:r w:rsidRPr="00DB1D1F">
        <w:rPr>
          <w:b/>
          <w:bCs/>
          <w:rtl/>
        </w:rPr>
        <w:t>–</w:t>
      </w:r>
      <w:r w:rsidRPr="00DB1D1F">
        <w:rPr>
          <w:rFonts w:hint="cs"/>
          <w:b/>
          <w:bCs/>
          <w:rtl/>
        </w:rPr>
        <w:t xml:space="preserve"> עו"ד מיכל רייכמן</w:t>
      </w:r>
    </w:p>
    <w:p w14:paraId="1D7D5380" w14:textId="77777777" w:rsidR="00483AB1" w:rsidRDefault="00DB1D1F">
      <w:pPr>
        <w:rPr>
          <w:b/>
          <w:bCs/>
          <w:rtl/>
        </w:rPr>
      </w:pPr>
      <w:r w:rsidRPr="00DB1D1F">
        <w:rPr>
          <w:rFonts w:hint="cs"/>
          <w:b/>
          <w:bCs/>
          <w:rtl/>
        </w:rPr>
        <w:t xml:space="preserve">הנאשם </w:t>
      </w:r>
      <w:r w:rsidRPr="00DB1D1F">
        <w:rPr>
          <w:b/>
          <w:bCs/>
          <w:rtl/>
        </w:rPr>
        <w:t>–</w:t>
      </w:r>
      <w:r w:rsidRPr="00DB1D1F">
        <w:rPr>
          <w:rFonts w:hint="cs"/>
          <w:b/>
          <w:bCs/>
          <w:rtl/>
        </w:rPr>
        <w:t xml:space="preserve"> בעצמו</w:t>
      </w:r>
      <w:bookmarkStart w:id="3" w:name="LawTable"/>
      <w:bookmarkEnd w:id="3"/>
    </w:p>
    <w:p w14:paraId="6BF92140" w14:textId="77777777" w:rsidR="00483AB1" w:rsidRPr="00483AB1" w:rsidRDefault="00483AB1" w:rsidP="00483AB1">
      <w:pPr>
        <w:spacing w:after="120" w:line="240" w:lineRule="exact"/>
        <w:ind w:left="283" w:hanging="283"/>
        <w:jc w:val="both"/>
        <w:rPr>
          <w:rFonts w:ascii="FrankRuehl" w:hAnsi="FrankRuehl" w:cs="FrankRuehl"/>
          <w:rtl/>
        </w:rPr>
      </w:pPr>
    </w:p>
    <w:p w14:paraId="4F7D8697" w14:textId="77777777" w:rsidR="00483AB1" w:rsidRPr="00483AB1" w:rsidRDefault="00483AB1" w:rsidP="00483AB1">
      <w:pPr>
        <w:spacing w:after="120" w:line="240" w:lineRule="exact"/>
        <w:ind w:left="283" w:hanging="283"/>
        <w:jc w:val="both"/>
        <w:rPr>
          <w:rFonts w:ascii="FrankRuehl" w:hAnsi="FrankRuehl" w:cs="FrankRuehl"/>
          <w:rtl/>
        </w:rPr>
      </w:pPr>
      <w:r w:rsidRPr="00483AB1">
        <w:rPr>
          <w:rFonts w:ascii="FrankRuehl" w:hAnsi="FrankRuehl" w:cs="FrankRuehl"/>
          <w:rtl/>
        </w:rPr>
        <w:t xml:space="preserve">חקיקה שאוזכרה: </w:t>
      </w:r>
    </w:p>
    <w:p w14:paraId="1DA12FE4" w14:textId="77777777" w:rsidR="00483AB1" w:rsidRPr="00483AB1" w:rsidRDefault="00483AB1" w:rsidP="00483AB1">
      <w:pPr>
        <w:spacing w:after="120" w:line="240" w:lineRule="exact"/>
        <w:ind w:left="283" w:hanging="283"/>
        <w:jc w:val="both"/>
        <w:rPr>
          <w:rFonts w:ascii="FrankRuehl" w:hAnsi="FrankRuehl" w:cs="FrankRuehl"/>
          <w:color w:val="0000FF"/>
          <w:u w:val="single"/>
          <w:rtl/>
        </w:rPr>
      </w:pPr>
      <w:hyperlink r:id="rId7" w:history="1">
        <w:r w:rsidRPr="00483AB1">
          <w:rPr>
            <w:rStyle w:val="Hyperlink"/>
            <w:rFonts w:ascii="FrankRuehl" w:hAnsi="FrankRuehl" w:cs="FrankRuehl"/>
            <w:rtl/>
          </w:rPr>
          <w:t>חוק העונשין, תשל"ז-1977</w:t>
        </w:r>
      </w:hyperlink>
      <w:r w:rsidRPr="00483AB1">
        <w:rPr>
          <w:rFonts w:ascii="FrankRuehl" w:hAnsi="FrankRuehl" w:cs="FrankRuehl"/>
          <w:color w:val="0000FF"/>
          <w:u w:val="single"/>
          <w:rtl/>
        </w:rPr>
        <w:t xml:space="preserve">: סע'  </w:t>
      </w:r>
      <w:hyperlink r:id="rId8" w:history="1">
        <w:r w:rsidRPr="00483AB1">
          <w:rPr>
            <w:rStyle w:val="Hyperlink"/>
            <w:rFonts w:ascii="FrankRuehl" w:hAnsi="FrankRuehl" w:cs="FrankRuehl"/>
          </w:rPr>
          <w:t>144(</w:t>
        </w:r>
        <w:r w:rsidRPr="00483AB1">
          <w:rPr>
            <w:rStyle w:val="Hyperlink"/>
            <w:rFonts w:ascii="FrankRuehl" w:hAnsi="FrankRuehl" w:cs="FrankRuehl"/>
            <w:rtl/>
          </w:rPr>
          <w:t>א</w:t>
        </w:r>
        <w:r w:rsidRPr="00483AB1">
          <w:rPr>
            <w:rStyle w:val="Hyperlink"/>
            <w:rFonts w:ascii="FrankRuehl" w:hAnsi="FrankRuehl" w:cs="FrankRuehl"/>
          </w:rPr>
          <w:t>)</w:t>
        </w:r>
      </w:hyperlink>
    </w:p>
    <w:p w14:paraId="4BB6F9EC" w14:textId="77777777" w:rsidR="00DB1D1F" w:rsidRPr="00DB1D1F" w:rsidRDefault="00DB1D1F">
      <w:pPr>
        <w:rPr>
          <w:b/>
          <w:bCs/>
          <w:rtl/>
        </w:rPr>
      </w:pPr>
    </w:p>
    <w:p w14:paraId="459EA023" w14:textId="77777777" w:rsidR="00DD4788" w:rsidRPr="00DB1D1F" w:rsidRDefault="00DD4788">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4788" w14:paraId="26C670E4" w14:textId="77777777">
        <w:trPr>
          <w:trHeight w:val="355"/>
          <w:jc w:val="center"/>
        </w:trPr>
        <w:tc>
          <w:tcPr>
            <w:tcW w:w="8820" w:type="dxa"/>
            <w:tcBorders>
              <w:top w:val="nil"/>
              <w:left w:val="nil"/>
              <w:bottom w:val="nil"/>
              <w:right w:val="nil"/>
            </w:tcBorders>
            <w:shd w:val="clear" w:color="auto" w:fill="auto"/>
          </w:tcPr>
          <w:p w14:paraId="71722A8A" w14:textId="77777777" w:rsidR="00DB1D1F" w:rsidRPr="00DB1D1F" w:rsidRDefault="00DB1D1F" w:rsidP="00DB1D1F">
            <w:pPr>
              <w:jc w:val="center"/>
              <w:rPr>
                <w:rFonts w:ascii="Arial" w:hAnsi="Arial"/>
                <w:b/>
                <w:bCs/>
                <w:sz w:val="32"/>
                <w:szCs w:val="32"/>
                <w:u w:val="single"/>
                <w:rtl/>
              </w:rPr>
            </w:pPr>
            <w:bookmarkStart w:id="4" w:name="PsakDin" w:colFirst="0" w:colLast="0"/>
            <w:bookmarkEnd w:id="0"/>
            <w:r w:rsidRPr="00DB1D1F">
              <w:rPr>
                <w:rFonts w:ascii="Arial" w:hAnsi="Arial"/>
                <w:b/>
                <w:bCs/>
                <w:sz w:val="32"/>
                <w:szCs w:val="32"/>
                <w:u w:val="single"/>
                <w:rtl/>
              </w:rPr>
              <w:t>גזר דין</w:t>
            </w:r>
          </w:p>
          <w:p w14:paraId="43D6E971" w14:textId="77777777" w:rsidR="00DD4788" w:rsidRPr="00DB1D1F" w:rsidRDefault="00DD4788" w:rsidP="00DB1D1F">
            <w:pPr>
              <w:jc w:val="center"/>
              <w:rPr>
                <w:rFonts w:ascii="Arial" w:hAnsi="Arial"/>
                <w:bCs/>
                <w:sz w:val="32"/>
                <w:szCs w:val="32"/>
                <w:u w:val="single"/>
                <w:rtl/>
              </w:rPr>
            </w:pPr>
          </w:p>
        </w:tc>
      </w:tr>
      <w:bookmarkEnd w:id="4"/>
    </w:tbl>
    <w:p w14:paraId="25E59054" w14:textId="77777777" w:rsidR="00DD4788" w:rsidRDefault="00DD4788">
      <w:pPr>
        <w:rPr>
          <w:rFonts w:ascii="Arial" w:hAnsi="Arial"/>
          <w:sz w:val="26"/>
          <w:szCs w:val="26"/>
          <w:rtl/>
        </w:rPr>
      </w:pPr>
    </w:p>
    <w:p w14:paraId="72DEB483" w14:textId="77777777" w:rsidR="00DD4788" w:rsidRDefault="00DD4788">
      <w:pPr>
        <w:rPr>
          <w:rFonts w:ascii="Arial" w:hAnsi="Arial"/>
          <w:sz w:val="26"/>
          <w:szCs w:val="26"/>
          <w:rtl/>
        </w:rPr>
      </w:pPr>
    </w:p>
    <w:p w14:paraId="64C00929" w14:textId="77777777" w:rsidR="00DD4788" w:rsidRDefault="00DB1D1F">
      <w:pPr>
        <w:pStyle w:val="ListParagraph"/>
        <w:numPr>
          <w:ilvl w:val="0"/>
          <w:numId w:val="1"/>
        </w:numPr>
        <w:spacing w:line="360" w:lineRule="auto"/>
        <w:ind w:left="0" w:firstLine="0"/>
        <w:jc w:val="both"/>
        <w:rPr>
          <w:rFonts w:ascii="Arial" w:hAnsi="Arial"/>
        </w:rPr>
      </w:pPr>
      <w:r>
        <w:rPr>
          <w:rFonts w:ascii="Arial" w:hAnsi="Arial" w:hint="cs"/>
          <w:rtl/>
        </w:rPr>
        <w:t xml:space="preserve">הנאשם, יליד 1976, הורשע על יסוד הודאתו בעובדות כתב אישום מתוקן במסגרת הסדר דיוני, בביצוע שתי עבירות של החזקת נשק ותחמושת לפי </w:t>
      </w:r>
      <w:hyperlink r:id="rId9" w:history="1">
        <w:r w:rsidR="00483AB1" w:rsidRPr="00483AB1">
          <w:rPr>
            <w:rStyle w:val="Hyperlink"/>
            <w:rFonts w:ascii="Arial" w:hAnsi="Arial" w:hint="eastAsia"/>
            <w:rtl/>
          </w:rPr>
          <w:t>סעיף</w:t>
        </w:r>
        <w:r w:rsidR="00483AB1" w:rsidRPr="00483AB1">
          <w:rPr>
            <w:rStyle w:val="Hyperlink"/>
            <w:rFonts w:ascii="Arial" w:hAnsi="Arial"/>
            <w:rtl/>
          </w:rPr>
          <w:t xml:space="preserve"> 144(א)</w:t>
        </w:r>
      </w:hyperlink>
      <w:r>
        <w:rPr>
          <w:rFonts w:ascii="Arial" w:hAnsi="Arial" w:hint="cs"/>
          <w:rtl/>
        </w:rPr>
        <w:t xml:space="preserve"> רישא וסיפא ל</w:t>
      </w:r>
      <w:hyperlink r:id="rId10" w:history="1">
        <w:r w:rsidRPr="00DB1D1F">
          <w:rPr>
            <w:rFonts w:ascii="Arial" w:hAnsi="Arial"/>
            <w:color w:val="0000FF"/>
            <w:u w:val="single"/>
            <w:rtl/>
          </w:rPr>
          <w:t>חוק העונשין</w:t>
        </w:r>
      </w:hyperlink>
      <w:r>
        <w:rPr>
          <w:rFonts w:ascii="Arial" w:hAnsi="Arial" w:hint="cs"/>
          <w:rtl/>
        </w:rPr>
        <w:t xml:space="preserve">, התשל"ז-1977 (להלן </w:t>
      </w:r>
      <w:r>
        <w:rPr>
          <w:rFonts w:ascii="Arial" w:hAnsi="Arial"/>
          <w:rtl/>
        </w:rPr>
        <w:t>–</w:t>
      </w:r>
      <w:r>
        <w:rPr>
          <w:rFonts w:ascii="Arial" w:hAnsi="Arial" w:hint="cs"/>
          <w:rtl/>
        </w:rPr>
        <w:t xml:space="preserve"> </w:t>
      </w:r>
      <w:r>
        <w:rPr>
          <w:rFonts w:ascii="Arial" w:hAnsi="Arial" w:hint="cs"/>
          <w:b/>
          <w:bCs/>
          <w:rtl/>
        </w:rPr>
        <w:t>"חוק העונשין"</w:t>
      </w:r>
      <w:r>
        <w:rPr>
          <w:rFonts w:ascii="Arial" w:hAnsi="Arial" w:hint="cs"/>
          <w:rtl/>
        </w:rPr>
        <w:t>).</w:t>
      </w:r>
    </w:p>
    <w:p w14:paraId="362C6899" w14:textId="77777777" w:rsidR="00DD4788" w:rsidRDefault="00DD4788">
      <w:pPr>
        <w:spacing w:line="360" w:lineRule="auto"/>
        <w:jc w:val="both"/>
        <w:rPr>
          <w:rFonts w:ascii="Arial" w:hAnsi="Arial"/>
          <w:rtl/>
        </w:rPr>
      </w:pPr>
    </w:p>
    <w:p w14:paraId="60B59557" w14:textId="77777777" w:rsidR="00DD4788" w:rsidRDefault="00DB1D1F">
      <w:pPr>
        <w:spacing w:line="360" w:lineRule="auto"/>
        <w:ind w:firstLine="708"/>
        <w:jc w:val="both"/>
        <w:rPr>
          <w:rFonts w:ascii="Arial" w:hAnsi="Arial"/>
          <w:rtl/>
        </w:rPr>
      </w:pPr>
      <w:bookmarkStart w:id="5" w:name="ABSTRACT_START"/>
      <w:bookmarkEnd w:id="5"/>
      <w:r>
        <w:rPr>
          <w:rFonts w:ascii="Arial" w:hAnsi="Arial" w:hint="cs"/>
          <w:rtl/>
        </w:rPr>
        <w:t xml:space="preserve">לפי עובדות כתב האישום המתוקן, ביום 13.7.14 החזיק הנאשם בארון מטבח בביתו שבטירה </w:t>
      </w:r>
      <w:r>
        <w:rPr>
          <w:rFonts w:ascii="Arial" w:hAnsi="Arial"/>
          <w:rtl/>
        </w:rPr>
        <w:t>–</w:t>
      </w:r>
      <w:r>
        <w:rPr>
          <w:rFonts w:ascii="Arial" w:hAnsi="Arial" w:hint="cs"/>
          <w:rtl/>
        </w:rPr>
        <w:t xml:space="preserve"> מחסנית לאקדח; במכולה במחסן הממוקם בצמוד לבית </w:t>
      </w:r>
      <w:r>
        <w:rPr>
          <w:rFonts w:ascii="Arial" w:hAnsi="Arial"/>
          <w:rtl/>
        </w:rPr>
        <w:t>–</w:t>
      </w:r>
      <w:r>
        <w:rPr>
          <w:rFonts w:ascii="Arial" w:hAnsi="Arial" w:hint="cs"/>
          <w:rtl/>
        </w:rPr>
        <w:t xml:space="preserve"> ב</w:t>
      </w:r>
      <w:r>
        <w:rPr>
          <w:rFonts w:ascii="Arial" w:hAnsi="Arial" w:hint="cs"/>
          <w:b/>
          <w:bCs/>
          <w:rtl/>
        </w:rPr>
        <w:t>רובה מסוג ספרינגפילד</w:t>
      </w:r>
      <w:r>
        <w:rPr>
          <w:rFonts w:ascii="Arial" w:hAnsi="Arial" w:hint="cs"/>
          <w:rtl/>
        </w:rPr>
        <w:t xml:space="preserve"> מודל </w:t>
      </w:r>
      <w:r>
        <w:rPr>
          <w:rFonts w:ascii="Arial" w:hAnsi="Arial" w:hint="cs"/>
        </w:rPr>
        <w:t>M</w:t>
      </w:r>
      <w:r>
        <w:rPr>
          <w:rFonts w:ascii="Arial" w:hAnsi="Arial"/>
        </w:rPr>
        <w:t>1</w:t>
      </w:r>
      <w:r>
        <w:rPr>
          <w:rFonts w:ascii="Arial" w:hAnsi="Arial" w:hint="cs"/>
          <w:rtl/>
        </w:rPr>
        <w:t xml:space="preserve">; ובעסק לתיקון ושטיפת כלי רב שבבעלותו בטירה </w:t>
      </w:r>
      <w:r>
        <w:rPr>
          <w:rFonts w:ascii="Arial" w:hAnsi="Arial"/>
          <w:rtl/>
        </w:rPr>
        <w:t>–</w:t>
      </w:r>
      <w:r>
        <w:rPr>
          <w:rFonts w:ascii="Arial" w:hAnsi="Arial" w:hint="cs"/>
          <w:rtl/>
        </w:rPr>
        <w:t xml:space="preserve"> </w:t>
      </w:r>
      <w:r>
        <w:rPr>
          <w:rFonts w:ascii="Arial" w:hAnsi="Arial" w:hint="cs"/>
          <w:b/>
          <w:bCs/>
          <w:rtl/>
        </w:rPr>
        <w:t>תת מקלע מסוג עוזי</w:t>
      </w:r>
      <w:r>
        <w:rPr>
          <w:rFonts w:ascii="Arial" w:hAnsi="Arial" w:hint="cs"/>
          <w:rtl/>
        </w:rPr>
        <w:t xml:space="preserve">, קופסא המכילה 50 כדורי 9 מ"מ, קופסת סיגריות ובתוכה 19 כדורי 9 מ"מ, שתי מחסניות המתאימות לנשק מסוג </w:t>
      </w:r>
      <w:r>
        <w:rPr>
          <w:rFonts w:ascii="Arial" w:hAnsi="Arial" w:hint="cs"/>
          <w:rtl/>
        </w:rPr>
        <w:lastRenderedPageBreak/>
        <w:t xml:space="preserve">תת מקלע עוזי, 2 מחסניות המתאימות לנשק מסוג גליל, מחסנית המתאימה לנשק מסוג </w:t>
      </w:r>
      <w:r>
        <w:rPr>
          <w:rFonts w:ascii="Arial" w:hAnsi="Arial"/>
        </w:rPr>
        <w:t>M16</w:t>
      </w:r>
      <w:r>
        <w:rPr>
          <w:rFonts w:ascii="Arial" w:hAnsi="Arial" w:hint="cs"/>
          <w:rtl/>
        </w:rPr>
        <w:t xml:space="preserve"> וקת לרובה מסוג</w:t>
      </w:r>
      <w:r>
        <w:rPr>
          <w:rFonts w:ascii="Arial" w:hAnsi="Arial"/>
        </w:rPr>
        <w:t xml:space="preserve">M16 </w:t>
      </w:r>
      <w:r>
        <w:rPr>
          <w:rFonts w:ascii="Arial" w:hAnsi="Arial" w:hint="cs"/>
          <w:rtl/>
        </w:rPr>
        <w:t xml:space="preserve"> מקוצר. </w:t>
      </w:r>
    </w:p>
    <w:p w14:paraId="312F09B1" w14:textId="77777777" w:rsidR="00DD4788" w:rsidRDefault="00DD4788">
      <w:pPr>
        <w:spacing w:line="360" w:lineRule="auto"/>
        <w:jc w:val="both"/>
        <w:rPr>
          <w:rFonts w:ascii="Arial" w:hAnsi="Arial"/>
          <w:rtl/>
        </w:rPr>
      </w:pPr>
      <w:bookmarkStart w:id="6" w:name="ABSTRACT_END"/>
      <w:bookmarkEnd w:id="6"/>
    </w:p>
    <w:p w14:paraId="74939208" w14:textId="77777777" w:rsidR="00DD4788" w:rsidRDefault="00DB1D1F">
      <w:pPr>
        <w:pStyle w:val="ListParagraph"/>
        <w:numPr>
          <w:ilvl w:val="0"/>
          <w:numId w:val="1"/>
        </w:numPr>
        <w:spacing w:line="360" w:lineRule="auto"/>
        <w:ind w:left="0" w:firstLine="0"/>
        <w:jc w:val="both"/>
        <w:rPr>
          <w:rFonts w:ascii="Arial" w:hAnsi="Arial"/>
          <w:rtl/>
        </w:rPr>
      </w:pPr>
      <w:r>
        <w:rPr>
          <w:rFonts w:ascii="Arial" w:hAnsi="Arial" w:hint="cs"/>
          <w:rtl/>
        </w:rPr>
        <w:t>במסגרת ההסדר הדיוני נמחקו נאשמים 2,3 מכתב האישום והוסכם כי הנאשם יישלח לתסקיר שירות המבחן.</w:t>
      </w:r>
    </w:p>
    <w:p w14:paraId="5C5628BA" w14:textId="77777777" w:rsidR="00DD4788" w:rsidRDefault="00DD4788">
      <w:pPr>
        <w:pStyle w:val="ListParagraph"/>
        <w:spacing w:line="360" w:lineRule="auto"/>
        <w:ind w:left="0"/>
        <w:jc w:val="both"/>
        <w:rPr>
          <w:rFonts w:ascii="Arial" w:hAnsi="Arial"/>
        </w:rPr>
      </w:pPr>
    </w:p>
    <w:p w14:paraId="70655018" w14:textId="77777777" w:rsidR="00DD4788" w:rsidRDefault="00DB1D1F">
      <w:pPr>
        <w:pStyle w:val="ListParagraph"/>
        <w:numPr>
          <w:ilvl w:val="0"/>
          <w:numId w:val="1"/>
        </w:numPr>
        <w:spacing w:line="360" w:lineRule="auto"/>
        <w:ind w:left="0" w:firstLine="0"/>
        <w:jc w:val="both"/>
        <w:rPr>
          <w:rFonts w:ascii="Arial" w:hAnsi="Arial"/>
        </w:rPr>
      </w:pPr>
      <w:r>
        <w:rPr>
          <w:rFonts w:ascii="Arial" w:hAnsi="Arial" w:hint="cs"/>
          <w:rtl/>
        </w:rPr>
        <w:t xml:space="preserve">מהתסקיר שהוגש אודות הנאשם עולה כי הנאשם כבן 41, נשוי ואב לתינוק כבן שנה. טרם מעצרו ניהל הנאשם מוסך לחשמל רכב בעיר מגוריו. הנאשם סיים 12 שנות לימוד עם תעודת בגרות מלאה ולמד במשך שנתיים נוספות חשמל רכב. אין לחובתו של הנאשם הרשעות קודמות. בהתייחסו לעבירות הנדונות מסר מספר גרסאות סותרות בהם מציג עצמו כקורבן. שירות המבחן נמנע מהמלצה טיפולית בעניינו של הנאשם. </w:t>
      </w:r>
    </w:p>
    <w:p w14:paraId="79BE9177" w14:textId="77777777" w:rsidR="00DD4788" w:rsidRDefault="00DD4788">
      <w:pPr>
        <w:spacing w:line="360" w:lineRule="auto"/>
        <w:jc w:val="both"/>
        <w:rPr>
          <w:rFonts w:ascii="Arial" w:hAnsi="Arial"/>
          <w:b/>
          <w:bCs/>
          <w:u w:val="single"/>
          <w:rtl/>
        </w:rPr>
      </w:pPr>
    </w:p>
    <w:p w14:paraId="1EDF800A" w14:textId="77777777" w:rsidR="00DD4788" w:rsidRDefault="00DD4788">
      <w:pPr>
        <w:spacing w:line="360" w:lineRule="auto"/>
        <w:jc w:val="both"/>
        <w:rPr>
          <w:rFonts w:ascii="Arial" w:hAnsi="Arial"/>
          <w:b/>
          <w:bCs/>
          <w:u w:val="single"/>
          <w:rtl/>
        </w:rPr>
      </w:pPr>
    </w:p>
    <w:p w14:paraId="7F3FB235" w14:textId="77777777" w:rsidR="00DD4788" w:rsidRDefault="00DB1D1F">
      <w:pPr>
        <w:spacing w:line="360" w:lineRule="auto"/>
        <w:jc w:val="both"/>
        <w:rPr>
          <w:rFonts w:ascii="Arial" w:hAnsi="Arial"/>
          <w:b/>
          <w:bCs/>
          <w:sz w:val="26"/>
          <w:szCs w:val="26"/>
          <w:u w:val="single"/>
          <w:rtl/>
        </w:rPr>
      </w:pPr>
      <w:r>
        <w:rPr>
          <w:rFonts w:ascii="Arial" w:hAnsi="Arial"/>
          <w:b/>
          <w:bCs/>
          <w:sz w:val="26"/>
          <w:szCs w:val="26"/>
          <w:u w:val="single"/>
          <w:rtl/>
        </w:rPr>
        <w:t>טיעוני הצדדים</w:t>
      </w:r>
    </w:p>
    <w:p w14:paraId="49A48C65" w14:textId="77777777" w:rsidR="00DD4788" w:rsidRDefault="00DB1D1F">
      <w:pPr>
        <w:numPr>
          <w:ilvl w:val="0"/>
          <w:numId w:val="1"/>
        </w:numPr>
        <w:spacing w:line="360" w:lineRule="auto"/>
        <w:ind w:left="0" w:firstLine="0"/>
        <w:jc w:val="both"/>
        <w:rPr>
          <w:rtl/>
        </w:rPr>
      </w:pPr>
      <w:r>
        <w:rPr>
          <w:rtl/>
        </w:rPr>
        <w:t>ב"כ המאשימה, עו"ד איריס פיקר, עמדה בטיעוניה על החומרה היתרה שיש לייחס לעבירה בה הסתבך הנאשם. לטענתה, כלי הנשק והתחמושת שהחזיק הנאשם הם בעלי פוטנציאל קטלני לפגוע בחפים מפשע והערך החברתי שנפגע הינו סיכון שלום הציבור וביטחונו.</w:t>
      </w:r>
    </w:p>
    <w:p w14:paraId="48AAE352" w14:textId="77777777" w:rsidR="00DD4788" w:rsidRDefault="00DD4788">
      <w:pPr>
        <w:spacing w:line="360" w:lineRule="auto"/>
        <w:jc w:val="both"/>
      </w:pPr>
    </w:p>
    <w:p w14:paraId="5EDF9874" w14:textId="77777777" w:rsidR="00DD4788" w:rsidRDefault="00DB1D1F">
      <w:pPr>
        <w:spacing w:line="360" w:lineRule="auto"/>
        <w:ind w:firstLine="720"/>
        <w:jc w:val="both"/>
        <w:rPr>
          <w:rtl/>
        </w:rPr>
      </w:pPr>
      <w:r>
        <w:rPr>
          <w:rtl/>
        </w:rPr>
        <w:t xml:space="preserve">עוד טענה התובעת כי מדובר במכת מדינה וביהמ"ש צריך לתת מענה לעניין זה. התובעת סבורה כי מתחם העונש ההולם הינו בין 18 ל-30 חודשי מאסר, ולשם ביסוס טענותיה למתחם עונש זה הגישה פסיקה. המאשימה בקשה לגזור את עונשו של הנאשם בשליש העליון של המתחם על אף העדר עבר פלילי. </w:t>
      </w:r>
    </w:p>
    <w:p w14:paraId="42E887E9" w14:textId="77777777" w:rsidR="00DD4788" w:rsidRDefault="00DD4788">
      <w:pPr>
        <w:spacing w:line="360" w:lineRule="auto"/>
        <w:jc w:val="both"/>
        <w:rPr>
          <w:rtl/>
        </w:rPr>
      </w:pPr>
    </w:p>
    <w:p w14:paraId="6DB2D374" w14:textId="77777777" w:rsidR="00DD4788" w:rsidRDefault="00DB1D1F">
      <w:pPr>
        <w:numPr>
          <w:ilvl w:val="0"/>
          <w:numId w:val="1"/>
        </w:numPr>
        <w:spacing w:line="360" w:lineRule="auto"/>
        <w:ind w:left="0" w:firstLine="0"/>
        <w:jc w:val="both"/>
        <w:rPr>
          <w:rtl/>
        </w:rPr>
      </w:pPr>
      <w:r>
        <w:rPr>
          <w:rtl/>
        </w:rPr>
        <w:t xml:space="preserve">ב"כ הנאשם, עו"ד מיכל רייכמן, מיקדה את טענותיה לעונש בנתוניו האישיים של הנאשם. הנאשם, לדבריה, לקח אחריות מלאה על מעשיו, ואף כיוון את השוטרים למקום בו נמצאו כלי הנשק. מדובר בנאשם ללא עבר פלילי אשר מעולם לא היה בתחנת משטרה. אשתו של הנאשם נמצאת בהריון בסיכון ולהם יש ילד אחד שנולד אחרי 5 שנים של ניסיונות. כמו כן הנאשם נתון במעצר בית כבר למעלה משנה. </w:t>
      </w:r>
    </w:p>
    <w:p w14:paraId="0066F2DE" w14:textId="77777777" w:rsidR="00DD4788" w:rsidRDefault="00DD4788">
      <w:pPr>
        <w:spacing w:line="360" w:lineRule="auto"/>
        <w:jc w:val="both"/>
      </w:pPr>
    </w:p>
    <w:p w14:paraId="087FED84" w14:textId="77777777" w:rsidR="00DD4788" w:rsidRDefault="00DB1D1F">
      <w:pPr>
        <w:spacing w:line="360" w:lineRule="auto"/>
        <w:ind w:firstLine="720"/>
        <w:jc w:val="both"/>
        <w:rPr>
          <w:rtl/>
        </w:rPr>
      </w:pPr>
      <w:r>
        <w:rPr>
          <w:rtl/>
        </w:rPr>
        <w:t xml:space="preserve">ב"כ הנאשם קבלה על מסקנות שירות המבחן ביחס לנאשם. לטעמה, שירות המבחן לא ערך את ההבחנה הראויה בין דברים שכתב אודות הנאשם בהליך המעצר לבין התסקיר לעניין העונש. </w:t>
      </w:r>
    </w:p>
    <w:p w14:paraId="2EC7A3A4" w14:textId="77777777" w:rsidR="00DD4788" w:rsidRDefault="00DD4788">
      <w:pPr>
        <w:spacing w:line="360" w:lineRule="auto"/>
        <w:jc w:val="both"/>
        <w:rPr>
          <w:rtl/>
        </w:rPr>
      </w:pPr>
    </w:p>
    <w:p w14:paraId="3BDDA5C2" w14:textId="77777777" w:rsidR="00DD4788" w:rsidRDefault="00DB1D1F">
      <w:pPr>
        <w:spacing w:line="360" w:lineRule="auto"/>
        <w:ind w:firstLine="720"/>
        <w:jc w:val="both"/>
        <w:rPr>
          <w:rtl/>
        </w:rPr>
      </w:pPr>
      <w:r>
        <w:rPr>
          <w:rtl/>
        </w:rPr>
        <w:lastRenderedPageBreak/>
        <w:t>ב"כ הנאשם הציגה פסיקה ממנה עולה כי מתחם העונש ההולם לעבירות של החזקה, נשיאה והובלת נשק ותחמושת הינו בין 12 ל-36 חודשי מאסר, אך במקרים מתאימים ניתן לסטות ממנו ולגזור עבודות שירות.</w:t>
      </w:r>
    </w:p>
    <w:p w14:paraId="412CD03E" w14:textId="77777777" w:rsidR="00DD4788" w:rsidRDefault="00DD4788">
      <w:pPr>
        <w:spacing w:line="360" w:lineRule="auto"/>
        <w:ind w:firstLine="720"/>
        <w:jc w:val="both"/>
        <w:rPr>
          <w:rtl/>
        </w:rPr>
      </w:pPr>
    </w:p>
    <w:p w14:paraId="6F3DA4B3" w14:textId="77777777" w:rsidR="00DD4788" w:rsidRDefault="00DB1D1F">
      <w:pPr>
        <w:numPr>
          <w:ilvl w:val="0"/>
          <w:numId w:val="1"/>
        </w:numPr>
        <w:spacing w:line="360" w:lineRule="auto"/>
        <w:ind w:left="0" w:firstLine="0"/>
        <w:jc w:val="both"/>
        <w:rPr>
          <w:rtl/>
        </w:rPr>
      </w:pPr>
      <w:r>
        <w:rPr>
          <w:rtl/>
        </w:rPr>
        <w:t xml:space="preserve">הנאשם בדברו האחרון </w:t>
      </w:r>
      <w:r>
        <w:rPr>
          <w:rFonts w:hint="cs"/>
          <w:rtl/>
        </w:rPr>
        <w:t xml:space="preserve">לעונש </w:t>
      </w:r>
      <w:r>
        <w:rPr>
          <w:rtl/>
        </w:rPr>
        <w:t>אמר כי לא חשב שייקלע למצב כזה והביע צער על כך שפגע בפרנסתו ובפרנסת בני משפחתו.</w:t>
      </w:r>
    </w:p>
    <w:p w14:paraId="2AE4607D" w14:textId="77777777" w:rsidR="00DD4788" w:rsidRDefault="00DD4788">
      <w:pPr>
        <w:spacing w:line="360" w:lineRule="auto"/>
        <w:jc w:val="both"/>
        <w:rPr>
          <w:b/>
          <w:bCs/>
          <w:sz w:val="26"/>
          <w:szCs w:val="26"/>
          <w:u w:val="single"/>
          <w:rtl/>
        </w:rPr>
      </w:pPr>
    </w:p>
    <w:p w14:paraId="16565FD3" w14:textId="77777777" w:rsidR="00DD4788" w:rsidRDefault="00DD4788">
      <w:pPr>
        <w:spacing w:line="360" w:lineRule="auto"/>
        <w:jc w:val="both"/>
        <w:rPr>
          <w:b/>
          <w:bCs/>
          <w:sz w:val="26"/>
          <w:szCs w:val="26"/>
          <w:u w:val="single"/>
          <w:rtl/>
        </w:rPr>
      </w:pPr>
    </w:p>
    <w:p w14:paraId="0AA6CEEA" w14:textId="77777777" w:rsidR="00DD4788" w:rsidRDefault="00DB1D1F">
      <w:pPr>
        <w:spacing w:line="360" w:lineRule="auto"/>
        <w:jc w:val="both"/>
        <w:rPr>
          <w:b/>
          <w:bCs/>
          <w:sz w:val="26"/>
          <w:szCs w:val="26"/>
          <w:u w:val="single"/>
          <w:rtl/>
        </w:rPr>
      </w:pPr>
      <w:r>
        <w:rPr>
          <w:b/>
          <w:bCs/>
          <w:sz w:val="26"/>
          <w:szCs w:val="26"/>
          <w:u w:val="single"/>
          <w:rtl/>
        </w:rPr>
        <w:t>דיון</w:t>
      </w:r>
    </w:p>
    <w:p w14:paraId="3C5C8F65" w14:textId="77777777" w:rsidR="00DD4788" w:rsidRDefault="00DB1D1F">
      <w:pPr>
        <w:numPr>
          <w:ilvl w:val="0"/>
          <w:numId w:val="1"/>
        </w:numPr>
        <w:spacing w:line="360" w:lineRule="auto"/>
        <w:ind w:left="0" w:firstLine="0"/>
        <w:jc w:val="both"/>
        <w:rPr>
          <w:rtl/>
        </w:rPr>
      </w:pPr>
      <w:r>
        <w:rPr>
          <w:rtl/>
        </w:rPr>
        <w:t xml:space="preserve">הנאשם החזיק תחת שליטתו שני כלי נשק התקפיים וכן תחמושת רבה ואביזרים נלווים. המעשה בביצועו הסתבך הנאשם הוא מעשה חמור וטמונה בו סכנה ניכרת לשלום הציבור. עבירות הנשק הפכו למכת מדינה, ובאזורנו אף ל"מכת אזור". פגיעתן של העבירות קשה. נשק לא מורשה שמוחזק על ידי פלוני, מחר ייעשה בו שימוש לרעה על ידי פלוני עצמו או על ידי אחרים. </w:t>
      </w:r>
    </w:p>
    <w:p w14:paraId="45F5EBDC" w14:textId="77777777" w:rsidR="00DD4788" w:rsidRDefault="00DD4788">
      <w:pPr>
        <w:spacing w:line="360" w:lineRule="auto"/>
        <w:jc w:val="both"/>
        <w:rPr>
          <w:rtl/>
        </w:rPr>
      </w:pPr>
    </w:p>
    <w:p w14:paraId="06662C6B" w14:textId="77777777" w:rsidR="00DD4788" w:rsidRDefault="00DB1D1F">
      <w:pPr>
        <w:spacing w:line="360" w:lineRule="auto"/>
        <w:ind w:firstLine="720"/>
        <w:jc w:val="both"/>
        <w:rPr>
          <w:rtl/>
        </w:rPr>
      </w:pPr>
      <w:r>
        <w:rPr>
          <w:rtl/>
        </w:rPr>
        <w:t>בתי המשפט עמדו פעמים רבות על הסכנה הרבה הגלומה בהחזקת כלי ירייה על ידי מי שאינם מורשים לכך, סכנה שמצדיקה נקיטת יד קשה כלפי המורשעים בביצוע עבירה זו:</w:t>
      </w:r>
    </w:p>
    <w:p w14:paraId="18C2C204" w14:textId="77777777" w:rsidR="00DD4788" w:rsidRDefault="00DD4788">
      <w:pPr>
        <w:spacing w:line="360" w:lineRule="auto"/>
        <w:jc w:val="both"/>
        <w:rPr>
          <w:rtl/>
        </w:rPr>
      </w:pPr>
    </w:p>
    <w:p w14:paraId="0299CF53" w14:textId="77777777" w:rsidR="00DD4788" w:rsidRDefault="00DB1D1F">
      <w:pPr>
        <w:spacing w:line="360" w:lineRule="auto"/>
        <w:ind w:left="1260" w:right="1440"/>
        <w:jc w:val="both"/>
        <w:rPr>
          <w:rFonts w:cs="FrankRuehl"/>
          <w:rtl/>
        </w:rPr>
      </w:pPr>
      <w:r>
        <w:rPr>
          <w:rFonts w:cs="FrankRuehl"/>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p>
    <w:p w14:paraId="61B35BA6" w14:textId="77777777" w:rsidR="00DD4788" w:rsidRDefault="00DB1D1F">
      <w:pPr>
        <w:spacing w:line="360" w:lineRule="auto"/>
        <w:ind w:left="1260" w:right="1440"/>
        <w:jc w:val="both"/>
        <w:rPr>
          <w:rFonts w:cs="FrankRuehl"/>
          <w:rtl/>
        </w:rPr>
      </w:pPr>
      <w:r>
        <w:rPr>
          <w:rFonts w:cs="FrankRuehl"/>
          <w:rtl/>
        </w:rPr>
        <w:t xml:space="preserve">[ </w:t>
      </w:r>
      <w:hyperlink r:id="rId11" w:history="1">
        <w:r w:rsidRPr="00DB1D1F">
          <w:rPr>
            <w:rFonts w:cs="FrankRuehl"/>
            <w:color w:val="0000FF"/>
            <w:u w:val="single"/>
            <w:rtl/>
          </w:rPr>
          <w:t>רע"פ 2718/04</w:t>
        </w:r>
      </w:hyperlink>
      <w:r>
        <w:rPr>
          <w:rFonts w:cs="FrankRuehl"/>
          <w:rtl/>
        </w:rPr>
        <w:t xml:space="preserve"> </w:t>
      </w:r>
      <w:r>
        <w:rPr>
          <w:rFonts w:cs="FrankRuehl"/>
          <w:b/>
          <w:bCs/>
          <w:rtl/>
        </w:rPr>
        <w:t>אבו דאחל נ' מדינת ישראל</w:t>
      </w:r>
      <w:r>
        <w:rPr>
          <w:rFonts w:cs="FrankRuehl"/>
          <w:rtl/>
        </w:rPr>
        <w:t>(2004)].</w:t>
      </w:r>
    </w:p>
    <w:p w14:paraId="38CFC780" w14:textId="77777777" w:rsidR="00DD4788" w:rsidRDefault="00DD4788">
      <w:pPr>
        <w:spacing w:line="360" w:lineRule="auto"/>
        <w:jc w:val="both"/>
        <w:rPr>
          <w:rtl/>
        </w:rPr>
      </w:pPr>
    </w:p>
    <w:p w14:paraId="16253BF7" w14:textId="77777777" w:rsidR="00DD4788" w:rsidRDefault="00DB1D1F">
      <w:pPr>
        <w:spacing w:line="360" w:lineRule="auto"/>
        <w:jc w:val="both"/>
        <w:rPr>
          <w:rtl/>
        </w:rPr>
      </w:pPr>
      <w:r>
        <w:rPr>
          <w:rtl/>
        </w:rPr>
        <w:tab/>
        <w:t xml:space="preserve">וכן- </w:t>
      </w:r>
    </w:p>
    <w:p w14:paraId="2D7A2AA1" w14:textId="77777777" w:rsidR="00DD4788" w:rsidRDefault="00DD4788">
      <w:pPr>
        <w:spacing w:line="360" w:lineRule="auto"/>
        <w:jc w:val="both"/>
        <w:rPr>
          <w:rtl/>
        </w:rPr>
      </w:pPr>
    </w:p>
    <w:p w14:paraId="42C2294C" w14:textId="77777777" w:rsidR="00DD4788" w:rsidRDefault="00DB1D1F">
      <w:pPr>
        <w:spacing w:line="360" w:lineRule="auto"/>
        <w:ind w:left="1440" w:right="1440"/>
        <w:jc w:val="both"/>
        <w:rPr>
          <w:rFonts w:cs="FrankRuehl"/>
          <w:rtl/>
        </w:rPr>
      </w:pPr>
      <w:r>
        <w:rPr>
          <w:rFonts w:cs="FrankRuehl"/>
          <w:rtl/>
        </w:rPr>
        <w:t xml:space="preserve">"...יש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p>
    <w:p w14:paraId="2DB7150A" w14:textId="77777777" w:rsidR="00DD4788" w:rsidRDefault="00DB1D1F">
      <w:pPr>
        <w:spacing w:line="360" w:lineRule="auto"/>
        <w:ind w:left="1440" w:right="1440"/>
        <w:jc w:val="both"/>
        <w:rPr>
          <w:rFonts w:cs="FrankRuehl"/>
          <w:rtl/>
        </w:rPr>
      </w:pPr>
      <w:r>
        <w:rPr>
          <w:rFonts w:cs="FrankRuehl"/>
          <w:rtl/>
        </w:rPr>
        <w:t>[</w:t>
      </w:r>
      <w:hyperlink r:id="rId12" w:history="1">
        <w:r w:rsidRPr="00DB1D1F">
          <w:rPr>
            <w:rFonts w:cs="FrankRuehl"/>
            <w:color w:val="0000FF"/>
            <w:u w:val="single"/>
            <w:rtl/>
          </w:rPr>
          <w:t>ע"פ 3306/00</w:t>
        </w:r>
      </w:hyperlink>
      <w:r>
        <w:rPr>
          <w:rFonts w:cs="FrankRuehl"/>
          <w:rtl/>
        </w:rPr>
        <w:t xml:space="preserve"> </w:t>
      </w:r>
      <w:r>
        <w:rPr>
          <w:rFonts w:cs="FrankRuehl"/>
          <w:b/>
          <w:bCs/>
          <w:rtl/>
        </w:rPr>
        <w:t>אבוסנינה נ' מדינת ישראל</w:t>
      </w:r>
      <w:r>
        <w:rPr>
          <w:rFonts w:cs="FrankRuehl"/>
          <w:rtl/>
        </w:rPr>
        <w:t xml:space="preserve"> (2000).</w:t>
      </w:r>
    </w:p>
    <w:p w14:paraId="63AEDE99" w14:textId="77777777" w:rsidR="00DD4788" w:rsidRDefault="00DD4788">
      <w:pPr>
        <w:spacing w:line="360" w:lineRule="auto"/>
        <w:jc w:val="both"/>
        <w:rPr>
          <w:rFonts w:cs="FrankRuehl"/>
          <w:rtl/>
        </w:rPr>
      </w:pPr>
    </w:p>
    <w:p w14:paraId="469E75BD" w14:textId="77777777" w:rsidR="00DD4788" w:rsidRDefault="00DB1D1F">
      <w:pPr>
        <w:numPr>
          <w:ilvl w:val="0"/>
          <w:numId w:val="1"/>
        </w:numPr>
        <w:spacing w:line="360" w:lineRule="auto"/>
        <w:ind w:left="0" w:firstLine="0"/>
        <w:jc w:val="both"/>
        <w:rPr>
          <w:rtl/>
        </w:rPr>
      </w:pPr>
      <w:r>
        <w:rPr>
          <w:rtl/>
        </w:rPr>
        <w:t xml:space="preserve">המציאות הביטחונית השוררת בישראל וזמינותם של כלי הנשק החמים, מצדיקה אף היא החמרה בענישה [ראו והשוו ע"פ 1332/04 </w:t>
      </w:r>
      <w:r>
        <w:rPr>
          <w:b/>
          <w:bCs/>
          <w:rtl/>
        </w:rPr>
        <w:t>מדינת ישראל נ' פס</w:t>
      </w:r>
      <w:r>
        <w:rPr>
          <w:rtl/>
        </w:rPr>
        <w:t xml:space="preserve">, פ"ד נח(5) 541 (2004)]. </w:t>
      </w:r>
    </w:p>
    <w:p w14:paraId="4817AB8D" w14:textId="77777777" w:rsidR="00DD4788" w:rsidRDefault="00DD4788">
      <w:pPr>
        <w:spacing w:line="360" w:lineRule="auto"/>
        <w:ind w:left="720"/>
        <w:jc w:val="both"/>
        <w:rPr>
          <w:rtl/>
        </w:rPr>
      </w:pPr>
    </w:p>
    <w:p w14:paraId="4F1D1C89" w14:textId="77777777" w:rsidR="00DD4788" w:rsidRDefault="00DB1D1F">
      <w:pPr>
        <w:numPr>
          <w:ilvl w:val="0"/>
          <w:numId w:val="1"/>
        </w:numPr>
        <w:spacing w:line="360" w:lineRule="auto"/>
        <w:ind w:left="0" w:firstLine="0"/>
        <w:jc w:val="both"/>
      </w:pPr>
      <w:r>
        <w:rPr>
          <w:rtl/>
        </w:rPr>
        <w:t xml:space="preserve">בהתחשב באמור לעיל, בעובדה כי הנאשם החזיק כאמור שני כלי נשק התקפיים, מחסניות, שלל כדורים ואביזרים נלווים, וברמת הענישה הנוהגת במקרים דומים, אני קובע כי מתחם העונש ההולם מקרה זה הוא בין 12 חודשי מאסר בפועל ועד 36 חודשי מאסר, וזאת כעונש עיקרי. </w:t>
      </w:r>
    </w:p>
    <w:p w14:paraId="2ADC8538" w14:textId="77777777" w:rsidR="00DD4788" w:rsidRDefault="00DD4788">
      <w:pPr>
        <w:spacing w:line="360" w:lineRule="auto"/>
        <w:jc w:val="both"/>
        <w:rPr>
          <w:rtl/>
        </w:rPr>
      </w:pPr>
    </w:p>
    <w:p w14:paraId="68EF79D3" w14:textId="77777777" w:rsidR="00DD4788" w:rsidRDefault="00DB1D1F">
      <w:pPr>
        <w:numPr>
          <w:ilvl w:val="0"/>
          <w:numId w:val="1"/>
        </w:numPr>
        <w:spacing w:line="360" w:lineRule="auto"/>
        <w:ind w:left="0" w:firstLine="0"/>
        <w:jc w:val="both"/>
      </w:pPr>
      <w:r>
        <w:rPr>
          <w:rtl/>
        </w:rPr>
        <w:t>משלא הוצגו לי שיקולי שיקום שיצדיקו חריגה ממתחם העונש ההולם (</w:t>
      </w:r>
      <w:r>
        <w:rPr>
          <w:rFonts w:hint="cs"/>
          <w:rtl/>
        </w:rPr>
        <w:t>אציין בהקשר זה כי איני מקבל את טענות ב"כ הנאשם ביחס לעבודתו של שרות המבחן ולא מצאתי בעבודה זו כל דופי)</w:t>
      </w:r>
      <w:r>
        <w:rPr>
          <w:rtl/>
        </w:rPr>
        <w:t xml:space="preserve"> עליי לגזור את עונשו של הנאשם בתוך המתחם.</w:t>
      </w:r>
    </w:p>
    <w:p w14:paraId="4621949B" w14:textId="77777777" w:rsidR="00DD4788" w:rsidRDefault="00DD4788">
      <w:pPr>
        <w:spacing w:line="360" w:lineRule="auto"/>
        <w:jc w:val="both"/>
      </w:pPr>
    </w:p>
    <w:p w14:paraId="114EC8F1" w14:textId="77777777" w:rsidR="00DD4788" w:rsidRDefault="00DB1D1F">
      <w:pPr>
        <w:numPr>
          <w:ilvl w:val="0"/>
          <w:numId w:val="1"/>
        </w:numPr>
        <w:spacing w:line="360" w:lineRule="auto"/>
        <w:ind w:left="0" w:firstLine="0"/>
        <w:jc w:val="both"/>
      </w:pPr>
      <w:r>
        <w:rPr>
          <w:rtl/>
        </w:rPr>
        <w:t xml:space="preserve">במקרה דנן מתקיימים נתונים שיש בכוחם למתן את אורך תקופת המאסר לה ראוי הנאשם. </w:t>
      </w:r>
      <w:r>
        <w:rPr>
          <w:u w:val="single"/>
          <w:rtl/>
        </w:rPr>
        <w:t>בראש ובראשונה</w:t>
      </w:r>
      <w:r>
        <w:rPr>
          <w:rtl/>
        </w:rPr>
        <w:t xml:space="preserve"> יש לזקוף לזכותו של הנאשם את הודאתו בעובדות כתב האישום ואת החיסכון בזמן שיפוטי</w:t>
      </w:r>
      <w:r>
        <w:rPr>
          <w:rFonts w:hint="cs"/>
          <w:rtl/>
        </w:rPr>
        <w:t xml:space="preserve"> (וזאת הגם שלא נטל אחריות מלאה למעשיו, וכעולה מהתסקיר הסתבך במסירת גרסאות סותרות ביחס למקור הנשק)</w:t>
      </w:r>
      <w:r>
        <w:rPr>
          <w:rtl/>
        </w:rPr>
        <w:t xml:space="preserve">. </w:t>
      </w:r>
      <w:r>
        <w:rPr>
          <w:u w:val="single"/>
          <w:rtl/>
        </w:rPr>
        <w:t>שנית,</w:t>
      </w:r>
      <w:r>
        <w:rPr>
          <w:rtl/>
        </w:rPr>
        <w:t xml:space="preserve"> מדובר באדם ללא עבר פלילי שזה לו מאסרו הראשון. </w:t>
      </w:r>
      <w:r>
        <w:rPr>
          <w:u w:val="single"/>
          <w:rtl/>
        </w:rPr>
        <w:t>שלישית,</w:t>
      </w:r>
      <w:r>
        <w:rPr>
          <w:rtl/>
        </w:rPr>
        <w:t xml:space="preserve"> הנאשם היה עצור במשך כחודשיים ימים ולמעלה משנה נתון הוא במעצר בית. </w:t>
      </w:r>
      <w:r>
        <w:rPr>
          <w:u w:val="single"/>
          <w:rtl/>
        </w:rPr>
        <w:t>רביעית,</w:t>
      </w:r>
      <w:r>
        <w:rPr>
          <w:rtl/>
        </w:rPr>
        <w:t xml:space="preserve"> הנאשם הוא אב לתינוק כבן שנה ומצפה לילד נוסף כאשר אשתו נמצאת בהריון בסיכון.</w:t>
      </w:r>
    </w:p>
    <w:p w14:paraId="167F75BC" w14:textId="77777777" w:rsidR="00DD4788" w:rsidRDefault="00DD4788">
      <w:pPr>
        <w:spacing w:line="360" w:lineRule="auto"/>
        <w:jc w:val="both"/>
        <w:rPr>
          <w:rtl/>
        </w:rPr>
      </w:pPr>
    </w:p>
    <w:p w14:paraId="32D458E8" w14:textId="77777777" w:rsidR="00DD4788" w:rsidRDefault="00DB1D1F">
      <w:pPr>
        <w:numPr>
          <w:ilvl w:val="0"/>
          <w:numId w:val="1"/>
        </w:numPr>
        <w:spacing w:line="360" w:lineRule="auto"/>
        <w:ind w:left="0" w:firstLine="0"/>
        <w:jc w:val="both"/>
        <w:rPr>
          <w:rtl/>
        </w:rPr>
      </w:pPr>
      <w:r>
        <w:rPr>
          <w:rtl/>
        </w:rPr>
        <w:t>לאחר שנתתי דעתי לאמור לעיל וליתר טענות הצדדים, החלטתי לגזור על הנאשם את העונשים הבאים:</w:t>
      </w:r>
    </w:p>
    <w:p w14:paraId="17638B2F" w14:textId="77777777" w:rsidR="00DD4788" w:rsidRDefault="00DD4788">
      <w:pPr>
        <w:spacing w:line="360" w:lineRule="auto"/>
        <w:ind w:left="720"/>
        <w:jc w:val="both"/>
        <w:rPr>
          <w:rtl/>
        </w:rPr>
      </w:pPr>
    </w:p>
    <w:p w14:paraId="60DF47D0" w14:textId="77777777" w:rsidR="00DD4788" w:rsidRDefault="00DB1D1F">
      <w:pPr>
        <w:spacing w:line="360" w:lineRule="auto"/>
        <w:ind w:left="720"/>
        <w:jc w:val="both"/>
        <w:rPr>
          <w:rtl/>
        </w:rPr>
      </w:pPr>
      <w:r>
        <w:rPr>
          <w:rtl/>
        </w:rPr>
        <w:t>א. מאסר בפועל בין 14 חודשים, בניכוי ימי מעצרו של הנאשם מיום 13.7.2014 ועד ליום 18.9.2014.</w:t>
      </w:r>
    </w:p>
    <w:p w14:paraId="70D2EA2D" w14:textId="77777777" w:rsidR="00DD4788" w:rsidRDefault="00DD4788">
      <w:pPr>
        <w:spacing w:line="360" w:lineRule="auto"/>
        <w:ind w:left="720"/>
        <w:jc w:val="both"/>
        <w:rPr>
          <w:rtl/>
        </w:rPr>
      </w:pPr>
    </w:p>
    <w:p w14:paraId="666EA49A" w14:textId="77777777" w:rsidR="00DD4788" w:rsidRDefault="00DB1D1F">
      <w:pPr>
        <w:spacing w:line="360" w:lineRule="auto"/>
        <w:ind w:left="720"/>
        <w:jc w:val="both"/>
        <w:rPr>
          <w:rtl/>
        </w:rPr>
      </w:pPr>
      <w:r>
        <w:rPr>
          <w:rtl/>
        </w:rPr>
        <w:t>ב. מאסר על תנאי בן 10 חודשים, והתנאי הוא כי בתקופה בת 3 שנים מיום שחרורו לא יעבור כל עבירת נשק או אלימות.</w:t>
      </w:r>
    </w:p>
    <w:p w14:paraId="3DAD8349" w14:textId="77777777" w:rsidR="00DD4788" w:rsidRDefault="00DD4788">
      <w:pPr>
        <w:spacing w:line="360" w:lineRule="auto"/>
        <w:ind w:left="720"/>
        <w:jc w:val="both"/>
        <w:rPr>
          <w:rtl/>
        </w:rPr>
      </w:pPr>
    </w:p>
    <w:p w14:paraId="44924B1B" w14:textId="77777777" w:rsidR="00DD4788" w:rsidRDefault="00DB1D1F">
      <w:pPr>
        <w:spacing w:line="360" w:lineRule="auto"/>
        <w:ind w:left="720"/>
        <w:jc w:val="both"/>
        <w:rPr>
          <w:rtl/>
        </w:rPr>
      </w:pPr>
      <w:r>
        <w:rPr>
          <w:rtl/>
        </w:rPr>
        <w:t>ג. קנס בסך 3,000 ₪ או 30 ימי מאסר תמורתו. הקנס</w:t>
      </w:r>
      <w:r>
        <w:rPr>
          <w:rFonts w:hint="cs"/>
          <w:rtl/>
        </w:rPr>
        <w:t xml:space="preserve"> </w:t>
      </w:r>
      <w:r>
        <w:rPr>
          <w:rtl/>
        </w:rPr>
        <w:t xml:space="preserve"> ישתלם בעשרה (10) תשלומים חודשיים, שווים ורצופים, החל ביום 1.12.2015.</w:t>
      </w:r>
    </w:p>
    <w:p w14:paraId="3B581E81" w14:textId="77777777" w:rsidR="00DD4788" w:rsidRDefault="00DD4788">
      <w:pPr>
        <w:bidi w:val="0"/>
        <w:rPr>
          <w:b/>
          <w:bCs/>
          <w:rtl/>
        </w:rPr>
      </w:pPr>
    </w:p>
    <w:p w14:paraId="3E971095" w14:textId="77777777" w:rsidR="00DD4788" w:rsidRDefault="00DB1D1F">
      <w:pPr>
        <w:spacing w:line="360" w:lineRule="auto"/>
        <w:jc w:val="both"/>
        <w:rPr>
          <w:b/>
          <w:bCs/>
          <w:rtl/>
        </w:rPr>
      </w:pPr>
      <w:r>
        <w:rPr>
          <w:b/>
          <w:bCs/>
          <w:rtl/>
        </w:rPr>
        <w:t>זכות ערעור לבית המשפט המחוזי תוך 45 יום.</w:t>
      </w:r>
    </w:p>
    <w:p w14:paraId="4463F62D" w14:textId="77777777" w:rsidR="00DD4788" w:rsidRDefault="00DD4788">
      <w:pPr>
        <w:rPr>
          <w:sz w:val="26"/>
          <w:szCs w:val="26"/>
          <w:rtl/>
        </w:rPr>
      </w:pPr>
    </w:p>
    <w:p w14:paraId="49E7F237" w14:textId="77777777" w:rsidR="00DD4788" w:rsidRPr="00DB1D1F" w:rsidRDefault="00DB1D1F">
      <w:pPr>
        <w:rPr>
          <w:color w:val="FFFFFF"/>
          <w:sz w:val="2"/>
          <w:szCs w:val="2"/>
          <w:rtl/>
        </w:rPr>
      </w:pPr>
      <w:r w:rsidRPr="00DB1D1F">
        <w:rPr>
          <w:color w:val="FFFFFF"/>
          <w:sz w:val="2"/>
          <w:szCs w:val="2"/>
          <w:rtl/>
        </w:rPr>
        <w:t>5129371</w:t>
      </w:r>
    </w:p>
    <w:p w14:paraId="624407F6" w14:textId="77777777" w:rsidR="00DD4788" w:rsidRPr="00DB1D1F" w:rsidRDefault="00DB1D1F">
      <w:pPr>
        <w:rPr>
          <w:color w:val="FFFFFF"/>
          <w:sz w:val="2"/>
          <w:szCs w:val="2"/>
          <w:rtl/>
        </w:rPr>
      </w:pPr>
      <w:r w:rsidRPr="00DB1D1F">
        <w:rPr>
          <w:color w:val="FFFFFF"/>
          <w:sz w:val="2"/>
          <w:szCs w:val="2"/>
          <w:rtl/>
        </w:rPr>
        <w:t>54678313</w:t>
      </w:r>
    </w:p>
    <w:p w14:paraId="66F25C5B" w14:textId="77777777" w:rsidR="00DD4788" w:rsidRDefault="00DB1D1F">
      <w:pPr>
        <w:rPr>
          <w:sz w:val="28"/>
          <w:szCs w:val="28"/>
          <w:rtl/>
        </w:rPr>
      </w:pPr>
      <w:r>
        <w:rPr>
          <w:rFonts w:ascii="Arial" w:hAnsi="Arial"/>
          <w:sz w:val="26"/>
          <w:szCs w:val="26"/>
          <w:rtl/>
        </w:rPr>
        <w:t xml:space="preserve">ניתן היום,  ט"ו חשוון תשע"ו, 28 אוקטובר 2015, במעמד הנוכחים. </w:t>
      </w:r>
    </w:p>
    <w:p w14:paraId="7ACDEFCA" w14:textId="77777777" w:rsidR="00DD4788" w:rsidRDefault="00DB1D1F">
      <w:pPr>
        <w:jc w:val="center"/>
      </w:pPr>
      <w:r>
        <w:rPr>
          <w:rFonts w:ascii="Arial" w:hAnsi="Arial" w:hint="cs"/>
          <w:sz w:val="28"/>
          <w:szCs w:val="28"/>
          <w:rtl/>
        </w:rPr>
        <w:t xml:space="preserve">                                                                         </w:t>
      </w:r>
    </w:p>
    <w:p w14:paraId="49750554" w14:textId="77777777" w:rsidR="00DB1D1F" w:rsidRPr="00DB1D1F" w:rsidRDefault="00DB1D1F" w:rsidP="00DB1D1F">
      <w:pPr>
        <w:keepNext/>
        <w:rPr>
          <w:rFonts w:ascii="David" w:hAnsi="David"/>
          <w:color w:val="000000"/>
          <w:sz w:val="22"/>
          <w:szCs w:val="22"/>
          <w:rtl/>
        </w:rPr>
      </w:pPr>
    </w:p>
    <w:p w14:paraId="295A458D" w14:textId="77777777" w:rsidR="00DB1D1F" w:rsidRPr="00DB1D1F" w:rsidRDefault="00DB1D1F" w:rsidP="00DB1D1F">
      <w:pPr>
        <w:keepNext/>
        <w:rPr>
          <w:rFonts w:ascii="David" w:hAnsi="David"/>
          <w:color w:val="000000"/>
          <w:sz w:val="22"/>
          <w:szCs w:val="22"/>
          <w:rtl/>
        </w:rPr>
      </w:pPr>
      <w:r w:rsidRPr="00DB1D1F">
        <w:rPr>
          <w:rFonts w:ascii="David" w:hAnsi="David"/>
          <w:color w:val="000000"/>
          <w:sz w:val="22"/>
          <w:szCs w:val="22"/>
          <w:rtl/>
        </w:rPr>
        <w:t>מיכאל קרשן 54678313</w:t>
      </w:r>
    </w:p>
    <w:p w14:paraId="072B0A7E" w14:textId="77777777" w:rsidR="00DB1D1F" w:rsidRDefault="00DB1D1F" w:rsidP="00DB1D1F">
      <w:r w:rsidRPr="00DB1D1F">
        <w:rPr>
          <w:color w:val="000000"/>
          <w:rtl/>
        </w:rPr>
        <w:t>נוסח מסמך זה כפוף לשינויי ניסוח ועריכה</w:t>
      </w:r>
    </w:p>
    <w:p w14:paraId="193E3634" w14:textId="77777777" w:rsidR="00DB1D1F" w:rsidRDefault="00DB1D1F" w:rsidP="00DB1D1F">
      <w:pPr>
        <w:rPr>
          <w:rtl/>
        </w:rPr>
      </w:pPr>
    </w:p>
    <w:p w14:paraId="02B225BD" w14:textId="77777777" w:rsidR="00DD4788" w:rsidRPr="00DB1D1F" w:rsidRDefault="00DB1D1F" w:rsidP="00483AB1">
      <w:pPr>
        <w:jc w:val="center"/>
        <w:rPr>
          <w:rFonts w:hint="cs"/>
          <w:color w:val="0000FF"/>
          <w:u w:val="single"/>
        </w:rPr>
      </w:pPr>
      <w:hyperlink r:id="rId13" w:history="1">
        <w:r>
          <w:rPr>
            <w:color w:val="0000FF"/>
            <w:u w:val="single"/>
            <w:rtl/>
          </w:rPr>
          <w:t>בעניין עריכה ושינויים במסמכי פסיקה, חקיקה ועוד באתר נבו – הקש כאן</w:t>
        </w:r>
      </w:hyperlink>
    </w:p>
    <w:sectPr w:rsidR="00DD4788" w:rsidRPr="00DB1D1F" w:rsidSect="00DB1D1F">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F1D1E" w14:textId="77777777" w:rsidR="002D692A" w:rsidRDefault="002D692A">
      <w:r>
        <w:separator/>
      </w:r>
    </w:p>
  </w:endnote>
  <w:endnote w:type="continuationSeparator" w:id="0">
    <w:p w14:paraId="166D93A0" w14:textId="77777777" w:rsidR="002D692A" w:rsidRDefault="002D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59EC2" w14:textId="77777777" w:rsidR="002D692A" w:rsidRDefault="002D692A" w:rsidP="00DB1D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C85ADC" w14:textId="77777777" w:rsidR="002D692A" w:rsidRPr="00DB1D1F" w:rsidRDefault="002D692A" w:rsidP="00DB1D1F">
    <w:pPr>
      <w:pStyle w:val="a4"/>
      <w:pBdr>
        <w:top w:val="single" w:sz="4" w:space="1" w:color="auto"/>
        <w:between w:val="single" w:sz="4" w:space="0" w:color="auto"/>
      </w:pBdr>
      <w:spacing w:after="60"/>
      <w:jc w:val="center"/>
      <w:rPr>
        <w:rFonts w:ascii="FrankRuehl" w:hAnsi="FrankRuehl" w:cs="FrankRuehl"/>
        <w:color w:val="000000"/>
      </w:rPr>
    </w:pPr>
    <w:r w:rsidRPr="00DB1D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D2302" w14:textId="77777777" w:rsidR="002D692A" w:rsidRDefault="002D692A" w:rsidP="00DB1D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48B6">
      <w:rPr>
        <w:rFonts w:ascii="FrankRuehl" w:hAnsi="FrankRuehl" w:cs="FrankRuehl"/>
        <w:noProof/>
        <w:rtl/>
      </w:rPr>
      <w:t>1</w:t>
    </w:r>
    <w:r>
      <w:rPr>
        <w:rFonts w:ascii="FrankRuehl" w:hAnsi="FrankRuehl" w:cs="FrankRuehl"/>
        <w:rtl/>
      </w:rPr>
      <w:fldChar w:fldCharType="end"/>
    </w:r>
  </w:p>
  <w:p w14:paraId="4B24D64C" w14:textId="77777777" w:rsidR="002D692A" w:rsidRPr="00DB1D1F" w:rsidRDefault="002D692A" w:rsidP="00DB1D1F">
    <w:pPr>
      <w:pStyle w:val="a4"/>
      <w:pBdr>
        <w:top w:val="single" w:sz="4" w:space="1" w:color="auto"/>
        <w:between w:val="single" w:sz="4" w:space="0" w:color="auto"/>
      </w:pBdr>
      <w:spacing w:after="60"/>
      <w:jc w:val="center"/>
      <w:rPr>
        <w:rFonts w:ascii="FrankRuehl" w:hAnsi="FrankRuehl" w:cs="FrankRuehl"/>
        <w:color w:val="000000"/>
      </w:rPr>
    </w:pPr>
    <w:r w:rsidRPr="00DB1D1F">
      <w:rPr>
        <w:rFonts w:ascii="FrankRuehl" w:hAnsi="FrankRuehl" w:cs="FrankRuehl"/>
        <w:color w:val="000000"/>
      </w:rPr>
      <w:pict w14:anchorId="45977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1ED03" w14:textId="77777777" w:rsidR="002D692A" w:rsidRDefault="002D692A">
      <w:r>
        <w:separator/>
      </w:r>
    </w:p>
  </w:footnote>
  <w:footnote w:type="continuationSeparator" w:id="0">
    <w:p w14:paraId="47E28ED9" w14:textId="77777777" w:rsidR="002D692A" w:rsidRDefault="002D6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981CA" w14:textId="77777777" w:rsidR="002D692A" w:rsidRPr="00DB1D1F" w:rsidRDefault="002D692A" w:rsidP="00DB1D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41873-07-14</w:t>
    </w:r>
    <w:r>
      <w:rPr>
        <w:rFonts w:ascii="David" w:hAnsi="David"/>
        <w:color w:val="000000"/>
        <w:sz w:val="22"/>
        <w:szCs w:val="22"/>
        <w:rtl/>
      </w:rPr>
      <w:tab/>
      <w:t xml:space="preserve"> מדינת ישראל נ' שאכר עבד אל רחים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D7110" w14:textId="77777777" w:rsidR="002D692A" w:rsidRPr="00DB1D1F" w:rsidRDefault="002D692A" w:rsidP="00DB1D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41873-07-14</w:t>
    </w:r>
    <w:r>
      <w:rPr>
        <w:rFonts w:ascii="David" w:hAnsi="David"/>
        <w:color w:val="000000"/>
        <w:sz w:val="22"/>
        <w:szCs w:val="22"/>
        <w:rtl/>
      </w:rPr>
      <w:tab/>
      <w:t xml:space="preserve"> מדינת ישראל נ' שאכר עבד אל רחים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B6074"/>
    <w:multiLevelType w:val="hybridMultilevel"/>
    <w:tmpl w:val="2C76F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326097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4788"/>
    <w:rsid w:val="00223E71"/>
    <w:rsid w:val="002D692A"/>
    <w:rsid w:val="00483AB1"/>
    <w:rsid w:val="009D48B6"/>
    <w:rsid w:val="00AE5D2C"/>
    <w:rsid w:val="00DB1D1F"/>
    <w:rsid w:val="00DD4788"/>
    <w:rsid w:val="00E34513"/>
    <w:rsid w:val="00FC0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023651"/>
  <w15:chartTrackingRefBased/>
  <w15:docId w15:val="{8C6006C1-9E1F-48DF-8F58-960FA814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478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4788"/>
    <w:pPr>
      <w:tabs>
        <w:tab w:val="center" w:pos="4153"/>
        <w:tab w:val="right" w:pos="8306"/>
      </w:tabs>
    </w:pPr>
  </w:style>
  <w:style w:type="paragraph" w:styleId="a4">
    <w:name w:val="footer"/>
    <w:basedOn w:val="a"/>
    <w:rsid w:val="00DD4788"/>
    <w:pPr>
      <w:tabs>
        <w:tab w:val="center" w:pos="4153"/>
        <w:tab w:val="right" w:pos="8306"/>
      </w:tabs>
    </w:pPr>
  </w:style>
  <w:style w:type="character" w:styleId="a5">
    <w:name w:val="page number"/>
    <w:basedOn w:val="a0"/>
    <w:rsid w:val="00DD4788"/>
  </w:style>
  <w:style w:type="paragraph" w:customStyle="1" w:styleId="ListParagraph">
    <w:name w:val="List Paragraph"/>
    <w:basedOn w:val="a"/>
    <w:rsid w:val="00DD4788"/>
    <w:pPr>
      <w:ind w:left="720"/>
      <w:contextualSpacing/>
    </w:pPr>
  </w:style>
  <w:style w:type="character" w:styleId="Hyperlink">
    <w:name w:val="Hyperlink"/>
    <w:basedOn w:val="a0"/>
    <w:rsid w:val="00DB1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588782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5240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996</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5968</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3276921</vt:i4>
      </vt:variant>
      <vt:variant>
        <vt:i4>15</vt:i4>
      </vt:variant>
      <vt:variant>
        <vt:i4>0</vt:i4>
      </vt:variant>
      <vt:variant>
        <vt:i4>5</vt:i4>
      </vt:variant>
      <vt:variant>
        <vt:lpwstr>http://www.nevo.co.il/case/5887827</vt:lpwstr>
      </vt:variant>
      <vt:variant>
        <vt:lpwstr/>
      </vt:variant>
      <vt:variant>
        <vt:i4>3145854</vt:i4>
      </vt:variant>
      <vt:variant>
        <vt:i4>12</vt:i4>
      </vt:variant>
      <vt:variant>
        <vt:i4>0</vt:i4>
      </vt:variant>
      <vt:variant>
        <vt:i4>5</vt:i4>
      </vt:variant>
      <vt:variant>
        <vt:lpwstr>http://www.nevo.co.il/case/5852404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41873</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שאכר עבד אל רחים</vt:lpwstr>
  </property>
  <property fmtid="{D5CDD505-2E9C-101B-9397-08002B2CF9AE}" pid="10" name="LAWYER">
    <vt:lpwstr>טלי קרת נעמה תור זאבי;מיכל רייכמן</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20151028</vt:lpwstr>
  </property>
  <property fmtid="{D5CDD505-2E9C-101B-9397-08002B2CF9AE}" pid="14" name="TYPE_N_DATE">
    <vt:lpwstr>38020151028</vt:lpwstr>
  </property>
  <property fmtid="{D5CDD505-2E9C-101B-9397-08002B2CF9AE}" pid="15" name="CASESLISTTMP1">
    <vt:lpwstr>5852404;5887827</vt:lpwstr>
  </property>
  <property fmtid="{D5CDD505-2E9C-101B-9397-08002B2CF9AE}" pid="16" name="CASENOTES1">
    <vt:lpwstr>ProcID=133;209&amp;PartA=1332&amp;PartC=04</vt:lpwstr>
  </property>
  <property fmtid="{D5CDD505-2E9C-101B-9397-08002B2CF9AE}" pid="17" name="WORDNUMPAGES">
    <vt:lpwstr>4</vt:lpwstr>
  </property>
  <property fmtid="{D5CDD505-2E9C-101B-9397-08002B2CF9AE}" pid="18" name="TYPE_ABS_DATE">
    <vt:lpwstr>380020151028</vt:lpwstr>
  </property>
  <property fmtid="{D5CDD505-2E9C-101B-9397-08002B2CF9AE}" pid="19" name="ISABSTRACT">
    <vt:lpwstr>Y</vt:lpwstr>
  </property>
  <property fmtid="{D5CDD505-2E9C-101B-9397-08002B2CF9AE}" pid="20" name="LAWLISTTMP1">
    <vt:lpwstr>70301/144.a</vt:lpwstr>
  </property>
</Properties>
</file>