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C4E4D" w:rsidRPr="000109B1" w14:paraId="4830ECDF" w14:textId="77777777" w:rsidTr="00E6176A">
        <w:trPr>
          <w:trHeight w:hRule="exact" w:val="418"/>
          <w:jc w:val="center"/>
        </w:trPr>
        <w:tc>
          <w:tcPr>
            <w:tcW w:w="8721" w:type="dxa"/>
            <w:gridSpan w:val="2"/>
          </w:tcPr>
          <w:p w14:paraId="59CDD353" w14:textId="77777777" w:rsidR="00DC4E4D" w:rsidRPr="000109B1" w:rsidRDefault="000D6720">
            <w:pPr>
              <w:pStyle w:val="a3"/>
              <w:jc w:val="center"/>
              <w:rPr>
                <w:rFonts w:ascii="Tahoma" w:hAnsi="Tahoma" w:cs="Tahoma"/>
                <w:color w:val="000080"/>
                <w:rtl/>
              </w:rPr>
            </w:pPr>
            <w:bookmarkStart w:id="0" w:name="LastJudge"/>
            <w:r w:rsidRPr="000109B1">
              <w:rPr>
                <w:rFonts w:ascii="Tahoma" w:hAnsi="Tahoma" w:cs="Tahoma"/>
                <w:b/>
                <w:bCs/>
                <w:color w:val="000080"/>
                <w:rtl/>
              </w:rPr>
              <w:t>בית משפט השלום בירושלים</w:t>
            </w:r>
          </w:p>
        </w:tc>
      </w:tr>
      <w:tr w:rsidR="00DC4E4D" w:rsidRPr="000109B1" w14:paraId="4370FAC5" w14:textId="77777777" w:rsidTr="00E6176A">
        <w:trPr>
          <w:trHeight w:val="337"/>
          <w:jc w:val="center"/>
        </w:trPr>
        <w:tc>
          <w:tcPr>
            <w:tcW w:w="5054" w:type="dxa"/>
          </w:tcPr>
          <w:p w14:paraId="17FBF910" w14:textId="77777777" w:rsidR="00DC4E4D" w:rsidRPr="000109B1" w:rsidRDefault="000D6720">
            <w:pPr>
              <w:rPr>
                <w:rFonts w:cs="FrankRuehl"/>
                <w:sz w:val="28"/>
                <w:szCs w:val="28"/>
                <w:rtl/>
              </w:rPr>
            </w:pPr>
            <w:r w:rsidRPr="000109B1">
              <w:rPr>
                <w:rFonts w:cs="FrankRuehl"/>
                <w:sz w:val="28"/>
                <w:szCs w:val="28"/>
                <w:rtl/>
              </w:rPr>
              <w:t>ת"פ</w:t>
            </w:r>
            <w:r w:rsidRPr="000109B1">
              <w:rPr>
                <w:rFonts w:cs="FrankRuehl" w:hint="cs"/>
                <w:sz w:val="28"/>
                <w:szCs w:val="28"/>
                <w:rtl/>
              </w:rPr>
              <w:t xml:space="preserve"> </w:t>
            </w:r>
            <w:r w:rsidRPr="000109B1">
              <w:rPr>
                <w:rFonts w:cs="FrankRuehl"/>
                <w:sz w:val="28"/>
                <w:szCs w:val="28"/>
                <w:rtl/>
              </w:rPr>
              <w:t>16047-09-14</w:t>
            </w:r>
            <w:r w:rsidRPr="000109B1">
              <w:rPr>
                <w:rFonts w:cs="FrankRuehl" w:hint="cs"/>
                <w:sz w:val="28"/>
                <w:szCs w:val="28"/>
                <w:rtl/>
              </w:rPr>
              <w:t xml:space="preserve"> </w:t>
            </w:r>
            <w:r w:rsidRPr="000109B1">
              <w:rPr>
                <w:rFonts w:cs="FrankRuehl"/>
                <w:sz w:val="28"/>
                <w:szCs w:val="28"/>
                <w:rtl/>
              </w:rPr>
              <w:t>מדינת ישראל נ' סיניצקי</w:t>
            </w:r>
          </w:p>
          <w:p w14:paraId="388E8A51" w14:textId="77777777" w:rsidR="00DC4E4D" w:rsidRPr="000109B1" w:rsidRDefault="00DC4E4D">
            <w:pPr>
              <w:pStyle w:val="a3"/>
              <w:rPr>
                <w:rFonts w:cs="FrankRuehl"/>
                <w:sz w:val="28"/>
                <w:szCs w:val="28"/>
                <w:rtl/>
              </w:rPr>
            </w:pPr>
          </w:p>
        </w:tc>
        <w:tc>
          <w:tcPr>
            <w:tcW w:w="3667" w:type="dxa"/>
          </w:tcPr>
          <w:p w14:paraId="4F5D2569" w14:textId="77777777" w:rsidR="00DC4E4D" w:rsidRPr="000109B1" w:rsidRDefault="00DC4E4D">
            <w:pPr>
              <w:pStyle w:val="a3"/>
              <w:jc w:val="right"/>
              <w:rPr>
                <w:rFonts w:cs="FrankRuehl"/>
                <w:sz w:val="28"/>
                <w:szCs w:val="28"/>
                <w:rtl/>
              </w:rPr>
            </w:pPr>
          </w:p>
        </w:tc>
      </w:tr>
    </w:tbl>
    <w:p w14:paraId="6051384C" w14:textId="77777777" w:rsidR="00DC4E4D" w:rsidRPr="000109B1" w:rsidRDefault="000D6720">
      <w:pPr>
        <w:pStyle w:val="a3"/>
        <w:rPr>
          <w:rtl/>
        </w:rPr>
      </w:pPr>
      <w:r w:rsidRPr="000109B1">
        <w:rPr>
          <w:rFonts w:hint="cs"/>
          <w:rtl/>
        </w:rPr>
        <w:t xml:space="preserve"> </w:t>
      </w:r>
    </w:p>
    <w:p w14:paraId="26E9A88F" w14:textId="77777777" w:rsidR="00DC4E4D" w:rsidRPr="000109B1" w:rsidRDefault="00DC4E4D">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054"/>
        <w:gridCol w:w="1843"/>
      </w:tblGrid>
      <w:tr w:rsidR="00DC4E4D" w:rsidRPr="000109B1" w14:paraId="5265498F" w14:textId="77777777">
        <w:trPr>
          <w:trHeight w:val="295"/>
          <w:jc w:val="center"/>
        </w:trPr>
        <w:tc>
          <w:tcPr>
            <w:tcW w:w="923" w:type="dxa"/>
            <w:tcBorders>
              <w:top w:val="nil"/>
              <w:left w:val="nil"/>
              <w:bottom w:val="nil"/>
              <w:right w:val="nil"/>
            </w:tcBorders>
            <w:shd w:val="clear" w:color="auto" w:fill="auto"/>
          </w:tcPr>
          <w:p w14:paraId="6CF42D78" w14:textId="77777777" w:rsidR="00DC4E4D" w:rsidRPr="000109B1" w:rsidRDefault="000D6720">
            <w:pPr>
              <w:spacing w:line="360" w:lineRule="auto"/>
              <w:jc w:val="both"/>
              <w:rPr>
                <w:rFonts w:ascii="Arial" w:hAnsi="Arial" w:cs="FrankRuehl"/>
                <w:sz w:val="28"/>
                <w:szCs w:val="28"/>
              </w:rPr>
            </w:pPr>
            <w:r w:rsidRPr="000109B1">
              <w:rPr>
                <w:rFonts w:ascii="Arial" w:hAnsi="Arial" w:cs="FrankRuehl" w:hint="cs"/>
                <w:sz w:val="28"/>
                <w:szCs w:val="28"/>
                <w:rtl/>
              </w:rPr>
              <w:t>ב</w:t>
            </w:r>
            <w:r w:rsidRPr="000109B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E814549" w14:textId="77777777" w:rsidR="00DC4E4D" w:rsidRPr="000109B1" w:rsidRDefault="000D6720">
            <w:pPr>
              <w:spacing w:line="360" w:lineRule="auto"/>
              <w:jc w:val="both"/>
              <w:rPr>
                <w:rFonts w:ascii="Arial" w:hAnsi="Arial"/>
                <w:b/>
                <w:bCs/>
                <w:rtl/>
              </w:rPr>
            </w:pPr>
            <w:r w:rsidRPr="000109B1">
              <w:rPr>
                <w:rFonts w:ascii="Arial" w:hAnsi="Arial" w:hint="cs"/>
                <w:b/>
                <w:bCs/>
                <w:rtl/>
              </w:rPr>
              <w:t>כבוד ה</w:t>
            </w:r>
            <w:r w:rsidRPr="000109B1">
              <w:rPr>
                <w:rFonts w:hint="cs"/>
                <w:rtl/>
              </w:rPr>
              <w:t>שופט</w:t>
            </w:r>
            <w:r w:rsidRPr="000109B1">
              <w:rPr>
                <w:rFonts w:ascii="Arial" w:hAnsi="Arial" w:hint="cs"/>
                <w:b/>
                <w:bCs/>
                <w:rtl/>
              </w:rPr>
              <w:t xml:space="preserve">  </w:t>
            </w:r>
            <w:r w:rsidRPr="000109B1">
              <w:rPr>
                <w:rFonts w:hint="cs"/>
                <w:rtl/>
              </w:rPr>
              <w:t>איתן קורנהאוזר</w:t>
            </w:r>
          </w:p>
          <w:p w14:paraId="704BE28D" w14:textId="77777777" w:rsidR="00DC4E4D" w:rsidRPr="000109B1" w:rsidRDefault="00DC4E4D">
            <w:pPr>
              <w:spacing w:line="360" w:lineRule="auto"/>
              <w:jc w:val="both"/>
              <w:rPr>
                <w:rtl/>
              </w:rPr>
            </w:pPr>
          </w:p>
          <w:p w14:paraId="2A3F1DC1" w14:textId="77777777" w:rsidR="00DC4E4D" w:rsidRPr="000109B1" w:rsidRDefault="00DC4E4D">
            <w:pPr>
              <w:spacing w:line="360" w:lineRule="auto"/>
              <w:jc w:val="both"/>
              <w:rPr>
                <w:rFonts w:ascii="Arial" w:hAnsi="Arial" w:cs="FrankRuehl"/>
                <w:sz w:val="28"/>
                <w:szCs w:val="28"/>
              </w:rPr>
            </w:pPr>
          </w:p>
        </w:tc>
      </w:tr>
      <w:tr w:rsidR="00DC4E4D" w:rsidRPr="000109B1" w14:paraId="03115D56" w14:textId="77777777">
        <w:trPr>
          <w:trHeight w:val="638"/>
          <w:jc w:val="center"/>
        </w:trPr>
        <w:tc>
          <w:tcPr>
            <w:tcW w:w="923" w:type="dxa"/>
            <w:tcBorders>
              <w:top w:val="nil"/>
              <w:left w:val="nil"/>
              <w:bottom w:val="nil"/>
              <w:right w:val="nil"/>
            </w:tcBorders>
            <w:shd w:val="clear" w:color="auto" w:fill="auto"/>
          </w:tcPr>
          <w:p w14:paraId="12C3C1A1" w14:textId="77777777" w:rsidR="00DC4E4D" w:rsidRPr="000109B1" w:rsidRDefault="000D6720">
            <w:pPr>
              <w:spacing w:line="360" w:lineRule="auto"/>
              <w:jc w:val="both"/>
              <w:rPr>
                <w:rFonts w:ascii="Arial" w:hAnsi="Arial" w:cs="FrankRuehl"/>
                <w:sz w:val="28"/>
                <w:szCs w:val="28"/>
              </w:rPr>
            </w:pPr>
            <w:bookmarkStart w:id="1" w:name="FirstAppellant"/>
            <w:r w:rsidRPr="000109B1">
              <w:rPr>
                <w:rFonts w:ascii="Arial" w:hAnsi="Arial" w:cs="FrankRuehl" w:hint="cs"/>
                <w:sz w:val="28"/>
                <w:szCs w:val="28"/>
                <w:rtl/>
              </w:rPr>
              <w:t>בעניין:</w:t>
            </w:r>
          </w:p>
        </w:tc>
        <w:tc>
          <w:tcPr>
            <w:tcW w:w="6054" w:type="dxa"/>
            <w:tcBorders>
              <w:top w:val="nil"/>
              <w:left w:val="nil"/>
              <w:bottom w:val="nil"/>
              <w:right w:val="nil"/>
            </w:tcBorders>
            <w:shd w:val="clear" w:color="auto" w:fill="auto"/>
          </w:tcPr>
          <w:p w14:paraId="7AE7E652" w14:textId="77777777" w:rsidR="00DC4E4D" w:rsidRPr="000109B1" w:rsidRDefault="000D6720">
            <w:pPr>
              <w:spacing w:line="360" w:lineRule="auto"/>
              <w:jc w:val="both"/>
            </w:pPr>
            <w:r w:rsidRPr="000109B1">
              <w:rPr>
                <w:rFonts w:hint="cs"/>
                <w:rtl/>
              </w:rPr>
              <w:t>מדינת ישראל</w:t>
            </w:r>
          </w:p>
        </w:tc>
        <w:tc>
          <w:tcPr>
            <w:tcW w:w="1843" w:type="dxa"/>
            <w:tcBorders>
              <w:top w:val="nil"/>
              <w:left w:val="nil"/>
              <w:bottom w:val="nil"/>
              <w:right w:val="nil"/>
            </w:tcBorders>
            <w:shd w:val="clear" w:color="auto" w:fill="auto"/>
          </w:tcPr>
          <w:p w14:paraId="2D7BD7C5" w14:textId="77777777" w:rsidR="00DC4E4D" w:rsidRPr="000109B1" w:rsidRDefault="00DC4E4D">
            <w:pPr>
              <w:spacing w:line="360" w:lineRule="auto"/>
              <w:jc w:val="both"/>
              <w:rPr>
                <w:rFonts w:ascii="Arial" w:hAnsi="Arial" w:cs="FrankRuehl"/>
                <w:sz w:val="28"/>
                <w:szCs w:val="28"/>
              </w:rPr>
            </w:pPr>
          </w:p>
        </w:tc>
      </w:tr>
      <w:bookmarkEnd w:id="1"/>
      <w:tr w:rsidR="00DC4E4D" w:rsidRPr="000109B1" w14:paraId="628522BB" w14:textId="77777777">
        <w:trPr>
          <w:trHeight w:val="355"/>
          <w:jc w:val="center"/>
        </w:trPr>
        <w:tc>
          <w:tcPr>
            <w:tcW w:w="923" w:type="dxa"/>
            <w:tcBorders>
              <w:top w:val="nil"/>
              <w:left w:val="nil"/>
              <w:bottom w:val="nil"/>
              <w:right w:val="nil"/>
            </w:tcBorders>
            <w:shd w:val="clear" w:color="auto" w:fill="auto"/>
          </w:tcPr>
          <w:p w14:paraId="4C366BA2" w14:textId="77777777" w:rsidR="00DC4E4D" w:rsidRPr="000109B1" w:rsidRDefault="00DC4E4D">
            <w:pPr>
              <w:spacing w:line="360" w:lineRule="auto"/>
              <w:jc w:val="both"/>
              <w:rPr>
                <w:rFonts w:ascii="Arial" w:hAnsi="Arial" w:cs="FrankRuehl"/>
                <w:sz w:val="28"/>
                <w:szCs w:val="28"/>
                <w:rtl/>
              </w:rPr>
            </w:pPr>
          </w:p>
        </w:tc>
        <w:tc>
          <w:tcPr>
            <w:tcW w:w="6054" w:type="dxa"/>
            <w:tcBorders>
              <w:top w:val="nil"/>
              <w:left w:val="nil"/>
              <w:bottom w:val="nil"/>
              <w:right w:val="nil"/>
            </w:tcBorders>
            <w:shd w:val="clear" w:color="auto" w:fill="auto"/>
          </w:tcPr>
          <w:p w14:paraId="5ECBF2F4" w14:textId="77777777" w:rsidR="00DC4E4D" w:rsidRPr="000109B1" w:rsidRDefault="00DC4E4D">
            <w:pPr>
              <w:spacing w:line="360" w:lineRule="auto"/>
              <w:jc w:val="both"/>
              <w:rPr>
                <w:rtl/>
              </w:rPr>
            </w:pPr>
          </w:p>
        </w:tc>
        <w:tc>
          <w:tcPr>
            <w:tcW w:w="1843" w:type="dxa"/>
            <w:tcBorders>
              <w:top w:val="nil"/>
              <w:left w:val="nil"/>
              <w:bottom w:val="nil"/>
              <w:right w:val="nil"/>
            </w:tcBorders>
            <w:shd w:val="clear" w:color="auto" w:fill="auto"/>
          </w:tcPr>
          <w:p w14:paraId="513467F6" w14:textId="77777777" w:rsidR="00DC4E4D" w:rsidRPr="000109B1" w:rsidRDefault="000D6720">
            <w:pPr>
              <w:spacing w:line="360" w:lineRule="auto"/>
              <w:jc w:val="both"/>
              <w:rPr>
                <w:rFonts w:ascii="Arial" w:hAnsi="Arial" w:cs="FrankRuehl"/>
                <w:sz w:val="28"/>
                <w:szCs w:val="28"/>
                <w:rtl/>
              </w:rPr>
            </w:pPr>
            <w:r w:rsidRPr="000109B1">
              <w:rPr>
                <w:rFonts w:ascii="Arial" w:hAnsi="Arial" w:cs="FrankRuehl" w:hint="cs"/>
                <w:sz w:val="28"/>
                <w:szCs w:val="28"/>
                <w:rtl/>
              </w:rPr>
              <w:t>ה</w:t>
            </w:r>
            <w:r w:rsidRPr="000109B1">
              <w:rPr>
                <w:rFonts w:hint="cs"/>
                <w:rtl/>
              </w:rPr>
              <w:t>מאשימה</w:t>
            </w:r>
          </w:p>
        </w:tc>
      </w:tr>
      <w:tr w:rsidR="00DC4E4D" w:rsidRPr="000109B1" w14:paraId="078D606B" w14:textId="77777777">
        <w:trPr>
          <w:trHeight w:val="355"/>
          <w:jc w:val="center"/>
        </w:trPr>
        <w:tc>
          <w:tcPr>
            <w:tcW w:w="923" w:type="dxa"/>
            <w:tcBorders>
              <w:top w:val="nil"/>
              <w:left w:val="nil"/>
              <w:bottom w:val="nil"/>
              <w:right w:val="nil"/>
            </w:tcBorders>
            <w:shd w:val="clear" w:color="auto" w:fill="auto"/>
          </w:tcPr>
          <w:p w14:paraId="28923C06" w14:textId="77777777" w:rsidR="00DC4E4D" w:rsidRPr="000109B1" w:rsidRDefault="00DC4E4D">
            <w:pPr>
              <w:spacing w:line="360" w:lineRule="auto"/>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D156EBA" w14:textId="77777777" w:rsidR="00DC4E4D" w:rsidRPr="000109B1" w:rsidRDefault="00DC4E4D">
            <w:pPr>
              <w:spacing w:line="360" w:lineRule="auto"/>
              <w:jc w:val="both"/>
              <w:rPr>
                <w:rFonts w:ascii="Arial" w:hAnsi="Arial" w:cs="FrankRuehl"/>
                <w:b/>
                <w:bCs/>
                <w:sz w:val="28"/>
                <w:szCs w:val="28"/>
                <w:rtl/>
              </w:rPr>
            </w:pPr>
          </w:p>
          <w:p w14:paraId="0A45800F" w14:textId="77777777" w:rsidR="00DC4E4D" w:rsidRPr="000109B1" w:rsidRDefault="000D6720">
            <w:pPr>
              <w:spacing w:line="360" w:lineRule="auto"/>
              <w:jc w:val="center"/>
              <w:rPr>
                <w:rFonts w:ascii="Arial" w:hAnsi="Arial" w:cs="FrankRuehl"/>
                <w:b/>
                <w:bCs/>
                <w:sz w:val="28"/>
                <w:szCs w:val="28"/>
                <w:rtl/>
              </w:rPr>
            </w:pPr>
            <w:r w:rsidRPr="000109B1">
              <w:rPr>
                <w:rFonts w:ascii="Arial" w:hAnsi="Arial" w:cs="FrankRuehl"/>
                <w:b/>
                <w:bCs/>
                <w:sz w:val="28"/>
                <w:szCs w:val="28"/>
                <w:rtl/>
              </w:rPr>
              <w:t>נגד</w:t>
            </w:r>
          </w:p>
          <w:p w14:paraId="274E728D" w14:textId="77777777" w:rsidR="00DC4E4D" w:rsidRPr="000109B1" w:rsidRDefault="00DC4E4D">
            <w:pPr>
              <w:spacing w:line="360" w:lineRule="auto"/>
              <w:jc w:val="both"/>
              <w:rPr>
                <w:rFonts w:ascii="Arial" w:hAnsi="Arial" w:cs="FrankRuehl"/>
                <w:sz w:val="28"/>
                <w:szCs w:val="28"/>
              </w:rPr>
            </w:pPr>
          </w:p>
        </w:tc>
      </w:tr>
      <w:tr w:rsidR="00DC4E4D" w:rsidRPr="000109B1" w14:paraId="3D7917E2" w14:textId="77777777">
        <w:trPr>
          <w:trHeight w:val="355"/>
          <w:jc w:val="center"/>
        </w:trPr>
        <w:tc>
          <w:tcPr>
            <w:tcW w:w="923" w:type="dxa"/>
            <w:tcBorders>
              <w:top w:val="nil"/>
              <w:left w:val="nil"/>
              <w:bottom w:val="nil"/>
              <w:right w:val="nil"/>
            </w:tcBorders>
            <w:shd w:val="clear" w:color="auto" w:fill="auto"/>
          </w:tcPr>
          <w:p w14:paraId="55B8B080" w14:textId="77777777" w:rsidR="00DC4E4D" w:rsidRPr="000109B1" w:rsidRDefault="00DC4E4D">
            <w:pPr>
              <w:spacing w:line="360" w:lineRule="auto"/>
              <w:jc w:val="both"/>
              <w:rPr>
                <w:rFonts w:ascii="Arial" w:hAnsi="Arial" w:cs="FrankRuehl"/>
                <w:sz w:val="28"/>
                <w:szCs w:val="28"/>
                <w:rtl/>
              </w:rPr>
            </w:pPr>
          </w:p>
        </w:tc>
        <w:tc>
          <w:tcPr>
            <w:tcW w:w="6054" w:type="dxa"/>
            <w:tcBorders>
              <w:top w:val="nil"/>
              <w:left w:val="nil"/>
              <w:bottom w:val="nil"/>
              <w:right w:val="nil"/>
            </w:tcBorders>
            <w:shd w:val="clear" w:color="auto" w:fill="auto"/>
          </w:tcPr>
          <w:p w14:paraId="29581138" w14:textId="77777777" w:rsidR="00DC4E4D" w:rsidRPr="000109B1" w:rsidRDefault="000D6720">
            <w:pPr>
              <w:spacing w:line="360" w:lineRule="auto"/>
              <w:jc w:val="both"/>
              <w:rPr>
                <w:rtl/>
              </w:rPr>
            </w:pPr>
            <w:r w:rsidRPr="000109B1">
              <w:rPr>
                <w:rFonts w:hint="cs"/>
                <w:rtl/>
              </w:rPr>
              <w:t>דמיטרי סיניצקי</w:t>
            </w:r>
          </w:p>
        </w:tc>
        <w:tc>
          <w:tcPr>
            <w:tcW w:w="1843" w:type="dxa"/>
            <w:tcBorders>
              <w:top w:val="nil"/>
              <w:left w:val="nil"/>
              <w:bottom w:val="nil"/>
              <w:right w:val="nil"/>
            </w:tcBorders>
            <w:shd w:val="clear" w:color="auto" w:fill="auto"/>
          </w:tcPr>
          <w:p w14:paraId="32994858" w14:textId="77777777" w:rsidR="00DC4E4D" w:rsidRPr="000109B1" w:rsidRDefault="00DC4E4D">
            <w:pPr>
              <w:spacing w:line="360" w:lineRule="auto"/>
              <w:jc w:val="both"/>
              <w:rPr>
                <w:rFonts w:ascii="Arial" w:hAnsi="Arial" w:cs="FrankRuehl"/>
                <w:sz w:val="28"/>
                <w:szCs w:val="28"/>
              </w:rPr>
            </w:pPr>
          </w:p>
        </w:tc>
      </w:tr>
      <w:tr w:rsidR="00DC4E4D" w:rsidRPr="000109B1" w14:paraId="274D2C06" w14:textId="77777777">
        <w:trPr>
          <w:trHeight w:val="355"/>
          <w:jc w:val="center"/>
        </w:trPr>
        <w:tc>
          <w:tcPr>
            <w:tcW w:w="923" w:type="dxa"/>
            <w:tcBorders>
              <w:top w:val="nil"/>
              <w:left w:val="nil"/>
              <w:bottom w:val="nil"/>
              <w:right w:val="nil"/>
            </w:tcBorders>
            <w:shd w:val="clear" w:color="auto" w:fill="auto"/>
          </w:tcPr>
          <w:p w14:paraId="6996109E" w14:textId="77777777" w:rsidR="00DC4E4D" w:rsidRPr="000109B1" w:rsidRDefault="00DC4E4D">
            <w:pPr>
              <w:spacing w:line="360" w:lineRule="auto"/>
              <w:jc w:val="both"/>
              <w:rPr>
                <w:rFonts w:ascii="Arial" w:hAnsi="Arial" w:cs="FrankRuehl"/>
                <w:sz w:val="28"/>
                <w:szCs w:val="28"/>
                <w:rtl/>
              </w:rPr>
            </w:pPr>
          </w:p>
        </w:tc>
        <w:tc>
          <w:tcPr>
            <w:tcW w:w="6054" w:type="dxa"/>
            <w:tcBorders>
              <w:top w:val="nil"/>
              <w:left w:val="nil"/>
              <w:bottom w:val="nil"/>
              <w:right w:val="nil"/>
            </w:tcBorders>
            <w:shd w:val="clear" w:color="auto" w:fill="auto"/>
          </w:tcPr>
          <w:p w14:paraId="3D085D3B" w14:textId="77777777" w:rsidR="00DC4E4D" w:rsidRPr="000109B1" w:rsidRDefault="00DC4E4D">
            <w:pPr>
              <w:spacing w:line="360" w:lineRule="auto"/>
              <w:jc w:val="both"/>
              <w:rPr>
                <w:rtl/>
              </w:rPr>
            </w:pPr>
          </w:p>
        </w:tc>
        <w:tc>
          <w:tcPr>
            <w:tcW w:w="1843" w:type="dxa"/>
            <w:tcBorders>
              <w:top w:val="nil"/>
              <w:left w:val="nil"/>
              <w:bottom w:val="nil"/>
              <w:right w:val="nil"/>
            </w:tcBorders>
            <w:shd w:val="clear" w:color="auto" w:fill="auto"/>
          </w:tcPr>
          <w:p w14:paraId="04ED867D" w14:textId="77777777" w:rsidR="00DC4E4D" w:rsidRPr="000109B1" w:rsidRDefault="000D6720">
            <w:pPr>
              <w:spacing w:line="360" w:lineRule="auto"/>
              <w:jc w:val="both"/>
              <w:rPr>
                <w:rFonts w:ascii="Arial" w:hAnsi="Arial" w:cs="FrankRuehl"/>
                <w:sz w:val="28"/>
                <w:szCs w:val="28"/>
              </w:rPr>
            </w:pPr>
            <w:r w:rsidRPr="000109B1">
              <w:rPr>
                <w:rFonts w:ascii="Arial" w:hAnsi="Arial" w:cs="FrankRuehl" w:hint="cs"/>
                <w:sz w:val="28"/>
                <w:szCs w:val="28"/>
                <w:rtl/>
              </w:rPr>
              <w:t>ה</w:t>
            </w:r>
            <w:r w:rsidRPr="000109B1">
              <w:rPr>
                <w:rFonts w:hint="cs"/>
                <w:rtl/>
              </w:rPr>
              <w:t>נאשם</w:t>
            </w:r>
          </w:p>
        </w:tc>
      </w:tr>
    </w:tbl>
    <w:p w14:paraId="569EA803" w14:textId="77777777" w:rsidR="00955191" w:rsidRDefault="00955191" w:rsidP="00E6176A">
      <w:pPr>
        <w:spacing w:after="120" w:line="240" w:lineRule="exact"/>
        <w:ind w:left="283" w:hanging="283"/>
        <w:jc w:val="both"/>
        <w:rPr>
          <w:rFonts w:ascii="FrankRuehl" w:hAnsi="FrankRuehl" w:cs="FrankRuehl"/>
          <w:rtl/>
        </w:rPr>
      </w:pPr>
      <w:bookmarkStart w:id="2" w:name="LawTable"/>
      <w:bookmarkEnd w:id="2"/>
    </w:p>
    <w:p w14:paraId="1FA06005" w14:textId="77777777" w:rsidR="00955191" w:rsidRPr="00955191" w:rsidRDefault="00955191" w:rsidP="00955191">
      <w:pPr>
        <w:spacing w:after="120" w:line="240" w:lineRule="exact"/>
        <w:ind w:left="283" w:hanging="283"/>
        <w:jc w:val="both"/>
        <w:rPr>
          <w:rFonts w:ascii="FrankRuehl" w:hAnsi="FrankRuehl" w:cs="FrankRuehl"/>
          <w:rtl/>
        </w:rPr>
      </w:pPr>
    </w:p>
    <w:p w14:paraId="66906CFE" w14:textId="77777777" w:rsidR="00955191" w:rsidRPr="00955191" w:rsidRDefault="00955191" w:rsidP="00955191">
      <w:pPr>
        <w:spacing w:after="120" w:line="240" w:lineRule="exact"/>
        <w:ind w:left="283" w:hanging="283"/>
        <w:jc w:val="both"/>
        <w:rPr>
          <w:rFonts w:ascii="FrankRuehl" w:hAnsi="FrankRuehl" w:cs="FrankRuehl"/>
          <w:rtl/>
        </w:rPr>
      </w:pPr>
      <w:r w:rsidRPr="00955191">
        <w:rPr>
          <w:rFonts w:ascii="FrankRuehl" w:hAnsi="FrankRuehl" w:cs="FrankRuehl"/>
          <w:rtl/>
        </w:rPr>
        <w:t xml:space="preserve">חקיקה שאוזכרה: </w:t>
      </w:r>
    </w:p>
    <w:p w14:paraId="4DB2298F" w14:textId="77777777" w:rsidR="00955191" w:rsidRPr="00955191" w:rsidRDefault="00955191" w:rsidP="00955191">
      <w:pPr>
        <w:spacing w:after="120" w:line="240" w:lineRule="exact"/>
        <w:ind w:left="283" w:hanging="283"/>
        <w:jc w:val="both"/>
        <w:rPr>
          <w:rFonts w:ascii="FrankRuehl" w:hAnsi="FrankRuehl" w:cs="FrankRuehl"/>
          <w:rtl/>
        </w:rPr>
      </w:pPr>
      <w:hyperlink r:id="rId6" w:history="1">
        <w:r w:rsidRPr="00955191">
          <w:rPr>
            <w:rFonts w:ascii="FrankRuehl" w:hAnsi="FrankRuehl" w:cs="FrankRuehl"/>
            <w:color w:val="0000FF"/>
            <w:u w:val="single"/>
            <w:rtl/>
          </w:rPr>
          <w:t>חוק העונשין, תשל"ז-1977</w:t>
        </w:r>
      </w:hyperlink>
      <w:r w:rsidRPr="00955191">
        <w:rPr>
          <w:rFonts w:ascii="FrankRuehl" w:hAnsi="FrankRuehl" w:cs="FrankRuehl"/>
          <w:rtl/>
        </w:rPr>
        <w:t xml:space="preserve">: סע'  </w:t>
      </w:r>
      <w:hyperlink r:id="rId7" w:history="1">
        <w:r w:rsidRPr="00955191">
          <w:rPr>
            <w:rFonts w:ascii="FrankRuehl" w:hAnsi="FrankRuehl" w:cs="FrankRuehl"/>
            <w:color w:val="0000FF"/>
            <w:u w:val="single"/>
            <w:rtl/>
          </w:rPr>
          <w:t>144</w:t>
        </w:r>
      </w:hyperlink>
      <w:r w:rsidRPr="00955191">
        <w:rPr>
          <w:rFonts w:ascii="FrankRuehl" w:hAnsi="FrankRuehl" w:cs="FrankRuehl"/>
          <w:rtl/>
        </w:rPr>
        <w:t xml:space="preserve">, </w:t>
      </w:r>
      <w:hyperlink r:id="rId8" w:history="1">
        <w:r w:rsidRPr="00955191">
          <w:rPr>
            <w:rFonts w:ascii="FrankRuehl" w:hAnsi="FrankRuehl" w:cs="FrankRuehl"/>
            <w:color w:val="0000FF"/>
            <w:u w:val="single"/>
            <w:rtl/>
          </w:rPr>
          <w:t>144(א)</w:t>
        </w:r>
      </w:hyperlink>
      <w:r w:rsidRPr="00955191">
        <w:rPr>
          <w:rFonts w:ascii="FrankRuehl" w:hAnsi="FrankRuehl" w:cs="FrankRuehl"/>
          <w:rtl/>
        </w:rPr>
        <w:t xml:space="preserve">, </w:t>
      </w:r>
      <w:hyperlink r:id="rId9" w:history="1">
        <w:r w:rsidRPr="00955191">
          <w:rPr>
            <w:rFonts w:ascii="FrankRuehl" w:hAnsi="FrankRuehl" w:cs="FrankRuehl"/>
            <w:color w:val="0000FF"/>
            <w:u w:val="single"/>
            <w:rtl/>
          </w:rPr>
          <w:t>384</w:t>
        </w:r>
      </w:hyperlink>
    </w:p>
    <w:p w14:paraId="46F13242" w14:textId="77777777" w:rsidR="00955191" w:rsidRPr="00955191" w:rsidRDefault="00955191" w:rsidP="00955191">
      <w:pPr>
        <w:spacing w:after="120" w:line="240" w:lineRule="exact"/>
        <w:ind w:left="283" w:hanging="283"/>
        <w:jc w:val="both"/>
        <w:rPr>
          <w:rFonts w:ascii="FrankRuehl" w:hAnsi="FrankRuehl" w:cs="FrankRuehl"/>
          <w:rtl/>
        </w:rPr>
      </w:pPr>
    </w:p>
    <w:p w14:paraId="2E21E99E" w14:textId="77777777" w:rsidR="00955191" w:rsidRPr="00955191" w:rsidRDefault="00955191" w:rsidP="00E6176A">
      <w:pPr>
        <w:spacing w:after="120" w:line="240" w:lineRule="exact"/>
        <w:ind w:left="283" w:hanging="283"/>
        <w:jc w:val="both"/>
        <w:rPr>
          <w:rFonts w:ascii="FrankRuehl" w:hAnsi="FrankRuehl" w:cs="FrankRuehl"/>
          <w:rtl/>
        </w:rPr>
      </w:pPr>
      <w:bookmarkStart w:id="3" w:name="LawTable_End"/>
      <w:bookmarkEnd w:id="3"/>
    </w:p>
    <w:p w14:paraId="660C0B7E" w14:textId="77777777" w:rsidR="00E6176A" w:rsidRPr="00E6176A" w:rsidRDefault="00E6176A" w:rsidP="00E6176A">
      <w:pPr>
        <w:spacing w:after="120" w:line="240" w:lineRule="exact"/>
        <w:ind w:left="283" w:hanging="283"/>
        <w:jc w:val="both"/>
        <w:rPr>
          <w:rFonts w:ascii="FrankRuehl" w:hAnsi="FrankRuehl" w:cs="FrankRuehl"/>
          <w:rtl/>
        </w:rPr>
      </w:pPr>
    </w:p>
    <w:p w14:paraId="7721CA58" w14:textId="77777777" w:rsidR="00DC4E4D" w:rsidRPr="00E6176A" w:rsidRDefault="00DC4E4D" w:rsidP="00E6176A">
      <w:pPr>
        <w:spacing w:after="120" w:line="240" w:lineRule="exact"/>
        <w:ind w:left="283" w:hanging="283"/>
        <w:jc w:val="both"/>
        <w:rPr>
          <w:rFonts w:ascii="FrankRuehl" w:hAnsi="FrankRuehl" w:cs="FrankRuehl"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C4E4D" w14:paraId="07FBD830" w14:textId="77777777">
        <w:trPr>
          <w:trHeight w:val="355"/>
          <w:jc w:val="center"/>
        </w:trPr>
        <w:tc>
          <w:tcPr>
            <w:tcW w:w="8820" w:type="dxa"/>
            <w:tcBorders>
              <w:top w:val="nil"/>
              <w:left w:val="nil"/>
              <w:bottom w:val="nil"/>
              <w:right w:val="nil"/>
            </w:tcBorders>
            <w:shd w:val="clear" w:color="auto" w:fill="auto"/>
          </w:tcPr>
          <w:p w14:paraId="665C8F8C" w14:textId="77777777" w:rsidR="00DC4E4D" w:rsidRPr="00E6176A" w:rsidRDefault="000109B1" w:rsidP="00E6176A">
            <w:pPr>
              <w:spacing w:line="360" w:lineRule="auto"/>
              <w:jc w:val="center"/>
              <w:rPr>
                <w:rFonts w:ascii="Arial" w:hAnsi="Arial" w:hint="cs"/>
                <w:b/>
                <w:bCs/>
                <w:sz w:val="32"/>
                <w:szCs w:val="32"/>
                <w:u w:val="single"/>
                <w:rtl/>
              </w:rPr>
            </w:pPr>
            <w:bookmarkStart w:id="4" w:name="PsakDin" w:colFirst="0" w:colLast="0"/>
            <w:bookmarkEnd w:id="0"/>
            <w:r w:rsidRPr="000109B1">
              <w:rPr>
                <w:rFonts w:ascii="Arial" w:hAnsi="Arial"/>
                <w:b/>
                <w:bCs/>
                <w:sz w:val="32"/>
                <w:szCs w:val="32"/>
                <w:u w:val="single"/>
                <w:rtl/>
              </w:rPr>
              <w:t>גזר דין</w:t>
            </w:r>
          </w:p>
        </w:tc>
      </w:tr>
      <w:bookmarkEnd w:id="4"/>
    </w:tbl>
    <w:p w14:paraId="63A1533F" w14:textId="77777777" w:rsidR="00DC4E4D" w:rsidRDefault="00DC4E4D">
      <w:pPr>
        <w:spacing w:line="360" w:lineRule="auto"/>
        <w:jc w:val="both"/>
        <w:rPr>
          <w:rFonts w:ascii="Arial" w:hAnsi="Arial"/>
          <w:rtl/>
        </w:rPr>
      </w:pPr>
    </w:p>
    <w:p w14:paraId="3F037F5D" w14:textId="77777777" w:rsidR="00DC4E4D" w:rsidRDefault="000D6720">
      <w:pPr>
        <w:spacing w:line="360" w:lineRule="auto"/>
        <w:jc w:val="both"/>
        <w:rPr>
          <w:rFonts w:ascii="Arial" w:hAnsi="Arial"/>
          <w:b/>
          <w:bCs/>
          <w:u w:val="single"/>
          <w:rtl/>
        </w:rPr>
      </w:pPr>
      <w:r>
        <w:rPr>
          <w:rFonts w:ascii="Arial" w:hAnsi="Arial" w:hint="cs"/>
          <w:b/>
          <w:bCs/>
          <w:u w:val="single"/>
          <w:rtl/>
        </w:rPr>
        <w:t>רקע</w:t>
      </w:r>
    </w:p>
    <w:p w14:paraId="0439E6B5" w14:textId="77777777" w:rsidR="00DC4E4D" w:rsidRDefault="000D6720">
      <w:pPr>
        <w:spacing w:line="360" w:lineRule="auto"/>
        <w:ind w:left="720" w:hanging="720"/>
        <w:jc w:val="both"/>
        <w:rPr>
          <w:rFonts w:ascii="Arial" w:hAnsi="Arial"/>
          <w:rtl/>
        </w:rPr>
      </w:pPr>
      <w:r>
        <w:rPr>
          <w:rFonts w:ascii="Arial" w:hAnsi="Arial" w:hint="cs"/>
          <w:rtl/>
        </w:rPr>
        <w:t>1.</w:t>
      </w:r>
      <w:r>
        <w:rPr>
          <w:rFonts w:ascii="Arial" w:hAnsi="Arial"/>
          <w:rtl/>
        </w:rPr>
        <w:tab/>
      </w:r>
      <w:bookmarkStart w:id="5" w:name="ABSTRACT_START"/>
      <w:bookmarkEnd w:id="5"/>
      <w:r>
        <w:rPr>
          <w:rFonts w:ascii="Arial" w:hAnsi="Arial" w:hint="cs"/>
          <w:rtl/>
        </w:rPr>
        <w:t xml:space="preserve">הנאשם הורשע, לאחר ניהול הוכחות, בעבירות של גניבה, לפי </w:t>
      </w:r>
      <w:hyperlink r:id="rId10" w:history="1">
        <w:r w:rsidR="00E6176A" w:rsidRPr="00E6176A">
          <w:rPr>
            <w:rFonts w:ascii="Arial" w:hAnsi="Arial"/>
            <w:color w:val="0000FF"/>
            <w:u w:val="single"/>
            <w:rtl/>
          </w:rPr>
          <w:t>סעיף 384</w:t>
        </w:r>
      </w:hyperlink>
      <w:r>
        <w:rPr>
          <w:rFonts w:ascii="Arial" w:hAnsi="Arial" w:hint="cs"/>
          <w:rtl/>
        </w:rPr>
        <w:t xml:space="preserve"> ל</w:t>
      </w:r>
      <w:hyperlink r:id="rId11" w:history="1">
        <w:r w:rsidR="000109B1" w:rsidRPr="000109B1">
          <w:rPr>
            <w:rFonts w:ascii="Arial" w:hAnsi="Arial"/>
            <w:color w:val="0000FF"/>
            <w:u w:val="single"/>
            <w:rtl/>
          </w:rPr>
          <w:t>חוק העונשין</w:t>
        </w:r>
      </w:hyperlink>
      <w:r>
        <w:rPr>
          <w:rFonts w:ascii="Arial" w:hAnsi="Arial" w:hint="cs"/>
          <w:rtl/>
        </w:rPr>
        <w:t xml:space="preserve">, התשל"ז-1977 (להלן: "חוק העונשין"), וכן החזקת נשק שלא כדין, לפי </w:t>
      </w:r>
      <w:hyperlink r:id="rId12" w:history="1">
        <w:r w:rsidR="00E6176A" w:rsidRPr="00E6176A">
          <w:rPr>
            <w:rFonts w:ascii="Arial" w:hAnsi="Arial"/>
            <w:color w:val="0000FF"/>
            <w:u w:val="single"/>
            <w:rtl/>
          </w:rPr>
          <w:t>סעיף 144(א)</w:t>
        </w:r>
      </w:hyperlink>
      <w:r>
        <w:rPr>
          <w:rFonts w:ascii="Arial" w:hAnsi="Arial" w:hint="cs"/>
          <w:rtl/>
        </w:rPr>
        <w:t xml:space="preserve"> רישא לחוק העונשין. </w:t>
      </w:r>
    </w:p>
    <w:p w14:paraId="3C547204" w14:textId="77777777" w:rsidR="00DC4E4D" w:rsidRDefault="000D6720">
      <w:pPr>
        <w:spacing w:line="360" w:lineRule="auto"/>
        <w:ind w:left="720"/>
        <w:jc w:val="both"/>
        <w:rPr>
          <w:rFonts w:ascii="Arial" w:hAnsi="Arial"/>
          <w:rtl/>
        </w:rPr>
      </w:pPr>
      <w:r>
        <w:rPr>
          <w:rFonts w:ascii="Arial" w:hAnsi="Arial" w:hint="cs"/>
          <w:rtl/>
        </w:rPr>
        <w:t xml:space="preserve">בהתאם לעובדות כתב האישום, ביום 7.01.2014, הבחין הנאשם בשקית המונחת ברחוב, ובה אקדח וכן ארנק, צ'קים, ופריטים נוספים השייכים כולם למתלונן. הנאשם נטל את השקית על תכולתה, מתוך כוונת שלילת קבע. </w:t>
      </w:r>
    </w:p>
    <w:p w14:paraId="0EA6C924" w14:textId="77777777" w:rsidR="00DC4E4D" w:rsidRDefault="00DC4E4D">
      <w:pPr>
        <w:spacing w:line="360" w:lineRule="auto"/>
        <w:ind w:left="720"/>
        <w:jc w:val="both"/>
        <w:rPr>
          <w:rFonts w:ascii="Arial" w:hAnsi="Arial"/>
          <w:rtl/>
        </w:rPr>
      </w:pPr>
      <w:bookmarkStart w:id="6" w:name="ABSTRACT_END"/>
      <w:bookmarkEnd w:id="6"/>
    </w:p>
    <w:p w14:paraId="2F7F1AB5" w14:textId="77777777" w:rsidR="00DC4E4D" w:rsidRDefault="000D6720">
      <w:pPr>
        <w:spacing w:line="360" w:lineRule="auto"/>
        <w:ind w:left="720" w:hanging="720"/>
        <w:jc w:val="both"/>
        <w:rPr>
          <w:rFonts w:ascii="Arial" w:hAnsi="Arial"/>
          <w:rtl/>
        </w:rPr>
      </w:pPr>
      <w:r>
        <w:rPr>
          <w:rFonts w:ascii="Arial" w:hAnsi="Arial" w:hint="cs"/>
          <w:rtl/>
        </w:rPr>
        <w:lastRenderedPageBreak/>
        <w:t>2.</w:t>
      </w:r>
      <w:r>
        <w:rPr>
          <w:rFonts w:ascii="Arial" w:hAnsi="Arial" w:hint="cs"/>
          <w:rtl/>
        </w:rPr>
        <w:tab/>
        <w:t xml:space="preserve">הנאשם טען כי לא ידע שהשקית שייכת לאדם מסויים, וכן כי נטל אותה בכוונה למצוא את בעליה. טענות אלה נדחו על ידי בית המשפט, לאחר ניהול הוכחות, ונקבע כי הנאשם נשא ונטל את השקית והרכוש שבה, מתוך כוונה לשלילת קבע, וכך אף החזיק בנשק שלא כדין. </w:t>
      </w:r>
    </w:p>
    <w:p w14:paraId="3A30672C" w14:textId="77777777" w:rsidR="00DC4E4D" w:rsidRDefault="00DC4E4D">
      <w:pPr>
        <w:spacing w:line="360" w:lineRule="auto"/>
        <w:ind w:left="720" w:hanging="720"/>
        <w:jc w:val="both"/>
        <w:rPr>
          <w:rFonts w:ascii="Arial" w:hAnsi="Arial"/>
          <w:rtl/>
        </w:rPr>
      </w:pPr>
    </w:p>
    <w:p w14:paraId="6DF2DF85" w14:textId="77777777" w:rsidR="00DC4E4D" w:rsidRDefault="000D6720">
      <w:pPr>
        <w:spacing w:line="360" w:lineRule="auto"/>
        <w:ind w:left="720" w:hanging="720"/>
        <w:jc w:val="both"/>
        <w:rPr>
          <w:rFonts w:ascii="Arial" w:hAnsi="Arial"/>
          <w:rtl/>
        </w:rPr>
      </w:pPr>
      <w:r>
        <w:rPr>
          <w:rFonts w:ascii="Arial" w:hAnsi="Arial" w:hint="cs"/>
          <w:b/>
          <w:bCs/>
          <w:u w:val="single"/>
          <w:rtl/>
        </w:rPr>
        <w:t>טיעוני הצדדים</w:t>
      </w:r>
    </w:p>
    <w:p w14:paraId="1975D7AC" w14:textId="77777777" w:rsidR="00DC4E4D" w:rsidRDefault="000D6720">
      <w:pPr>
        <w:spacing w:line="360" w:lineRule="auto"/>
        <w:ind w:left="720" w:hanging="720"/>
        <w:jc w:val="both"/>
        <w:rPr>
          <w:rFonts w:ascii="Arial" w:hAnsi="Arial"/>
          <w:rtl/>
        </w:rPr>
      </w:pPr>
      <w:r>
        <w:rPr>
          <w:rFonts w:ascii="Arial" w:hAnsi="Arial" w:hint="cs"/>
          <w:rtl/>
        </w:rPr>
        <w:t>3.</w:t>
      </w:r>
      <w:r>
        <w:rPr>
          <w:rFonts w:ascii="Arial" w:hAnsi="Arial" w:hint="cs"/>
          <w:rtl/>
        </w:rPr>
        <w:tab/>
        <w:t xml:space="preserve">המאשימה היפנתה לנסיבות ביצוע העבירה, וטענה כי מדובר בפגיעה בקניינו של אדם אחר, וכן בערעור בטחון הציבור בשל הפוטנציאל של פגיעת הנשק בו החזיק הנאשם. לאחר שטענה כי מתחם הענישה נע בין 12 ל-24 חודשי מאסר, עתרה המאשימה להטיל על הנאשם מאסר ברף התחתון של המתחם. </w:t>
      </w:r>
    </w:p>
    <w:p w14:paraId="58DF99C1" w14:textId="77777777" w:rsidR="00DC4E4D" w:rsidRDefault="00DC4E4D">
      <w:pPr>
        <w:spacing w:line="360" w:lineRule="auto"/>
        <w:ind w:left="720" w:hanging="720"/>
        <w:jc w:val="both"/>
        <w:rPr>
          <w:rFonts w:ascii="Arial" w:hAnsi="Arial"/>
          <w:rtl/>
        </w:rPr>
      </w:pPr>
    </w:p>
    <w:p w14:paraId="151A6AC4" w14:textId="77777777" w:rsidR="00DC4E4D" w:rsidRDefault="000D6720">
      <w:pPr>
        <w:spacing w:line="360" w:lineRule="auto"/>
        <w:ind w:left="720" w:hanging="720"/>
        <w:jc w:val="both"/>
        <w:rPr>
          <w:rFonts w:ascii="Arial" w:hAnsi="Arial"/>
          <w:rtl/>
        </w:rPr>
      </w:pPr>
      <w:r>
        <w:rPr>
          <w:rFonts w:ascii="Arial" w:hAnsi="Arial" w:hint="cs"/>
          <w:rtl/>
        </w:rPr>
        <w:t>4.</w:t>
      </w:r>
      <w:r>
        <w:rPr>
          <w:rFonts w:ascii="Arial" w:hAnsi="Arial" w:hint="cs"/>
          <w:rtl/>
        </w:rPr>
        <w:tab/>
        <w:t xml:space="preserve">ב"כ הנאשם טען כי נסיבות המקרה מצביעות על כך שהנאשם לא התכוון לשלול את הרכוש והאקדח שלילת קבע, וכן החזיק בהם בסך הכל במשך חמישה ימים. מדובר בסוג של התרשלות וטעות בשיקול הדעת, וללא כוונה. הנאשם נעדר כל עבר פלילי, בעל משפחה, אב לילדים קטינים, עובד לפרנסתו ולשביעות רצון המעסיק. בנוסף, טען כי יש לתת משקל לעובדה שתיק החקירה כנגד בעל הנשק, אשר התרשל, נסגר. לפיכך, עתר להסתפק בעונש של מאסר קצר אשר ירוצה בעבודות שרות. </w:t>
      </w:r>
    </w:p>
    <w:p w14:paraId="317E9907" w14:textId="77777777" w:rsidR="00DC4E4D" w:rsidRDefault="00DC4E4D">
      <w:pPr>
        <w:spacing w:line="360" w:lineRule="auto"/>
        <w:ind w:left="720" w:hanging="720"/>
        <w:jc w:val="both"/>
        <w:rPr>
          <w:rFonts w:ascii="Arial" w:hAnsi="Arial"/>
          <w:rtl/>
        </w:rPr>
      </w:pPr>
    </w:p>
    <w:p w14:paraId="60C16161" w14:textId="77777777" w:rsidR="00DC4E4D" w:rsidRDefault="000D6720">
      <w:pPr>
        <w:spacing w:line="360" w:lineRule="auto"/>
        <w:ind w:left="720" w:hanging="720"/>
        <w:jc w:val="both"/>
        <w:rPr>
          <w:rFonts w:ascii="Arial" w:hAnsi="Arial"/>
          <w:rtl/>
        </w:rPr>
      </w:pPr>
      <w:r>
        <w:rPr>
          <w:rFonts w:ascii="Arial" w:hAnsi="Arial"/>
          <w:rtl/>
        </w:rPr>
        <w:tab/>
      </w:r>
      <w:r>
        <w:rPr>
          <w:rFonts w:ascii="Arial" w:hAnsi="Arial" w:hint="cs"/>
          <w:rtl/>
        </w:rPr>
        <w:t xml:space="preserve">הנאשם בעצמו טען כי סיכן אנשים ואת משפחתו, אולם לא היתה לו כל כוונה להשאיר את האקדח ברשותו. עוד העיד על משפחתו, וכן הביע צער. </w:t>
      </w:r>
    </w:p>
    <w:p w14:paraId="75C1BD26" w14:textId="77777777" w:rsidR="00DC4E4D" w:rsidRDefault="00DC4E4D">
      <w:pPr>
        <w:spacing w:line="360" w:lineRule="auto"/>
        <w:ind w:left="720" w:hanging="720"/>
        <w:jc w:val="both"/>
        <w:rPr>
          <w:rFonts w:ascii="Arial" w:hAnsi="Arial"/>
          <w:rtl/>
        </w:rPr>
      </w:pPr>
    </w:p>
    <w:p w14:paraId="24823EC3" w14:textId="77777777" w:rsidR="00DC4E4D" w:rsidRDefault="000D6720">
      <w:pPr>
        <w:spacing w:line="360" w:lineRule="auto"/>
        <w:ind w:left="720" w:hanging="720"/>
        <w:jc w:val="both"/>
        <w:rPr>
          <w:rFonts w:ascii="Arial" w:hAnsi="Arial"/>
          <w:b/>
          <w:bCs/>
          <w:u w:val="single"/>
          <w:rtl/>
        </w:rPr>
      </w:pPr>
      <w:r>
        <w:rPr>
          <w:rFonts w:ascii="Arial" w:hAnsi="Arial" w:hint="cs"/>
          <w:b/>
          <w:bCs/>
          <w:u w:val="single"/>
          <w:rtl/>
        </w:rPr>
        <w:t>מתחם הענישה</w:t>
      </w:r>
    </w:p>
    <w:p w14:paraId="33AE7E4E" w14:textId="77777777" w:rsidR="00DC4E4D" w:rsidRDefault="000D6720">
      <w:pPr>
        <w:spacing w:line="360" w:lineRule="auto"/>
        <w:ind w:left="720" w:hanging="720"/>
        <w:jc w:val="both"/>
        <w:rPr>
          <w:rFonts w:ascii="Arial" w:hAnsi="Arial"/>
          <w:rtl/>
        </w:rPr>
      </w:pPr>
      <w:r>
        <w:rPr>
          <w:rFonts w:ascii="Arial" w:hAnsi="Arial" w:hint="cs"/>
          <w:rtl/>
        </w:rPr>
        <w:t xml:space="preserve">5. </w:t>
      </w:r>
      <w:r>
        <w:rPr>
          <w:rFonts w:ascii="Arial" w:hAnsi="Arial"/>
          <w:rtl/>
        </w:rPr>
        <w:tab/>
      </w:r>
      <w:r>
        <w:rPr>
          <w:rFonts w:ascii="Arial" w:hAnsi="Arial" w:hint="cs"/>
          <w:rtl/>
        </w:rPr>
        <w:t xml:space="preserve">החזקת נשק שלא כדין, מקימה סכנה ממשית לחיי אדם. נשק המוחזק שלא כדין, עלול לשמש את המחזיק בו לפגיעה קשה באדם אחר, בין אם בכוונה לפגוע ובין אם ברשלנות. בנוסף, נשק המוחזק שלא כדין, מוצא את דרכו לא אחת אל ידיים מסוכנות, עוינות במישור הלאומני, או לידיים שיעשו בו שימוש פלילי. בדרך זו, עלול אותו נשק להביא לאובדן חיי אדם. בהתאם, קבע המחוקק עבירה זו כעבירה מסוג פשע. </w:t>
      </w:r>
    </w:p>
    <w:p w14:paraId="48304A68" w14:textId="77777777" w:rsidR="00DC4E4D" w:rsidRDefault="000D6720">
      <w:pPr>
        <w:spacing w:line="360" w:lineRule="auto"/>
        <w:ind w:left="720" w:hanging="720"/>
        <w:jc w:val="both"/>
        <w:rPr>
          <w:rFonts w:ascii="Arial" w:hAnsi="Arial"/>
          <w:rtl/>
        </w:rPr>
      </w:pPr>
      <w:r>
        <w:rPr>
          <w:rFonts w:ascii="Arial" w:hAnsi="Arial"/>
          <w:rtl/>
        </w:rPr>
        <w:tab/>
      </w:r>
      <w:r>
        <w:rPr>
          <w:rFonts w:ascii="Arial" w:hAnsi="Arial" w:hint="cs"/>
          <w:rtl/>
        </w:rPr>
        <w:t xml:space="preserve">בשל הסיכון הגבוה הנשקף מעבירה זו, קבעה הפסיקה כי יש להטיל ענישה מרתיעה בדמות מאסר בפועל ולא בעבודות שרות: </w:t>
      </w:r>
    </w:p>
    <w:p w14:paraId="7FA349F9" w14:textId="77777777" w:rsidR="00DC4E4D" w:rsidRDefault="000D6720">
      <w:pPr>
        <w:spacing w:line="360" w:lineRule="auto"/>
        <w:ind w:left="720" w:hanging="720"/>
        <w:jc w:val="both"/>
        <w:rPr>
          <w:b/>
          <w:bCs/>
          <w:rtl/>
        </w:rPr>
      </w:pPr>
      <w:r>
        <w:rPr>
          <w:rFonts w:ascii="Arial" w:hAnsi="Arial"/>
          <w:rtl/>
        </w:rPr>
        <w:tab/>
      </w:r>
    </w:p>
    <w:p w14:paraId="3659DFA0" w14:textId="77777777" w:rsidR="00DC4E4D" w:rsidRDefault="000D6720">
      <w:pPr>
        <w:ind w:left="1417" w:right="1418"/>
        <w:jc w:val="both"/>
        <w:rPr>
          <w:b/>
          <w:bCs/>
          <w:rtl/>
        </w:rPr>
      </w:pPr>
      <w:r>
        <w:rPr>
          <w:rFonts w:hint="cs"/>
          <w:b/>
          <w:bCs/>
          <w:rtl/>
        </w:rPr>
        <w:t>"</w:t>
      </w:r>
      <w:r>
        <w:rPr>
          <w:b/>
          <w:bCs/>
          <w:rtl/>
        </w:rPr>
        <w:t>בתי</w:t>
      </w:r>
      <w:r>
        <w:rPr>
          <w:b/>
          <w:bCs/>
        </w:rPr>
        <w:t>-</w:t>
      </w:r>
      <w:r>
        <w:rPr>
          <w:b/>
          <w:bCs/>
          <w:rtl/>
        </w:rPr>
        <w:t>המשפט</w:t>
      </w:r>
      <w:r>
        <w:rPr>
          <w:b/>
          <w:bCs/>
        </w:rPr>
        <w:t xml:space="preserve"> </w:t>
      </w:r>
      <w:r>
        <w:rPr>
          <w:b/>
          <w:bCs/>
          <w:rtl/>
        </w:rPr>
        <w:t>כבר</w:t>
      </w:r>
      <w:r>
        <w:rPr>
          <w:b/>
          <w:bCs/>
        </w:rPr>
        <w:t xml:space="preserve"> </w:t>
      </w:r>
      <w:r>
        <w:rPr>
          <w:b/>
          <w:bCs/>
          <w:rtl/>
        </w:rPr>
        <w:t>פסקו</w:t>
      </w:r>
      <w:r>
        <w:rPr>
          <w:b/>
          <w:bCs/>
        </w:rPr>
        <w:t xml:space="preserve"> </w:t>
      </w:r>
      <w:r>
        <w:rPr>
          <w:b/>
          <w:bCs/>
          <w:rtl/>
        </w:rPr>
        <w:t>לא</w:t>
      </w:r>
      <w:r>
        <w:rPr>
          <w:b/>
          <w:bCs/>
        </w:rPr>
        <w:t xml:space="preserve"> </w:t>
      </w:r>
      <w:r>
        <w:rPr>
          <w:b/>
          <w:bCs/>
          <w:rtl/>
        </w:rPr>
        <w:t>אח</w:t>
      </w:r>
      <w:r>
        <w:rPr>
          <w:rFonts w:hint="cs"/>
          <w:b/>
          <w:bCs/>
          <w:rtl/>
        </w:rPr>
        <w:t>ת,</w:t>
      </w:r>
      <w:r>
        <w:rPr>
          <w:b/>
          <w:bCs/>
        </w:rPr>
        <w:t xml:space="preserve"> </w:t>
      </w:r>
      <w:r>
        <w:rPr>
          <w:b/>
          <w:bCs/>
          <w:rtl/>
        </w:rPr>
        <w:t>כי</w:t>
      </w:r>
      <w:r>
        <w:rPr>
          <w:b/>
          <w:bCs/>
        </w:rPr>
        <w:t xml:space="preserve"> </w:t>
      </w:r>
      <w:r>
        <w:rPr>
          <w:b/>
          <w:bCs/>
          <w:rtl/>
        </w:rPr>
        <w:t>עבירה</w:t>
      </w:r>
      <w:r>
        <w:rPr>
          <w:b/>
          <w:bCs/>
        </w:rPr>
        <w:t xml:space="preserve"> </w:t>
      </w:r>
      <w:r>
        <w:rPr>
          <w:b/>
          <w:bCs/>
          <w:rtl/>
        </w:rPr>
        <w:t>של</w:t>
      </w:r>
      <w:r>
        <w:rPr>
          <w:b/>
          <w:bCs/>
        </w:rPr>
        <w:t xml:space="preserve"> </w:t>
      </w:r>
      <w:r>
        <w:rPr>
          <w:b/>
          <w:bCs/>
          <w:rtl/>
        </w:rPr>
        <w:t>החזקת</w:t>
      </w:r>
      <w:r>
        <w:rPr>
          <w:b/>
          <w:bCs/>
        </w:rPr>
        <w:t xml:space="preserve"> </w:t>
      </w:r>
      <w:r>
        <w:rPr>
          <w:b/>
          <w:bCs/>
          <w:rtl/>
        </w:rPr>
        <w:t>נשק</w:t>
      </w:r>
      <w:r>
        <w:rPr>
          <w:b/>
          <w:bCs/>
        </w:rPr>
        <w:t xml:space="preserve"> </w:t>
      </w:r>
      <w:r>
        <w:rPr>
          <w:b/>
          <w:bCs/>
          <w:rtl/>
        </w:rPr>
        <w:t>שלא</w:t>
      </w:r>
      <w:r>
        <w:rPr>
          <w:b/>
          <w:bCs/>
        </w:rPr>
        <w:t xml:space="preserve"> </w:t>
      </w:r>
      <w:r>
        <w:rPr>
          <w:b/>
          <w:bCs/>
          <w:rtl/>
        </w:rPr>
        <w:t>כדין</w:t>
      </w:r>
      <w:r>
        <w:rPr>
          <w:b/>
          <w:bCs/>
        </w:rPr>
        <w:t xml:space="preserve"> </w:t>
      </w:r>
      <w:r>
        <w:rPr>
          <w:b/>
          <w:bCs/>
          <w:rtl/>
        </w:rPr>
        <w:t>הינה</w:t>
      </w:r>
      <w:r>
        <w:rPr>
          <w:b/>
          <w:bCs/>
        </w:rPr>
        <w:t xml:space="preserve"> </w:t>
      </w:r>
      <w:r>
        <w:rPr>
          <w:b/>
          <w:bCs/>
          <w:rtl/>
        </w:rPr>
        <w:t>חמורה</w:t>
      </w:r>
      <w:r>
        <w:rPr>
          <w:b/>
          <w:bCs/>
        </w:rPr>
        <w:t xml:space="preserve"> </w:t>
      </w:r>
      <w:r>
        <w:rPr>
          <w:b/>
          <w:bCs/>
          <w:rtl/>
        </w:rPr>
        <w:t>בשל</w:t>
      </w:r>
      <w:r>
        <w:rPr>
          <w:b/>
          <w:bCs/>
        </w:rPr>
        <w:t xml:space="preserve"> </w:t>
      </w:r>
      <w:r>
        <w:rPr>
          <w:b/>
          <w:bCs/>
          <w:rtl/>
        </w:rPr>
        <w:t>הסיכון</w:t>
      </w:r>
      <w:r>
        <w:rPr>
          <w:b/>
          <w:bCs/>
        </w:rPr>
        <w:t xml:space="preserve"> </w:t>
      </w:r>
      <w:r>
        <w:rPr>
          <w:b/>
          <w:bCs/>
          <w:rtl/>
        </w:rPr>
        <w:t>הפוטנציאלי</w:t>
      </w:r>
      <w:r>
        <w:rPr>
          <w:b/>
          <w:bCs/>
        </w:rPr>
        <w:t xml:space="preserve"> </w:t>
      </w:r>
      <w:r>
        <w:rPr>
          <w:b/>
          <w:bCs/>
          <w:rtl/>
        </w:rPr>
        <w:t>הגלום</w:t>
      </w:r>
      <w:r>
        <w:rPr>
          <w:b/>
          <w:bCs/>
        </w:rPr>
        <w:t xml:space="preserve"> </w:t>
      </w:r>
      <w:r>
        <w:rPr>
          <w:b/>
          <w:bCs/>
          <w:rtl/>
        </w:rPr>
        <w:t>ב</w:t>
      </w:r>
      <w:r>
        <w:rPr>
          <w:rFonts w:hint="cs"/>
          <w:b/>
          <w:bCs/>
          <w:rtl/>
        </w:rPr>
        <w:t>ה...</w:t>
      </w:r>
      <w:r>
        <w:rPr>
          <w:b/>
          <w:bCs/>
        </w:rPr>
        <w:t xml:space="preserve"> </w:t>
      </w:r>
      <w:r>
        <w:rPr>
          <w:b/>
          <w:bCs/>
          <w:rtl/>
        </w:rPr>
        <w:t>כבר</w:t>
      </w:r>
      <w:r>
        <w:rPr>
          <w:b/>
          <w:bCs/>
        </w:rPr>
        <w:t xml:space="preserve"> </w:t>
      </w:r>
      <w:r>
        <w:rPr>
          <w:b/>
          <w:bCs/>
          <w:rtl/>
        </w:rPr>
        <w:t>נקב</w:t>
      </w:r>
      <w:r>
        <w:rPr>
          <w:rFonts w:hint="cs"/>
          <w:b/>
          <w:bCs/>
          <w:rtl/>
        </w:rPr>
        <w:t>ע,</w:t>
      </w:r>
      <w:r>
        <w:rPr>
          <w:b/>
          <w:bCs/>
        </w:rPr>
        <w:t xml:space="preserve"> </w:t>
      </w:r>
      <w:r>
        <w:rPr>
          <w:b/>
          <w:bCs/>
          <w:rtl/>
        </w:rPr>
        <w:t>כי</w:t>
      </w:r>
      <w:r>
        <w:rPr>
          <w:b/>
          <w:bCs/>
        </w:rPr>
        <w:t xml:space="preserve"> </w:t>
      </w:r>
      <w:r>
        <w:rPr>
          <w:b/>
          <w:bCs/>
          <w:rtl/>
        </w:rPr>
        <w:t>עבירה</w:t>
      </w:r>
      <w:r>
        <w:rPr>
          <w:b/>
          <w:bCs/>
        </w:rPr>
        <w:t xml:space="preserve"> </w:t>
      </w:r>
      <w:r>
        <w:rPr>
          <w:b/>
          <w:bCs/>
          <w:rtl/>
        </w:rPr>
        <w:t>זו</w:t>
      </w:r>
      <w:r>
        <w:rPr>
          <w:b/>
          <w:bCs/>
        </w:rPr>
        <w:t xml:space="preserve"> </w:t>
      </w:r>
      <w:r>
        <w:rPr>
          <w:b/>
          <w:bCs/>
          <w:rtl/>
        </w:rPr>
        <w:t>מצדיקה</w:t>
      </w:r>
      <w:r>
        <w:rPr>
          <w:b/>
          <w:bCs/>
        </w:rPr>
        <w:t xml:space="preserve"> </w:t>
      </w:r>
      <w:r>
        <w:rPr>
          <w:b/>
          <w:bCs/>
          <w:rtl/>
        </w:rPr>
        <w:t>השתת</w:t>
      </w:r>
      <w:r>
        <w:rPr>
          <w:b/>
          <w:bCs/>
        </w:rPr>
        <w:t xml:space="preserve"> </w:t>
      </w:r>
      <w:r>
        <w:rPr>
          <w:b/>
          <w:bCs/>
          <w:rtl/>
        </w:rPr>
        <w:t>מאסר</w:t>
      </w:r>
      <w:r>
        <w:rPr>
          <w:b/>
          <w:bCs/>
        </w:rPr>
        <w:t xml:space="preserve"> </w:t>
      </w:r>
      <w:r>
        <w:rPr>
          <w:b/>
          <w:bCs/>
          <w:rtl/>
        </w:rPr>
        <w:t>בפועל</w:t>
      </w:r>
      <w:r>
        <w:rPr>
          <w:b/>
          <w:bCs/>
        </w:rPr>
        <w:t xml:space="preserve"> </w:t>
      </w:r>
      <w:r>
        <w:rPr>
          <w:b/>
          <w:bCs/>
          <w:rtl/>
        </w:rPr>
        <w:t>אף</w:t>
      </w:r>
      <w:r>
        <w:rPr>
          <w:b/>
          <w:bCs/>
        </w:rPr>
        <w:t xml:space="preserve"> </w:t>
      </w:r>
      <w:r>
        <w:rPr>
          <w:b/>
          <w:bCs/>
          <w:rtl/>
        </w:rPr>
        <w:t>על</w:t>
      </w:r>
      <w:r>
        <w:rPr>
          <w:b/>
          <w:bCs/>
        </w:rPr>
        <w:t xml:space="preserve"> </w:t>
      </w:r>
      <w:r>
        <w:rPr>
          <w:b/>
          <w:bCs/>
          <w:rtl/>
        </w:rPr>
        <w:t>מי</w:t>
      </w:r>
      <w:r>
        <w:rPr>
          <w:b/>
          <w:bCs/>
        </w:rPr>
        <w:t xml:space="preserve"> </w:t>
      </w:r>
      <w:r>
        <w:rPr>
          <w:b/>
          <w:bCs/>
          <w:rtl/>
        </w:rPr>
        <w:t>שזו</w:t>
      </w:r>
      <w:r>
        <w:rPr>
          <w:b/>
          <w:bCs/>
        </w:rPr>
        <w:t xml:space="preserve"> </w:t>
      </w:r>
      <w:r>
        <w:rPr>
          <w:b/>
          <w:bCs/>
          <w:rtl/>
        </w:rPr>
        <w:t>ל</w:t>
      </w:r>
      <w:r>
        <w:rPr>
          <w:rFonts w:hint="cs"/>
          <w:b/>
          <w:bCs/>
          <w:rtl/>
        </w:rPr>
        <w:t>ו</w:t>
      </w:r>
      <w:r>
        <w:rPr>
          <w:b/>
          <w:bCs/>
        </w:rPr>
        <w:t xml:space="preserve"> </w:t>
      </w:r>
      <w:r>
        <w:rPr>
          <w:b/>
          <w:bCs/>
          <w:rtl/>
        </w:rPr>
        <w:t>הרשעתו</w:t>
      </w:r>
      <w:r>
        <w:rPr>
          <w:b/>
          <w:bCs/>
        </w:rPr>
        <w:t xml:space="preserve"> </w:t>
      </w:r>
      <w:r>
        <w:rPr>
          <w:b/>
          <w:bCs/>
          <w:rtl/>
        </w:rPr>
        <w:t>הראשונ</w:t>
      </w:r>
      <w:r>
        <w:rPr>
          <w:rFonts w:hint="cs"/>
          <w:b/>
          <w:bCs/>
          <w:rtl/>
        </w:rPr>
        <w:t xml:space="preserve">ה" </w:t>
      </w:r>
      <w:r>
        <w:rPr>
          <w:b/>
          <w:bCs/>
        </w:rPr>
        <w:t xml:space="preserve"> </w:t>
      </w:r>
      <w:r>
        <w:rPr>
          <w:rFonts w:hint="cs"/>
          <w:b/>
          <w:bCs/>
          <w:rtl/>
        </w:rPr>
        <w:t xml:space="preserve"> </w:t>
      </w:r>
    </w:p>
    <w:p w14:paraId="30E4D4DE" w14:textId="77777777" w:rsidR="00DC4E4D" w:rsidRDefault="000D6720">
      <w:pPr>
        <w:ind w:left="720" w:firstLine="697"/>
        <w:jc w:val="both"/>
        <w:rPr>
          <w:rtl/>
        </w:rPr>
      </w:pPr>
      <w:r>
        <w:rPr>
          <w:rFonts w:hint="cs"/>
          <w:rtl/>
        </w:rPr>
        <w:t>(</w:t>
      </w:r>
      <w:hyperlink r:id="rId13" w:history="1">
        <w:r w:rsidR="000109B1" w:rsidRPr="000109B1">
          <w:rPr>
            <w:color w:val="0000FF"/>
            <w:u w:val="single"/>
            <w:rtl/>
          </w:rPr>
          <w:t>ע"פ 6583/06</w:t>
        </w:r>
      </w:hyperlink>
      <w:r>
        <w:rPr>
          <w:rFonts w:hint="cs"/>
          <w:b/>
          <w:bCs/>
          <w:rtl/>
        </w:rPr>
        <w:t xml:space="preserve"> אגא אדהאם</w:t>
      </w:r>
      <w:r>
        <w:rPr>
          <w:rFonts w:hint="cs"/>
          <w:rtl/>
        </w:rPr>
        <w:t xml:space="preserve"> נ' </w:t>
      </w:r>
      <w:r>
        <w:rPr>
          <w:rFonts w:hint="cs"/>
          <w:b/>
          <w:bCs/>
          <w:rtl/>
        </w:rPr>
        <w:t>מדינת ישראל,</w:t>
      </w:r>
      <w:r>
        <w:rPr>
          <w:rFonts w:hint="cs"/>
          <w:rtl/>
        </w:rPr>
        <w:t xml:space="preserve"> (5.12.2006).</w:t>
      </w:r>
    </w:p>
    <w:p w14:paraId="55C71706" w14:textId="77777777" w:rsidR="00DC4E4D" w:rsidRDefault="000D6720">
      <w:pPr>
        <w:ind w:left="720" w:firstLine="697"/>
        <w:jc w:val="both"/>
      </w:pPr>
      <w:r>
        <w:rPr>
          <w:rFonts w:hint="cs"/>
          <w:rtl/>
        </w:rPr>
        <w:t xml:space="preserve"> </w:t>
      </w:r>
    </w:p>
    <w:p w14:paraId="51CB1ADE" w14:textId="77777777" w:rsidR="00DC4E4D" w:rsidRDefault="000D6720">
      <w:pPr>
        <w:ind w:left="1417" w:right="1418"/>
        <w:jc w:val="both"/>
        <w:rPr>
          <w:rtl/>
        </w:rPr>
      </w:pPr>
      <w:r>
        <w:rPr>
          <w:rFonts w:hint="cs"/>
          <w:rtl/>
        </w:rPr>
        <w:t xml:space="preserve">(ראו עוד עונשי מאסר בפועל כנגד נאשמים ללא עבר פלילי, </w:t>
      </w:r>
      <w:hyperlink r:id="rId14" w:history="1">
        <w:r w:rsidR="000109B1" w:rsidRPr="000109B1">
          <w:rPr>
            <w:color w:val="0000FF"/>
            <w:u w:val="single"/>
            <w:rtl/>
          </w:rPr>
          <w:t>רע"פ 4633/13</w:t>
        </w:r>
      </w:hyperlink>
      <w:r>
        <w:rPr>
          <w:rFonts w:hint="cs"/>
          <w:rtl/>
        </w:rPr>
        <w:t xml:space="preserve"> </w:t>
      </w:r>
      <w:r>
        <w:rPr>
          <w:rFonts w:hint="cs"/>
          <w:b/>
          <w:bCs/>
          <w:rtl/>
        </w:rPr>
        <w:t xml:space="preserve">רבאח געפר </w:t>
      </w:r>
      <w:r>
        <w:rPr>
          <w:rFonts w:hint="cs"/>
          <w:rtl/>
        </w:rPr>
        <w:t xml:space="preserve">נ' </w:t>
      </w:r>
      <w:r>
        <w:rPr>
          <w:rFonts w:hint="cs"/>
          <w:b/>
          <w:bCs/>
          <w:rtl/>
        </w:rPr>
        <w:t xml:space="preserve">מדינת ישראל, </w:t>
      </w:r>
      <w:r>
        <w:rPr>
          <w:rFonts w:hint="cs"/>
          <w:rtl/>
        </w:rPr>
        <w:t xml:space="preserve">(27.03.2013); </w:t>
      </w:r>
      <w:hyperlink r:id="rId15" w:history="1">
        <w:r w:rsidR="000109B1" w:rsidRPr="000109B1">
          <w:rPr>
            <w:color w:val="0000FF"/>
            <w:u w:val="single"/>
            <w:rtl/>
          </w:rPr>
          <w:t>רע"פ 898/11</w:t>
        </w:r>
      </w:hyperlink>
      <w:r>
        <w:rPr>
          <w:rFonts w:hint="cs"/>
          <w:rtl/>
        </w:rPr>
        <w:t xml:space="preserve"> </w:t>
      </w:r>
      <w:r>
        <w:rPr>
          <w:rFonts w:hint="cs"/>
          <w:b/>
          <w:bCs/>
          <w:rtl/>
        </w:rPr>
        <w:t xml:space="preserve">עטאללה אקרע </w:t>
      </w:r>
      <w:r>
        <w:rPr>
          <w:rFonts w:hint="cs"/>
          <w:rtl/>
        </w:rPr>
        <w:t xml:space="preserve">נ' </w:t>
      </w:r>
      <w:r>
        <w:rPr>
          <w:rFonts w:hint="cs"/>
          <w:b/>
          <w:bCs/>
          <w:rtl/>
        </w:rPr>
        <w:t>מדינת ישראל,</w:t>
      </w:r>
      <w:r>
        <w:rPr>
          <w:rFonts w:hint="cs"/>
          <w:rtl/>
        </w:rPr>
        <w:t xml:space="preserve"> (2.2.2011)).</w:t>
      </w:r>
    </w:p>
    <w:p w14:paraId="77D2A0BE" w14:textId="77777777" w:rsidR="00DC4E4D" w:rsidRDefault="000D6720">
      <w:pPr>
        <w:jc w:val="both"/>
        <w:rPr>
          <w:rFonts w:cs="Times New Roman"/>
          <w:rtl/>
        </w:rPr>
      </w:pPr>
      <w:r>
        <w:rPr>
          <w:rFonts w:cs="Times New Roman"/>
          <w:rtl/>
        </w:rPr>
        <w:lastRenderedPageBreak/>
        <w:tab/>
      </w:r>
    </w:p>
    <w:p w14:paraId="666DA104" w14:textId="77777777" w:rsidR="00DC4E4D" w:rsidRDefault="000D6720">
      <w:pPr>
        <w:spacing w:line="360" w:lineRule="auto"/>
        <w:ind w:left="720"/>
        <w:jc w:val="both"/>
        <w:rPr>
          <w:rtl/>
        </w:rPr>
      </w:pPr>
      <w:r>
        <w:rPr>
          <w:rFonts w:hint="cs"/>
          <w:rtl/>
        </w:rPr>
        <w:t xml:space="preserve">עבירת הגניבה בה הורשע הנאשם, מהווה פגיעה בקניין בעליו, וגורמת לא פעם אף לפגיעה בפרטיות ולטרחה רבה. </w:t>
      </w:r>
    </w:p>
    <w:p w14:paraId="16C70A5F" w14:textId="77777777" w:rsidR="00DC4E4D" w:rsidRDefault="00DC4E4D">
      <w:pPr>
        <w:spacing w:line="360" w:lineRule="auto"/>
        <w:jc w:val="both"/>
        <w:rPr>
          <w:rtl/>
        </w:rPr>
      </w:pPr>
    </w:p>
    <w:p w14:paraId="6CE591E9" w14:textId="77777777" w:rsidR="00DC4E4D" w:rsidRDefault="000D6720">
      <w:pPr>
        <w:spacing w:line="360" w:lineRule="auto"/>
        <w:ind w:left="720" w:hanging="720"/>
        <w:jc w:val="both"/>
        <w:rPr>
          <w:rtl/>
        </w:rPr>
      </w:pPr>
      <w:r>
        <w:rPr>
          <w:rFonts w:hint="cs"/>
          <w:rtl/>
        </w:rPr>
        <w:t>6.</w:t>
      </w:r>
      <w:r>
        <w:rPr>
          <w:rFonts w:hint="cs"/>
          <w:rtl/>
        </w:rPr>
        <w:tab/>
        <w:t xml:space="preserve">בחינת נסיבות האירוע, מעלה כי הנאשם ניצל שניות של חוסר ערנות מצד המתלונן, נטל את חפציו, ועזב את המקום. הנאשם זיהה מיד כי בידיו אקדח, בנוסף לפריטים שונים מהם ניתן היה  ללמוד על זהות המתלונן. יחד עם זאת, בחר הנאשם לקחת את הנשק לביתו, ומסר אותו לידי המשטרה רק לאחר ששוטרים הגיעו אליו, כעבור מספר ימים. </w:t>
      </w:r>
    </w:p>
    <w:p w14:paraId="3E1B88B6" w14:textId="77777777" w:rsidR="00DC4E4D" w:rsidRDefault="000D6720">
      <w:pPr>
        <w:spacing w:line="360" w:lineRule="auto"/>
        <w:ind w:left="720" w:hanging="720"/>
        <w:jc w:val="both"/>
        <w:rPr>
          <w:rtl/>
        </w:rPr>
      </w:pPr>
      <w:r>
        <w:rPr>
          <w:rtl/>
        </w:rPr>
        <w:tab/>
      </w:r>
      <w:r>
        <w:rPr>
          <w:rFonts w:hint="cs"/>
          <w:rtl/>
        </w:rPr>
        <w:t xml:space="preserve">לאחר שבחנתי את האמור לעיל, וכן לאור הפסיקה הנוהגת, אני קובע כי מתחם הענישה באירוע זה, נע בין מאסר בפועל למשך 6 חודשים ועד מאסר למשך 24 חודשים. </w:t>
      </w:r>
    </w:p>
    <w:p w14:paraId="41588BB4" w14:textId="77777777" w:rsidR="00DC4E4D" w:rsidRDefault="00DC4E4D">
      <w:pPr>
        <w:spacing w:line="360" w:lineRule="auto"/>
        <w:ind w:left="720" w:hanging="720"/>
        <w:jc w:val="both"/>
        <w:rPr>
          <w:rtl/>
        </w:rPr>
      </w:pPr>
    </w:p>
    <w:p w14:paraId="7CF44D35" w14:textId="77777777" w:rsidR="00DC4E4D" w:rsidRDefault="000D6720">
      <w:pPr>
        <w:spacing w:line="360" w:lineRule="auto"/>
        <w:ind w:left="720" w:hanging="720"/>
        <w:jc w:val="both"/>
        <w:rPr>
          <w:b/>
          <w:bCs/>
          <w:u w:val="single"/>
          <w:rtl/>
        </w:rPr>
      </w:pPr>
      <w:r>
        <w:rPr>
          <w:rFonts w:hint="cs"/>
          <w:b/>
          <w:bCs/>
          <w:u w:val="single"/>
          <w:rtl/>
        </w:rPr>
        <w:t>העונש המתאים</w:t>
      </w:r>
    </w:p>
    <w:p w14:paraId="4342DBC5" w14:textId="77777777" w:rsidR="00DC4E4D" w:rsidRDefault="000D6720">
      <w:pPr>
        <w:spacing w:line="360" w:lineRule="auto"/>
        <w:ind w:left="720" w:hanging="720"/>
        <w:jc w:val="both"/>
        <w:rPr>
          <w:rtl/>
        </w:rPr>
      </w:pPr>
      <w:r>
        <w:rPr>
          <w:rFonts w:hint="cs"/>
          <w:rtl/>
        </w:rPr>
        <w:t>7.</w:t>
      </w:r>
      <w:r>
        <w:rPr>
          <w:rFonts w:hint="cs"/>
          <w:rtl/>
        </w:rPr>
        <w:tab/>
        <w:t xml:space="preserve">הנאשם לא הפנים את הפסול במעשיו, ולא הודה במיוחס לו. אין לזקוף זאת לחובתו, ואולם הנאשם אינו יכול לטעון לחרטה בגין מעשיו. ניתן ללמוד על גישתו המקלה והמוטעית של הנאשם כלפי העבירות בהן הורשע, מהעובדה שהחזיק ברשותו, במשך שנים, אף תחמושת ושתי מחסניות (עמ' 12 שורה 26 לפרו'). לא מצאתי כי יש להקל בעונשו של הנאשם לאור העובדה שתיק החקירה כנגד בעל הרכוש והאקדח נגנז, שכן לא ניתן ללמוד גזירה שווה ממעשיו של הנאשם להתנהלות המתלונן, כפי שפורט לעיל. </w:t>
      </w:r>
    </w:p>
    <w:p w14:paraId="76F5F598" w14:textId="77777777" w:rsidR="00DC4E4D" w:rsidRDefault="000D6720">
      <w:pPr>
        <w:spacing w:line="360" w:lineRule="auto"/>
        <w:ind w:left="720"/>
        <w:jc w:val="both"/>
        <w:rPr>
          <w:rtl/>
        </w:rPr>
      </w:pPr>
      <w:r>
        <w:rPr>
          <w:rFonts w:hint="cs"/>
          <w:rtl/>
        </w:rPr>
        <w:t>לצד זאת, מדובר בנאשם נעדר עבר פלילי, אב לשני ילדים, המנהל בדרך כלל אורח חיים נורמטיבי. אין ספק שענישה מחמירה תפגע בנאשם בעצמו וכן במשפחתו הקרובה.</w:t>
      </w:r>
    </w:p>
    <w:p w14:paraId="54DBD109" w14:textId="77777777" w:rsidR="00DC4E4D" w:rsidRDefault="000D6720">
      <w:pPr>
        <w:spacing w:line="360" w:lineRule="auto"/>
        <w:ind w:left="720"/>
        <w:jc w:val="both"/>
        <w:rPr>
          <w:rtl/>
        </w:rPr>
      </w:pPr>
      <w:r>
        <w:rPr>
          <w:rFonts w:hint="cs"/>
          <w:rtl/>
        </w:rPr>
        <w:t xml:space="preserve"> </w:t>
      </w:r>
    </w:p>
    <w:p w14:paraId="0FEF3A30" w14:textId="77777777" w:rsidR="00DC4E4D" w:rsidRDefault="000D6720">
      <w:pPr>
        <w:spacing w:line="360" w:lineRule="auto"/>
        <w:ind w:firstLine="720"/>
        <w:jc w:val="both"/>
        <w:rPr>
          <w:rtl/>
        </w:rPr>
      </w:pPr>
      <w:r>
        <w:rPr>
          <w:rFonts w:hint="cs"/>
          <w:rtl/>
        </w:rPr>
        <w:t xml:space="preserve">לאחר ששקלתי את כל האמור לעיל, החלטתי להטיל על הנאשם את העונשים הבאים: </w:t>
      </w:r>
    </w:p>
    <w:p w14:paraId="6797F6D6" w14:textId="77777777" w:rsidR="00DC4E4D" w:rsidRDefault="000D6720">
      <w:pPr>
        <w:spacing w:line="360" w:lineRule="auto"/>
        <w:ind w:firstLine="720"/>
        <w:jc w:val="both"/>
        <w:rPr>
          <w:rtl/>
        </w:rPr>
      </w:pPr>
      <w:r>
        <w:rPr>
          <w:rFonts w:hint="cs"/>
          <w:rtl/>
        </w:rPr>
        <w:t xml:space="preserve">א. </w:t>
      </w:r>
      <w:r>
        <w:rPr>
          <w:rFonts w:hint="cs"/>
          <w:rtl/>
        </w:rPr>
        <w:tab/>
        <w:t xml:space="preserve">8 חודשי מאסר. </w:t>
      </w:r>
    </w:p>
    <w:p w14:paraId="4BE560CF" w14:textId="77777777" w:rsidR="00DC4E4D" w:rsidRDefault="000D6720">
      <w:pPr>
        <w:spacing w:line="360" w:lineRule="auto"/>
        <w:ind w:left="1440" w:hanging="720"/>
        <w:jc w:val="both"/>
        <w:rPr>
          <w:rtl/>
        </w:rPr>
      </w:pPr>
      <w:r>
        <w:rPr>
          <w:rFonts w:hint="cs"/>
          <w:rtl/>
        </w:rPr>
        <w:t xml:space="preserve">ב. </w:t>
      </w:r>
      <w:r>
        <w:rPr>
          <w:rFonts w:hint="cs"/>
          <w:rtl/>
        </w:rPr>
        <w:tab/>
        <w:t xml:space="preserve">6 חודשי מאסר, אותם לא ירצה אלא יעבור תוך 3 שנים משחרורו עבירה על </w:t>
      </w:r>
      <w:hyperlink r:id="rId16" w:history="1">
        <w:r w:rsidR="00E6176A" w:rsidRPr="00E6176A">
          <w:rPr>
            <w:color w:val="0000FF"/>
            <w:u w:val="single"/>
            <w:rtl/>
          </w:rPr>
          <w:t>סעיף 144</w:t>
        </w:r>
      </w:hyperlink>
      <w:r>
        <w:rPr>
          <w:rFonts w:hint="cs"/>
          <w:rtl/>
        </w:rPr>
        <w:t xml:space="preserve"> ל</w:t>
      </w:r>
      <w:hyperlink r:id="rId17" w:history="1">
        <w:r w:rsidR="000109B1" w:rsidRPr="000109B1">
          <w:rPr>
            <w:color w:val="0000FF"/>
            <w:u w:val="single"/>
            <w:rtl/>
          </w:rPr>
          <w:t>חוק העונשין</w:t>
        </w:r>
      </w:hyperlink>
      <w:r>
        <w:rPr>
          <w:rFonts w:hint="cs"/>
          <w:rtl/>
        </w:rPr>
        <w:t>.</w:t>
      </w:r>
    </w:p>
    <w:p w14:paraId="39BFC2B6" w14:textId="77777777" w:rsidR="00DC4E4D" w:rsidRDefault="000D6720">
      <w:pPr>
        <w:spacing w:line="360" w:lineRule="auto"/>
        <w:ind w:left="1440" w:hanging="720"/>
        <w:jc w:val="both"/>
        <w:rPr>
          <w:rtl/>
        </w:rPr>
      </w:pPr>
      <w:r>
        <w:rPr>
          <w:rFonts w:hint="cs"/>
          <w:rtl/>
        </w:rPr>
        <w:t>ג.</w:t>
      </w:r>
      <w:r>
        <w:rPr>
          <w:rFonts w:hint="cs"/>
          <w:rtl/>
        </w:rPr>
        <w:tab/>
        <w:t xml:space="preserve">3 חודשי מאסר, אותם לא ירצה אלא יעבור תוך 3 שנים משחרורו עבירת רכוש מסוג כלשהו. </w:t>
      </w:r>
    </w:p>
    <w:p w14:paraId="0C9D8DF9" w14:textId="77777777" w:rsidR="00DC4E4D" w:rsidRDefault="00DC4E4D">
      <w:pPr>
        <w:spacing w:line="360" w:lineRule="auto"/>
        <w:ind w:left="720" w:hanging="720"/>
        <w:jc w:val="both"/>
      </w:pPr>
    </w:p>
    <w:p w14:paraId="135C325F" w14:textId="77777777" w:rsidR="00DC4E4D" w:rsidRDefault="000D6720">
      <w:pPr>
        <w:autoSpaceDE w:val="0"/>
        <w:autoSpaceDN w:val="0"/>
        <w:adjustRightInd w:val="0"/>
        <w:spacing w:before="100" w:after="100" w:line="360" w:lineRule="auto"/>
        <w:jc w:val="both"/>
        <w:rPr>
          <w:rtl/>
        </w:rPr>
      </w:pPr>
      <w:r>
        <w:rPr>
          <w:rFonts w:hint="cs"/>
          <w:rtl/>
        </w:rPr>
        <w:t xml:space="preserve">זכות ערעור לבית המשפט המחוזי בירושלים, תוך 45 ימים מהיום. </w:t>
      </w:r>
    </w:p>
    <w:p w14:paraId="530520BB" w14:textId="77777777" w:rsidR="00DC4E4D" w:rsidRPr="000109B1" w:rsidRDefault="000109B1">
      <w:pPr>
        <w:spacing w:line="360" w:lineRule="auto"/>
        <w:jc w:val="both"/>
        <w:rPr>
          <w:rFonts w:ascii="Arial" w:hAnsi="Arial"/>
          <w:color w:val="FFFFFF"/>
          <w:sz w:val="2"/>
          <w:szCs w:val="2"/>
          <w:rtl/>
        </w:rPr>
      </w:pPr>
      <w:r w:rsidRPr="000109B1">
        <w:rPr>
          <w:rFonts w:ascii="Arial" w:hAnsi="Arial"/>
          <w:color w:val="FFFFFF"/>
          <w:sz w:val="2"/>
          <w:szCs w:val="2"/>
          <w:rtl/>
        </w:rPr>
        <w:t>5129371</w:t>
      </w:r>
    </w:p>
    <w:p w14:paraId="06C584F2" w14:textId="77777777" w:rsidR="00DC4E4D" w:rsidRDefault="000109B1">
      <w:pPr>
        <w:spacing w:line="360" w:lineRule="auto"/>
        <w:jc w:val="both"/>
        <w:rPr>
          <w:rFonts w:cs="FrankRuehl"/>
          <w:sz w:val="28"/>
          <w:szCs w:val="28"/>
          <w:rtl/>
        </w:rPr>
      </w:pPr>
      <w:r w:rsidRPr="000109B1">
        <w:rPr>
          <w:rFonts w:ascii="Arial" w:hAnsi="Arial"/>
          <w:color w:val="FFFFFF"/>
          <w:sz w:val="2"/>
          <w:szCs w:val="2"/>
          <w:rtl/>
        </w:rPr>
        <w:t>54678313</w:t>
      </w:r>
      <w:r>
        <w:rPr>
          <w:rFonts w:ascii="Arial" w:hAnsi="Arial"/>
          <w:rtl/>
        </w:rPr>
        <w:t xml:space="preserve">ניתן היום,  י"ד שבט תשע"ו, 24 ינואר 2016, במעמד הצדדים. </w:t>
      </w:r>
    </w:p>
    <w:p w14:paraId="6289F7AD" w14:textId="77777777" w:rsidR="00DC4E4D" w:rsidRDefault="000D6720">
      <w:pPr>
        <w:spacing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1EF97CA" w14:textId="77777777" w:rsidR="00DC4E4D" w:rsidRDefault="00DC4E4D">
      <w:pPr>
        <w:spacing w:line="360" w:lineRule="auto"/>
        <w:jc w:val="both"/>
        <w:rPr>
          <w:rFonts w:ascii="Arial" w:hAnsi="Arial" w:cs="FrankRuehl"/>
          <w:sz w:val="28"/>
          <w:szCs w:val="28"/>
          <w:rtl/>
        </w:rPr>
      </w:pPr>
    </w:p>
    <w:p w14:paraId="3F9F0875" w14:textId="77777777" w:rsidR="00DC4E4D" w:rsidRDefault="00DC4E4D">
      <w:pPr>
        <w:spacing w:line="360" w:lineRule="auto"/>
        <w:jc w:val="both"/>
        <w:rPr>
          <w:rFonts w:cs="FrankRuehl"/>
          <w:sz w:val="28"/>
          <w:szCs w:val="28"/>
          <w:rtl/>
        </w:rPr>
      </w:pPr>
    </w:p>
    <w:p w14:paraId="531455CE" w14:textId="77777777" w:rsidR="00DC4E4D" w:rsidRPr="00E6176A" w:rsidRDefault="00E6176A">
      <w:pPr>
        <w:pStyle w:val="a3"/>
        <w:spacing w:line="360" w:lineRule="auto"/>
        <w:jc w:val="both"/>
        <w:rPr>
          <w:color w:val="FFFFFF"/>
          <w:sz w:val="2"/>
          <w:szCs w:val="2"/>
          <w:rtl/>
        </w:rPr>
      </w:pPr>
      <w:r w:rsidRPr="00E6176A">
        <w:rPr>
          <w:color w:val="FFFFFF"/>
          <w:sz w:val="2"/>
          <w:szCs w:val="2"/>
          <w:rtl/>
        </w:rPr>
        <w:t>5129371</w:t>
      </w:r>
    </w:p>
    <w:p w14:paraId="4E2CAFDA" w14:textId="77777777" w:rsidR="00DC4E4D" w:rsidRPr="00E6176A" w:rsidRDefault="00E6176A" w:rsidP="000109B1">
      <w:pPr>
        <w:keepNext/>
        <w:rPr>
          <w:rFonts w:ascii="David" w:hAnsi="David"/>
          <w:color w:val="FFFFFF"/>
          <w:sz w:val="2"/>
          <w:szCs w:val="2"/>
          <w:rtl/>
        </w:rPr>
      </w:pPr>
      <w:r w:rsidRPr="00E6176A">
        <w:rPr>
          <w:rFonts w:ascii="David" w:hAnsi="David"/>
          <w:color w:val="FFFFFF"/>
          <w:sz w:val="2"/>
          <w:szCs w:val="2"/>
          <w:rtl/>
        </w:rPr>
        <w:t>54678313</w:t>
      </w:r>
    </w:p>
    <w:p w14:paraId="23632D3E" w14:textId="77777777" w:rsidR="000109B1" w:rsidRPr="000109B1" w:rsidRDefault="000109B1" w:rsidP="000109B1">
      <w:pPr>
        <w:keepNext/>
        <w:rPr>
          <w:rFonts w:ascii="David" w:hAnsi="David"/>
          <w:color w:val="000000"/>
          <w:sz w:val="22"/>
          <w:szCs w:val="22"/>
          <w:rtl/>
        </w:rPr>
      </w:pPr>
      <w:r w:rsidRPr="000109B1">
        <w:rPr>
          <w:rFonts w:ascii="David" w:hAnsi="David"/>
          <w:color w:val="000000"/>
          <w:sz w:val="22"/>
          <w:szCs w:val="22"/>
          <w:rtl/>
        </w:rPr>
        <w:t>איתן קורנהאוזר 54678313</w:t>
      </w:r>
    </w:p>
    <w:p w14:paraId="2ECB5E58" w14:textId="77777777" w:rsidR="000109B1" w:rsidRDefault="000109B1" w:rsidP="000109B1">
      <w:r w:rsidRPr="000109B1">
        <w:rPr>
          <w:color w:val="000000"/>
          <w:rtl/>
        </w:rPr>
        <w:t>נוסח מסמך זה כפוף לשינויי ניסוח ועריכה</w:t>
      </w:r>
    </w:p>
    <w:p w14:paraId="4AEF1FFF" w14:textId="77777777" w:rsidR="000109B1" w:rsidRDefault="000109B1" w:rsidP="000109B1">
      <w:pPr>
        <w:rPr>
          <w:rtl/>
        </w:rPr>
      </w:pPr>
    </w:p>
    <w:p w14:paraId="52AB6528" w14:textId="77777777" w:rsidR="000109B1" w:rsidRDefault="000109B1" w:rsidP="000109B1">
      <w:pPr>
        <w:jc w:val="center"/>
        <w:rPr>
          <w:rFonts w:hint="cs"/>
          <w:color w:val="0000FF"/>
          <w:u w:val="single"/>
          <w:rtl/>
        </w:rPr>
      </w:pPr>
      <w:hyperlink r:id="rId18" w:history="1">
        <w:r>
          <w:rPr>
            <w:color w:val="0000FF"/>
            <w:u w:val="single"/>
            <w:rtl/>
          </w:rPr>
          <w:t>בעניין עריכה ושינויים במסמכי פסיקה, חקיקה ועוד באתר נבו – הקש כאן</w:t>
        </w:r>
      </w:hyperlink>
    </w:p>
    <w:p w14:paraId="1454A279" w14:textId="77777777" w:rsidR="0059482E" w:rsidRDefault="0059482E" w:rsidP="000109B1">
      <w:pPr>
        <w:jc w:val="center"/>
        <w:rPr>
          <w:color w:val="0000FF"/>
          <w:u w:val="single"/>
        </w:rPr>
      </w:pPr>
    </w:p>
    <w:p w14:paraId="0DE9C7DD" w14:textId="77777777" w:rsidR="000109B1" w:rsidRDefault="000109B1" w:rsidP="00E6176A">
      <w:pPr>
        <w:rPr>
          <w:rFonts w:hint="cs"/>
          <w:color w:val="0000FF"/>
          <w:u w:val="single"/>
          <w:rtl/>
        </w:rPr>
      </w:pPr>
    </w:p>
    <w:p w14:paraId="5CA51CD6" w14:textId="77777777" w:rsidR="002D1C33" w:rsidRPr="00E6176A" w:rsidRDefault="002D1C33" w:rsidP="00E6176A">
      <w:pPr>
        <w:rPr>
          <w:color w:val="0000FF"/>
          <w:u w:val="single"/>
        </w:rPr>
      </w:pPr>
    </w:p>
    <w:sectPr w:rsidR="002D1C33" w:rsidRPr="00E6176A" w:rsidSect="00E6176A">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50785" w14:textId="77777777" w:rsidR="00B406F7" w:rsidRDefault="00B406F7" w:rsidP="00DC4E4D">
      <w:r>
        <w:separator/>
      </w:r>
    </w:p>
  </w:endnote>
  <w:endnote w:type="continuationSeparator" w:id="0">
    <w:p w14:paraId="2594B2C0" w14:textId="77777777" w:rsidR="00B406F7" w:rsidRDefault="00B406F7" w:rsidP="00DC4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B7710" w14:textId="77777777" w:rsidR="00E6176A" w:rsidRDefault="00E6176A" w:rsidP="00E6176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B39DA5" w14:textId="77777777" w:rsidR="00DC4E4D" w:rsidRPr="00E6176A" w:rsidRDefault="00E6176A" w:rsidP="00E6176A">
    <w:pPr>
      <w:pStyle w:val="a4"/>
      <w:pBdr>
        <w:top w:val="single" w:sz="4" w:space="1" w:color="auto"/>
        <w:between w:val="single" w:sz="4" w:space="0" w:color="auto"/>
      </w:pBdr>
      <w:spacing w:after="60"/>
      <w:jc w:val="center"/>
      <w:rPr>
        <w:rFonts w:ascii="FrankRuehl" w:hAnsi="FrankRuehl" w:cs="FrankRuehl"/>
        <w:color w:val="000000"/>
      </w:rPr>
    </w:pPr>
    <w:r w:rsidRPr="00E6176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94FEF" w14:textId="77777777" w:rsidR="00E6176A" w:rsidRDefault="00E6176A" w:rsidP="00E6176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2BB5">
      <w:rPr>
        <w:rFonts w:ascii="FrankRuehl" w:hAnsi="FrankRuehl" w:cs="FrankRuehl"/>
        <w:noProof/>
        <w:rtl/>
      </w:rPr>
      <w:t>1</w:t>
    </w:r>
    <w:r>
      <w:rPr>
        <w:rFonts w:ascii="FrankRuehl" w:hAnsi="FrankRuehl" w:cs="FrankRuehl"/>
        <w:rtl/>
      </w:rPr>
      <w:fldChar w:fldCharType="end"/>
    </w:r>
  </w:p>
  <w:p w14:paraId="305C678E" w14:textId="77777777" w:rsidR="00DC4E4D" w:rsidRPr="00E6176A" w:rsidRDefault="00E6176A" w:rsidP="00E6176A">
    <w:pPr>
      <w:pStyle w:val="a4"/>
      <w:pBdr>
        <w:top w:val="single" w:sz="4" w:space="1" w:color="auto"/>
        <w:between w:val="single" w:sz="4" w:space="0" w:color="auto"/>
      </w:pBdr>
      <w:spacing w:after="60"/>
      <w:jc w:val="center"/>
      <w:rPr>
        <w:rFonts w:ascii="FrankRuehl" w:hAnsi="FrankRuehl" w:cs="FrankRuehl"/>
        <w:color w:val="000000"/>
      </w:rPr>
    </w:pPr>
    <w:r w:rsidRPr="00E6176A">
      <w:rPr>
        <w:rFonts w:ascii="FrankRuehl" w:hAnsi="FrankRuehl" w:cs="FrankRuehl"/>
        <w:color w:val="000000"/>
      </w:rPr>
      <w:pict w14:anchorId="4F9F3A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782DF" w14:textId="77777777" w:rsidR="00B406F7" w:rsidRDefault="00B406F7" w:rsidP="00DC4E4D">
      <w:r>
        <w:separator/>
      </w:r>
    </w:p>
  </w:footnote>
  <w:footnote w:type="continuationSeparator" w:id="0">
    <w:p w14:paraId="7A341643" w14:textId="77777777" w:rsidR="00B406F7" w:rsidRDefault="00B406F7" w:rsidP="00DC4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56031" w14:textId="77777777" w:rsidR="000109B1" w:rsidRPr="00E6176A" w:rsidRDefault="00E6176A" w:rsidP="00E6176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16047-09-14</w:t>
    </w:r>
    <w:r>
      <w:rPr>
        <w:rFonts w:ascii="David" w:hAnsi="David"/>
        <w:color w:val="000000"/>
        <w:sz w:val="22"/>
        <w:szCs w:val="22"/>
        <w:rtl/>
      </w:rPr>
      <w:tab/>
      <w:t xml:space="preserve"> מדינת ישראל נ' דמיטרי סיניצקי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AA5F6" w14:textId="77777777" w:rsidR="000109B1" w:rsidRPr="00E6176A" w:rsidRDefault="00E6176A" w:rsidP="00E6176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16047-09-14</w:t>
    </w:r>
    <w:r>
      <w:rPr>
        <w:rFonts w:ascii="David" w:hAnsi="David"/>
        <w:color w:val="000000"/>
        <w:sz w:val="22"/>
        <w:szCs w:val="22"/>
        <w:rtl/>
      </w:rPr>
      <w:tab/>
      <w:t xml:space="preserve"> מדינת ישראל נ' דמיטרי סיניצקי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C4E4D"/>
    <w:rsid w:val="000109B1"/>
    <w:rsid w:val="000D6720"/>
    <w:rsid w:val="002B3FDC"/>
    <w:rsid w:val="002C7C91"/>
    <w:rsid w:val="002D1C33"/>
    <w:rsid w:val="00302BB5"/>
    <w:rsid w:val="0059482E"/>
    <w:rsid w:val="00955191"/>
    <w:rsid w:val="00B406F7"/>
    <w:rsid w:val="00DC4E4D"/>
    <w:rsid w:val="00DF1827"/>
    <w:rsid w:val="00E101F2"/>
    <w:rsid w:val="00E6176A"/>
    <w:rsid w:val="00E9553F"/>
    <w:rsid w:val="00FF7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EE030A"/>
  <w15:chartTrackingRefBased/>
  <w15:docId w15:val="{6B3BC8A2-FF9F-4A57-9167-C7AB8389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75F4"/>
    <w:pPr>
      <w:bidi/>
    </w:pPr>
    <w:rPr>
      <w:rFonts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975F4"/>
    <w:pPr>
      <w:tabs>
        <w:tab w:val="center" w:pos="4153"/>
        <w:tab w:val="right" w:pos="8306"/>
      </w:tabs>
    </w:pPr>
  </w:style>
  <w:style w:type="paragraph" w:styleId="a4">
    <w:name w:val="footer"/>
    <w:basedOn w:val="a"/>
    <w:rsid w:val="00D975F4"/>
    <w:pPr>
      <w:tabs>
        <w:tab w:val="center" w:pos="4153"/>
        <w:tab w:val="right" w:pos="8306"/>
      </w:tabs>
    </w:pPr>
  </w:style>
  <w:style w:type="character" w:styleId="a5">
    <w:name w:val="page number"/>
    <w:basedOn w:val="a0"/>
    <w:rsid w:val="00D975F4"/>
  </w:style>
  <w:style w:type="character" w:styleId="Hyperlink">
    <w:name w:val="Hyperlink"/>
    <w:rsid w:val="000109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6072945"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144"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144"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5733731" TargetMode="External"/><Relationship Id="rId23" Type="http://schemas.openxmlformats.org/officeDocument/2006/relationships/fontTable" Target="fontTable.xml"/><Relationship Id="rId10" Type="http://schemas.openxmlformats.org/officeDocument/2006/relationships/hyperlink" Target="http://www.nevo.co.il/law/70301/384"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84" TargetMode="External"/><Relationship Id="rId14" Type="http://schemas.openxmlformats.org/officeDocument/2006/relationships/hyperlink" Target="http://www.nevo.co.il/case/7700961"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4138</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4956</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3145843</vt:i4>
      </vt:variant>
      <vt:variant>
        <vt:i4>27</vt:i4>
      </vt:variant>
      <vt:variant>
        <vt:i4>0</vt:i4>
      </vt:variant>
      <vt:variant>
        <vt:i4>5</vt:i4>
      </vt:variant>
      <vt:variant>
        <vt:lpwstr>http://www.nevo.co.il/case/5733731</vt:lpwstr>
      </vt:variant>
      <vt:variant>
        <vt:lpwstr/>
      </vt:variant>
      <vt:variant>
        <vt:i4>4128885</vt:i4>
      </vt:variant>
      <vt:variant>
        <vt:i4>24</vt:i4>
      </vt:variant>
      <vt:variant>
        <vt:i4>0</vt:i4>
      </vt:variant>
      <vt:variant>
        <vt:i4>5</vt:i4>
      </vt:variant>
      <vt:variant>
        <vt:lpwstr>http://www.nevo.co.il/case/7700961</vt:lpwstr>
      </vt:variant>
      <vt:variant>
        <vt:lpwstr/>
      </vt:variant>
      <vt:variant>
        <vt:i4>3997810</vt:i4>
      </vt:variant>
      <vt:variant>
        <vt:i4>21</vt:i4>
      </vt:variant>
      <vt:variant>
        <vt:i4>0</vt:i4>
      </vt:variant>
      <vt:variant>
        <vt:i4>5</vt:i4>
      </vt:variant>
      <vt:variant>
        <vt:lpwstr>http://www.nevo.co.il/case/6072945</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2025-01-19T17:35:00Z</dcterms:created>
  <dcterms:modified xsi:type="dcterms:W3CDTF">2025-01-19T17:35:00Z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16047</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דמיטרי סיניצקי</vt:lpwstr>
  </property>
  <property fmtid="{D5CDD505-2E9C-101B-9397-08002B2CF9AE}" pid="10" name="JUDGE">
    <vt:lpwstr>איתן קורנהאוזר</vt:lpwstr>
  </property>
  <property fmtid="{D5CDD505-2E9C-101B-9397-08002B2CF9AE}" pid="11" name="CITY">
    <vt:lpwstr>י-ם</vt:lpwstr>
  </property>
  <property fmtid="{D5CDD505-2E9C-101B-9397-08002B2CF9AE}" pid="12" name="DATE">
    <vt:lpwstr>20160124</vt:lpwstr>
  </property>
  <property fmtid="{D5CDD505-2E9C-101B-9397-08002B2CF9AE}" pid="13" name="TYPE_N_DATE">
    <vt:lpwstr>38020160124</vt:lpwstr>
  </property>
  <property fmtid="{D5CDD505-2E9C-101B-9397-08002B2CF9AE}" pid="14" name="WORDNUMPAGES">
    <vt:lpwstr>4</vt:lpwstr>
  </property>
  <property fmtid="{D5CDD505-2E9C-101B-9397-08002B2CF9AE}" pid="15" name="TYPE_ABS_DATE">
    <vt:lpwstr>380020160124</vt:lpwstr>
  </property>
  <property fmtid="{D5CDD505-2E9C-101B-9397-08002B2CF9AE}" pid="16" name="ISABSTRACT">
    <vt:lpwstr>Y</vt:lpwstr>
  </property>
  <property fmtid="{D5CDD505-2E9C-101B-9397-08002B2CF9AE}" pid="17" name="CASESLISTTMP1">
    <vt:lpwstr>6072945;7700961;5733731</vt:lpwstr>
  </property>
  <property fmtid="{D5CDD505-2E9C-101B-9397-08002B2CF9AE}" pid="18" name="LAWLISTTMP1">
    <vt:lpwstr>70301/384;144.a;144</vt:lpwstr>
  </property>
</Properties>
</file>