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3A5CE8" w:rsidRPr="00DB5AF5" w14:paraId="5C74CA97" w14:textId="77777777">
        <w:trPr>
          <w:trHeight w:hRule="exact" w:val="704"/>
          <w:jc w:val="center"/>
        </w:trPr>
        <w:tc>
          <w:tcPr>
            <w:tcW w:w="8721" w:type="dxa"/>
            <w:gridSpan w:val="2"/>
          </w:tcPr>
          <w:p w14:paraId="689A91F9" w14:textId="77777777" w:rsidR="003A5CE8" w:rsidRPr="00DB5AF5" w:rsidRDefault="00DB5AF5">
            <w:pPr>
              <w:pStyle w:val="a4"/>
              <w:jc w:val="center"/>
              <w:rPr>
                <w:rFonts w:ascii="Tahoma" w:hAnsi="Tahoma" w:cs="Tahoma"/>
                <w:b/>
                <w:bCs/>
                <w:color w:val="000080"/>
                <w:rtl/>
              </w:rPr>
            </w:pPr>
            <w:bookmarkStart w:id="0" w:name="FirstLawyer"/>
            <w:bookmarkStart w:id="1" w:name="LastJudge"/>
            <w:r w:rsidRPr="00DB5AF5">
              <w:rPr>
                <w:rFonts w:ascii="Tahoma" w:hAnsi="Tahoma" w:cs="Tahoma"/>
                <w:b/>
                <w:bCs/>
                <w:color w:val="000080"/>
                <w:rtl/>
              </w:rPr>
              <w:t>בית משפט השלום בבאר שבע</w:t>
            </w:r>
          </w:p>
          <w:p w14:paraId="0CDEDA99" w14:textId="77777777" w:rsidR="003A5CE8" w:rsidRPr="00DB5AF5" w:rsidRDefault="003A5CE8">
            <w:pPr>
              <w:pStyle w:val="a4"/>
              <w:jc w:val="center"/>
              <w:rPr>
                <w:rFonts w:ascii="Tahoma" w:hAnsi="Tahoma" w:cs="Tahoma"/>
                <w:color w:val="000080"/>
                <w:rtl/>
              </w:rPr>
            </w:pPr>
          </w:p>
        </w:tc>
      </w:tr>
      <w:tr w:rsidR="003A5CE8" w:rsidRPr="00DB5AF5" w14:paraId="01009640" w14:textId="77777777">
        <w:trPr>
          <w:trHeight w:val="337"/>
          <w:jc w:val="center"/>
        </w:trPr>
        <w:tc>
          <w:tcPr>
            <w:tcW w:w="4473" w:type="dxa"/>
          </w:tcPr>
          <w:p w14:paraId="078CE6BD" w14:textId="77777777" w:rsidR="003A5CE8" w:rsidRPr="00DB5AF5" w:rsidRDefault="003A5CE8">
            <w:pPr>
              <w:rPr>
                <w:b/>
                <w:bCs/>
                <w:sz w:val="26"/>
                <w:szCs w:val="26"/>
                <w:rtl/>
              </w:rPr>
            </w:pPr>
          </w:p>
        </w:tc>
        <w:tc>
          <w:tcPr>
            <w:tcW w:w="4248" w:type="dxa"/>
          </w:tcPr>
          <w:p w14:paraId="437C9902" w14:textId="77777777" w:rsidR="003A5CE8" w:rsidRPr="00DB5AF5" w:rsidRDefault="00DB5AF5">
            <w:pPr>
              <w:pStyle w:val="a4"/>
              <w:jc w:val="right"/>
              <w:rPr>
                <w:b/>
                <w:bCs/>
                <w:sz w:val="26"/>
                <w:szCs w:val="26"/>
                <w:rtl/>
              </w:rPr>
            </w:pPr>
            <w:r w:rsidRPr="00DB5AF5">
              <w:rPr>
                <w:b/>
                <w:bCs/>
                <w:sz w:val="26"/>
                <w:szCs w:val="26"/>
                <w:rtl/>
              </w:rPr>
              <w:t>כ"ג חשוון תשע"ו</w:t>
            </w:r>
          </w:p>
          <w:p w14:paraId="1E06ABFC" w14:textId="77777777" w:rsidR="003A5CE8" w:rsidRPr="00DB5AF5" w:rsidRDefault="00DB5AF5">
            <w:pPr>
              <w:pStyle w:val="a4"/>
              <w:jc w:val="right"/>
              <w:rPr>
                <w:b/>
                <w:bCs/>
                <w:sz w:val="26"/>
                <w:szCs w:val="26"/>
                <w:rtl/>
              </w:rPr>
            </w:pPr>
            <w:r w:rsidRPr="00DB5AF5">
              <w:rPr>
                <w:rFonts w:hint="cs"/>
                <w:b/>
                <w:bCs/>
                <w:sz w:val="26"/>
                <w:szCs w:val="26"/>
                <w:rtl/>
              </w:rPr>
              <w:t>05 נובמבר 2015</w:t>
            </w:r>
          </w:p>
        </w:tc>
      </w:tr>
      <w:tr w:rsidR="003A5CE8" w:rsidRPr="00DB5AF5" w14:paraId="493BD5D4" w14:textId="77777777">
        <w:trPr>
          <w:trHeight w:val="337"/>
          <w:jc w:val="center"/>
        </w:trPr>
        <w:tc>
          <w:tcPr>
            <w:tcW w:w="8721" w:type="dxa"/>
            <w:gridSpan w:val="2"/>
          </w:tcPr>
          <w:p w14:paraId="0E90D578" w14:textId="77777777" w:rsidR="003A5CE8" w:rsidRPr="00DB5AF5" w:rsidRDefault="00DB5AF5">
            <w:pPr>
              <w:rPr>
                <w:b/>
                <w:bCs/>
                <w:sz w:val="26"/>
                <w:szCs w:val="26"/>
                <w:rtl/>
              </w:rPr>
            </w:pPr>
            <w:hyperlink r:id="rId6" w:history="1">
              <w:r w:rsidRPr="00DB5AF5">
                <w:rPr>
                  <w:b/>
                  <w:bCs/>
                  <w:color w:val="0000FF"/>
                  <w:sz w:val="26"/>
                  <w:szCs w:val="26"/>
                  <w:u w:val="single"/>
                  <w:rtl/>
                </w:rPr>
                <w:t>ת"פ 42836-09-14</w:t>
              </w:r>
            </w:hyperlink>
            <w:r w:rsidRPr="00DB5AF5">
              <w:rPr>
                <w:b/>
                <w:bCs/>
                <w:sz w:val="26"/>
                <w:szCs w:val="26"/>
                <w:rtl/>
              </w:rPr>
              <w:t xml:space="preserve"> מדינת ישראל נ' פר</w:t>
            </w:r>
            <w:r w:rsidRPr="00DB5AF5">
              <w:rPr>
                <w:rFonts w:hint="cs"/>
                <w:b/>
                <w:bCs/>
                <w:sz w:val="26"/>
                <w:szCs w:val="26"/>
                <w:rtl/>
              </w:rPr>
              <w:t xml:space="preserve">ג </w:t>
            </w:r>
          </w:p>
          <w:p w14:paraId="655A0342" w14:textId="77777777" w:rsidR="003A5CE8" w:rsidRPr="00DB5AF5" w:rsidRDefault="00DB5AF5">
            <w:pPr>
              <w:rPr>
                <w:rtl/>
              </w:rPr>
            </w:pPr>
            <w:r w:rsidRPr="00DB5AF5">
              <w:rPr>
                <w:rtl/>
              </w:rPr>
              <w:t xml:space="preserve">     </w:t>
            </w:r>
          </w:p>
        </w:tc>
      </w:tr>
    </w:tbl>
    <w:p w14:paraId="1786F5E4" w14:textId="77777777" w:rsidR="003A5CE8" w:rsidRPr="00DB5AF5" w:rsidRDefault="00DB5AF5">
      <w:pPr>
        <w:pStyle w:val="a4"/>
        <w:rPr>
          <w:rtl/>
        </w:rPr>
      </w:pPr>
      <w:r w:rsidRPr="00DB5AF5">
        <w:rPr>
          <w:rtl/>
        </w:rPr>
        <w:t xml:space="preserve"> </w:t>
      </w:r>
    </w:p>
    <w:p w14:paraId="2F93F76F" w14:textId="77777777" w:rsidR="003A5CE8" w:rsidRPr="00DB5AF5" w:rsidRDefault="003A5CE8">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3A5CE8" w:rsidRPr="00DB5AF5" w14:paraId="2DF4E432" w14:textId="77777777">
        <w:trPr>
          <w:jc w:val="center"/>
        </w:trPr>
        <w:tc>
          <w:tcPr>
            <w:tcW w:w="743" w:type="dxa"/>
            <w:shd w:val="clear" w:color="auto" w:fill="auto"/>
          </w:tcPr>
          <w:p w14:paraId="5A881B5D" w14:textId="77777777" w:rsidR="003A5CE8" w:rsidRPr="00DB5AF5" w:rsidRDefault="00DB5AF5">
            <w:pPr>
              <w:jc w:val="both"/>
              <w:rPr>
                <w:rFonts w:ascii="Arial" w:hAnsi="Arial"/>
                <w:b/>
                <w:bCs/>
              </w:rPr>
            </w:pPr>
            <w:r w:rsidRPr="00DB5AF5">
              <w:rPr>
                <w:rFonts w:ascii="Arial" w:hAnsi="Arial" w:hint="cs"/>
                <w:b/>
                <w:bCs/>
                <w:rtl/>
              </w:rPr>
              <w:t>לפני</w:t>
            </w:r>
          </w:p>
        </w:tc>
        <w:tc>
          <w:tcPr>
            <w:tcW w:w="8077" w:type="dxa"/>
            <w:gridSpan w:val="2"/>
            <w:shd w:val="clear" w:color="auto" w:fill="auto"/>
          </w:tcPr>
          <w:p w14:paraId="328EA7E9" w14:textId="77777777" w:rsidR="003A5CE8" w:rsidRPr="00DB5AF5" w:rsidRDefault="00DB5AF5">
            <w:pPr>
              <w:rPr>
                <w:rFonts w:ascii="Arial" w:hAnsi="Arial"/>
                <w:b/>
                <w:bCs/>
                <w:rtl/>
              </w:rPr>
            </w:pPr>
            <w:r w:rsidRPr="00DB5AF5">
              <w:rPr>
                <w:rFonts w:ascii="Arial" w:hAnsi="Arial" w:hint="cs"/>
                <w:b/>
                <w:bCs/>
                <w:rtl/>
              </w:rPr>
              <w:t>כב' ה</w:t>
            </w:r>
            <w:r w:rsidRPr="00DB5AF5">
              <w:rPr>
                <w:rFonts w:hint="cs"/>
                <w:rtl/>
              </w:rPr>
              <w:t>שופט</w:t>
            </w:r>
            <w:r w:rsidRPr="00DB5AF5">
              <w:rPr>
                <w:rFonts w:ascii="Arial" w:hAnsi="Arial" w:hint="cs"/>
                <w:b/>
                <w:bCs/>
                <w:rtl/>
              </w:rPr>
              <w:t xml:space="preserve">  </w:t>
            </w:r>
            <w:r w:rsidRPr="00DB5AF5">
              <w:rPr>
                <w:rFonts w:hint="cs"/>
                <w:rtl/>
              </w:rPr>
              <w:t>רון סולקין</w:t>
            </w:r>
          </w:p>
          <w:p w14:paraId="25CC696B" w14:textId="77777777" w:rsidR="003A5CE8" w:rsidRPr="00DB5AF5" w:rsidRDefault="003A5CE8">
            <w:pPr>
              <w:rPr>
                <w:rFonts w:ascii="Arial" w:hAnsi="Arial" w:cs="FrankRuehl"/>
                <w:sz w:val="28"/>
                <w:szCs w:val="28"/>
                <w:highlight w:val="yellow"/>
              </w:rPr>
            </w:pPr>
          </w:p>
        </w:tc>
      </w:tr>
      <w:tr w:rsidR="003A5CE8" w:rsidRPr="00DB5AF5" w14:paraId="413F9EA9" w14:textId="77777777">
        <w:trPr>
          <w:jc w:val="center"/>
        </w:trPr>
        <w:tc>
          <w:tcPr>
            <w:tcW w:w="3249" w:type="dxa"/>
            <w:gridSpan w:val="2"/>
            <w:shd w:val="clear" w:color="auto" w:fill="auto"/>
          </w:tcPr>
          <w:p w14:paraId="26E32017" w14:textId="77777777" w:rsidR="003A5CE8" w:rsidRPr="00DB5AF5" w:rsidRDefault="003A5CE8">
            <w:pPr>
              <w:bidi w:val="0"/>
              <w:jc w:val="right"/>
              <w:rPr>
                <w:rFonts w:ascii="Arial" w:hAnsi="Arial"/>
                <w:b/>
                <w:bCs/>
                <w:sz w:val="26"/>
                <w:szCs w:val="26"/>
              </w:rPr>
            </w:pPr>
            <w:bookmarkStart w:id="2" w:name="FirstAppellant"/>
          </w:p>
          <w:p w14:paraId="7252E898" w14:textId="77777777" w:rsidR="003A5CE8" w:rsidRPr="00DB5AF5" w:rsidRDefault="00DB5AF5">
            <w:pPr>
              <w:bidi w:val="0"/>
              <w:jc w:val="right"/>
              <w:rPr>
                <w:rFonts w:ascii="Arial" w:hAnsi="Arial"/>
                <w:b/>
                <w:bCs/>
                <w:sz w:val="26"/>
                <w:szCs w:val="26"/>
                <w:rtl/>
              </w:rPr>
            </w:pPr>
            <w:r w:rsidRPr="00DB5AF5">
              <w:rPr>
                <w:rFonts w:ascii="Arial" w:hAnsi="Arial" w:hint="cs"/>
                <w:b/>
                <w:bCs/>
                <w:sz w:val="26"/>
                <w:szCs w:val="26"/>
                <w:rtl/>
              </w:rPr>
              <w:t>המאשימה</w:t>
            </w:r>
          </w:p>
        </w:tc>
        <w:tc>
          <w:tcPr>
            <w:tcW w:w="5571" w:type="dxa"/>
            <w:shd w:val="clear" w:color="auto" w:fill="auto"/>
          </w:tcPr>
          <w:p w14:paraId="71B2120A" w14:textId="77777777" w:rsidR="003A5CE8" w:rsidRPr="00DB5AF5" w:rsidRDefault="003A5CE8">
            <w:pPr>
              <w:rPr>
                <w:rFonts w:ascii="Arial" w:hAnsi="Arial"/>
                <w:b/>
                <w:bCs/>
                <w:sz w:val="26"/>
                <w:szCs w:val="26"/>
                <w:rtl/>
              </w:rPr>
            </w:pPr>
          </w:p>
          <w:p w14:paraId="576B0F87" w14:textId="77777777" w:rsidR="003A5CE8" w:rsidRPr="00DB5AF5" w:rsidRDefault="00DB5AF5">
            <w:pPr>
              <w:rPr>
                <w:b/>
                <w:bCs/>
                <w:sz w:val="26"/>
                <w:szCs w:val="26"/>
                <w:rtl/>
              </w:rPr>
            </w:pPr>
            <w:r w:rsidRPr="00DB5AF5">
              <w:rPr>
                <w:rFonts w:hint="cs"/>
                <w:rtl/>
              </w:rPr>
              <w:t>מדינת ישראל</w:t>
            </w:r>
            <w:r w:rsidRPr="00DB5AF5">
              <w:rPr>
                <w:rFonts w:hint="cs"/>
                <w:rtl/>
              </w:rPr>
              <w:br/>
              <w:t xml:space="preserve">פמ"ד – באמצעות עו"ד מוני בן מוחה </w:t>
            </w:r>
          </w:p>
        </w:tc>
      </w:tr>
      <w:bookmarkEnd w:id="2"/>
      <w:tr w:rsidR="003A5CE8" w:rsidRPr="00DB5AF5" w14:paraId="711DEC61" w14:textId="77777777">
        <w:trPr>
          <w:jc w:val="center"/>
        </w:trPr>
        <w:tc>
          <w:tcPr>
            <w:tcW w:w="8820" w:type="dxa"/>
            <w:gridSpan w:val="3"/>
            <w:shd w:val="clear" w:color="auto" w:fill="auto"/>
          </w:tcPr>
          <w:p w14:paraId="40B69375" w14:textId="77777777" w:rsidR="003A5CE8" w:rsidRPr="00DB5AF5" w:rsidRDefault="003A5CE8">
            <w:pPr>
              <w:rPr>
                <w:rFonts w:ascii="Arial" w:hAnsi="Arial"/>
                <w:b/>
                <w:bCs/>
                <w:sz w:val="26"/>
                <w:szCs w:val="26"/>
                <w:rtl/>
              </w:rPr>
            </w:pPr>
          </w:p>
          <w:p w14:paraId="3743D615" w14:textId="77777777" w:rsidR="003A5CE8" w:rsidRPr="00DB5AF5" w:rsidRDefault="00DB5AF5">
            <w:pPr>
              <w:jc w:val="center"/>
              <w:rPr>
                <w:rFonts w:ascii="Arial" w:hAnsi="Arial"/>
                <w:b/>
                <w:bCs/>
                <w:sz w:val="26"/>
                <w:szCs w:val="26"/>
                <w:rtl/>
              </w:rPr>
            </w:pPr>
            <w:r w:rsidRPr="00DB5AF5">
              <w:rPr>
                <w:rFonts w:ascii="Arial" w:hAnsi="Arial"/>
                <w:b/>
                <w:bCs/>
                <w:sz w:val="26"/>
                <w:szCs w:val="26"/>
                <w:rtl/>
              </w:rPr>
              <w:t>נגד</w:t>
            </w:r>
          </w:p>
          <w:p w14:paraId="4078B0A8" w14:textId="77777777" w:rsidR="003A5CE8" w:rsidRPr="00DB5AF5" w:rsidRDefault="003A5CE8">
            <w:pPr>
              <w:rPr>
                <w:rFonts w:ascii="Arial" w:hAnsi="Arial"/>
                <w:b/>
                <w:bCs/>
                <w:sz w:val="26"/>
                <w:szCs w:val="26"/>
              </w:rPr>
            </w:pPr>
          </w:p>
        </w:tc>
      </w:tr>
      <w:tr w:rsidR="003A5CE8" w:rsidRPr="00DB5AF5" w14:paraId="70A365F5" w14:textId="77777777">
        <w:trPr>
          <w:jc w:val="center"/>
        </w:trPr>
        <w:tc>
          <w:tcPr>
            <w:tcW w:w="3249" w:type="dxa"/>
            <w:gridSpan w:val="2"/>
            <w:shd w:val="clear" w:color="auto" w:fill="auto"/>
          </w:tcPr>
          <w:p w14:paraId="24022CCB" w14:textId="77777777" w:rsidR="003A5CE8" w:rsidRPr="00DB5AF5" w:rsidRDefault="003A5CE8">
            <w:pPr>
              <w:rPr>
                <w:rFonts w:ascii="Arial" w:hAnsi="Arial" w:hint="cs"/>
                <w:b/>
                <w:bCs/>
                <w:sz w:val="26"/>
                <w:szCs w:val="26"/>
                <w:rtl/>
              </w:rPr>
            </w:pPr>
          </w:p>
          <w:p w14:paraId="027D1C6D" w14:textId="77777777" w:rsidR="003A5CE8" w:rsidRPr="00DB5AF5" w:rsidRDefault="00DB5AF5">
            <w:pPr>
              <w:rPr>
                <w:rFonts w:ascii="Arial" w:hAnsi="Arial"/>
                <w:b/>
                <w:bCs/>
                <w:sz w:val="26"/>
                <w:szCs w:val="26"/>
              </w:rPr>
            </w:pPr>
            <w:r w:rsidRPr="00DB5AF5">
              <w:rPr>
                <w:rFonts w:ascii="Arial" w:hAnsi="Arial" w:hint="cs"/>
                <w:b/>
                <w:bCs/>
                <w:sz w:val="26"/>
                <w:szCs w:val="26"/>
                <w:rtl/>
              </w:rPr>
              <w:t>הנאשם</w:t>
            </w:r>
          </w:p>
        </w:tc>
        <w:tc>
          <w:tcPr>
            <w:tcW w:w="5571" w:type="dxa"/>
            <w:shd w:val="clear" w:color="auto" w:fill="auto"/>
          </w:tcPr>
          <w:p w14:paraId="14B82950" w14:textId="77777777" w:rsidR="003A5CE8" w:rsidRPr="00DB5AF5" w:rsidRDefault="003A5CE8">
            <w:pPr>
              <w:rPr>
                <w:rFonts w:ascii="Arial" w:hAnsi="Arial"/>
                <w:b/>
                <w:bCs/>
                <w:sz w:val="26"/>
                <w:szCs w:val="26"/>
                <w:rtl/>
              </w:rPr>
            </w:pPr>
          </w:p>
          <w:p w14:paraId="78159FE1" w14:textId="77777777" w:rsidR="003A5CE8" w:rsidRPr="00DB5AF5" w:rsidRDefault="00DB5AF5">
            <w:pPr>
              <w:rPr>
                <w:b/>
                <w:bCs/>
                <w:sz w:val="26"/>
                <w:szCs w:val="26"/>
                <w:rtl/>
              </w:rPr>
            </w:pPr>
            <w:r w:rsidRPr="00DB5AF5">
              <w:rPr>
                <w:rFonts w:hint="cs"/>
                <w:rtl/>
              </w:rPr>
              <w:t xml:space="preserve">צאאב בן תחסין פרג (עציר) </w:t>
            </w:r>
            <w:r w:rsidRPr="00DB5AF5">
              <w:rPr>
                <w:rFonts w:hint="cs"/>
                <w:rtl/>
              </w:rPr>
              <w:br/>
            </w:r>
            <w:r w:rsidRPr="00DB5AF5">
              <w:rPr>
                <w:rFonts w:hint="cs"/>
                <w:rtl/>
              </w:rPr>
              <w:br/>
              <w:t xml:space="preserve">ע"י עו"ד עמית דויטשר ועו"ד מסלם אריאתה </w:t>
            </w:r>
          </w:p>
        </w:tc>
      </w:tr>
    </w:tbl>
    <w:p w14:paraId="478B6582" w14:textId="77777777" w:rsidR="00127C88" w:rsidRDefault="00127C88">
      <w:pPr>
        <w:suppressLineNumbers/>
        <w:rPr>
          <w:rtl/>
        </w:rPr>
      </w:pPr>
      <w:bookmarkStart w:id="3" w:name="LawTable"/>
      <w:bookmarkEnd w:id="3"/>
    </w:p>
    <w:p w14:paraId="49C20FA8" w14:textId="77777777" w:rsidR="00127C88" w:rsidRPr="00127C88" w:rsidRDefault="00127C88" w:rsidP="00127C88">
      <w:pPr>
        <w:suppressLineNumbers/>
        <w:spacing w:after="120" w:line="240" w:lineRule="exact"/>
        <w:ind w:left="283" w:hanging="283"/>
        <w:jc w:val="both"/>
        <w:rPr>
          <w:rFonts w:ascii="FrankRuehl" w:hAnsi="FrankRuehl" w:cs="FrankRuehl"/>
          <w:rtl/>
        </w:rPr>
      </w:pPr>
    </w:p>
    <w:p w14:paraId="34DF7B4B" w14:textId="77777777" w:rsidR="00127C88" w:rsidRPr="00127C88" w:rsidRDefault="00127C88" w:rsidP="00127C88">
      <w:pPr>
        <w:suppressLineNumbers/>
        <w:spacing w:after="120" w:line="240" w:lineRule="exact"/>
        <w:ind w:left="283" w:hanging="283"/>
        <w:jc w:val="both"/>
        <w:rPr>
          <w:rFonts w:ascii="FrankRuehl" w:hAnsi="FrankRuehl" w:cs="FrankRuehl"/>
          <w:rtl/>
        </w:rPr>
      </w:pPr>
      <w:r w:rsidRPr="00127C88">
        <w:rPr>
          <w:rFonts w:ascii="FrankRuehl" w:hAnsi="FrankRuehl" w:cs="FrankRuehl"/>
          <w:rtl/>
        </w:rPr>
        <w:t xml:space="preserve">חקיקה שאוזכרה: </w:t>
      </w:r>
    </w:p>
    <w:p w14:paraId="7C89CF39" w14:textId="77777777" w:rsidR="00127C88" w:rsidRPr="00127C88" w:rsidRDefault="00127C88" w:rsidP="00127C88">
      <w:pPr>
        <w:suppressLineNumbers/>
        <w:spacing w:after="120" w:line="240" w:lineRule="exact"/>
        <w:ind w:left="283" w:hanging="283"/>
        <w:jc w:val="both"/>
        <w:rPr>
          <w:rFonts w:ascii="FrankRuehl" w:hAnsi="FrankRuehl" w:cs="FrankRuehl"/>
          <w:rtl/>
        </w:rPr>
      </w:pPr>
      <w:hyperlink r:id="rId7" w:history="1">
        <w:r w:rsidRPr="00127C88">
          <w:rPr>
            <w:rFonts w:ascii="FrankRuehl" w:hAnsi="FrankRuehl" w:cs="FrankRuehl"/>
            <w:color w:val="0000FF"/>
            <w:u w:val="single"/>
            <w:rtl/>
          </w:rPr>
          <w:t>חוק למניעת הסתננות (עבירות ושיפוט), תשי"ד-1954</w:t>
        </w:r>
      </w:hyperlink>
      <w:r w:rsidRPr="00127C88">
        <w:rPr>
          <w:rFonts w:ascii="FrankRuehl" w:hAnsi="FrankRuehl" w:cs="FrankRuehl"/>
          <w:rtl/>
        </w:rPr>
        <w:t xml:space="preserve">: סע'  </w:t>
      </w:r>
      <w:hyperlink r:id="rId8" w:history="1">
        <w:r w:rsidRPr="00127C88">
          <w:rPr>
            <w:rFonts w:ascii="FrankRuehl" w:hAnsi="FrankRuehl" w:cs="FrankRuehl"/>
            <w:color w:val="0000FF"/>
            <w:u w:val="single"/>
            <w:rtl/>
          </w:rPr>
          <w:t>2</w:t>
        </w:r>
      </w:hyperlink>
    </w:p>
    <w:p w14:paraId="4DDFBBE3" w14:textId="77777777" w:rsidR="00127C88" w:rsidRPr="00127C88" w:rsidRDefault="00127C88" w:rsidP="00127C88">
      <w:pPr>
        <w:suppressLineNumbers/>
        <w:spacing w:after="120" w:line="240" w:lineRule="exact"/>
        <w:ind w:left="283" w:hanging="283"/>
        <w:jc w:val="both"/>
        <w:rPr>
          <w:rFonts w:ascii="FrankRuehl" w:hAnsi="FrankRuehl" w:cs="FrankRuehl"/>
          <w:rtl/>
        </w:rPr>
      </w:pPr>
      <w:hyperlink r:id="rId9" w:history="1">
        <w:r w:rsidRPr="00127C88">
          <w:rPr>
            <w:rFonts w:ascii="FrankRuehl" w:hAnsi="FrankRuehl" w:cs="FrankRuehl"/>
            <w:color w:val="0000FF"/>
            <w:u w:val="single"/>
            <w:rtl/>
          </w:rPr>
          <w:t>חוק העונשין, תשל"ז-1977</w:t>
        </w:r>
      </w:hyperlink>
      <w:r w:rsidRPr="00127C88">
        <w:rPr>
          <w:rFonts w:ascii="FrankRuehl" w:hAnsi="FrankRuehl" w:cs="FrankRuehl"/>
          <w:rtl/>
        </w:rPr>
        <w:t xml:space="preserve">: סע'  </w:t>
      </w:r>
      <w:hyperlink r:id="rId10" w:history="1">
        <w:r w:rsidRPr="00127C88">
          <w:rPr>
            <w:rFonts w:ascii="FrankRuehl" w:hAnsi="FrankRuehl" w:cs="FrankRuehl"/>
            <w:color w:val="0000FF"/>
            <w:u w:val="single"/>
            <w:rtl/>
          </w:rPr>
          <w:t>144</w:t>
        </w:r>
      </w:hyperlink>
      <w:r w:rsidRPr="00127C88">
        <w:rPr>
          <w:rFonts w:ascii="FrankRuehl" w:hAnsi="FrankRuehl" w:cs="FrankRuehl"/>
          <w:rtl/>
        </w:rPr>
        <w:t xml:space="preserve">, </w:t>
      </w:r>
      <w:hyperlink r:id="rId11" w:history="1">
        <w:r w:rsidRPr="00127C88">
          <w:rPr>
            <w:rFonts w:ascii="FrankRuehl" w:hAnsi="FrankRuehl" w:cs="FrankRuehl"/>
            <w:color w:val="0000FF"/>
            <w:u w:val="single"/>
            <w:rtl/>
          </w:rPr>
          <w:t>186.</w:t>
        </w:r>
      </w:hyperlink>
      <w:r w:rsidRPr="00127C88">
        <w:rPr>
          <w:rFonts w:ascii="FrankRuehl" w:hAnsi="FrankRuehl" w:cs="FrankRuehl"/>
          <w:rtl/>
        </w:rPr>
        <w:t xml:space="preserve">, </w:t>
      </w:r>
      <w:hyperlink r:id="rId12" w:history="1">
        <w:r w:rsidRPr="00127C88">
          <w:rPr>
            <w:rFonts w:ascii="FrankRuehl" w:hAnsi="FrankRuehl" w:cs="FrankRuehl"/>
            <w:color w:val="0000FF"/>
            <w:u w:val="single"/>
            <w:rtl/>
          </w:rPr>
          <w:t>186(א)</w:t>
        </w:r>
      </w:hyperlink>
    </w:p>
    <w:p w14:paraId="1B37C8D0" w14:textId="77777777" w:rsidR="00127C88" w:rsidRPr="00127C88" w:rsidRDefault="00127C88" w:rsidP="00127C88">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3A5CE8" w14:paraId="101061F6" w14:textId="77777777">
        <w:trPr>
          <w:jc w:val="center"/>
        </w:trPr>
        <w:tc>
          <w:tcPr>
            <w:tcW w:w="8820" w:type="dxa"/>
            <w:shd w:val="clear" w:color="auto" w:fill="auto"/>
          </w:tcPr>
          <w:p w14:paraId="461F82C4" w14:textId="77777777" w:rsidR="00DB5AF5" w:rsidRPr="00DB5AF5" w:rsidRDefault="00DB5AF5" w:rsidP="00DB5AF5">
            <w:pPr>
              <w:bidi w:val="0"/>
              <w:jc w:val="center"/>
              <w:rPr>
                <w:rFonts w:ascii="Arial" w:hAnsi="Arial"/>
                <w:b/>
                <w:bCs/>
                <w:sz w:val="28"/>
                <w:szCs w:val="28"/>
                <w:u w:val="single"/>
                <w:rtl/>
              </w:rPr>
            </w:pPr>
            <w:bookmarkStart w:id="4" w:name="LawTable_End"/>
            <w:bookmarkStart w:id="5" w:name="PsakDin" w:colFirst="0" w:colLast="0"/>
            <w:bookmarkEnd w:id="0"/>
            <w:bookmarkEnd w:id="1"/>
            <w:bookmarkEnd w:id="4"/>
            <w:r w:rsidRPr="00DB5AF5">
              <w:rPr>
                <w:rFonts w:ascii="Arial" w:hAnsi="Arial"/>
                <w:b/>
                <w:bCs/>
                <w:sz w:val="28"/>
                <w:szCs w:val="28"/>
                <w:u w:val="single"/>
                <w:rtl/>
              </w:rPr>
              <w:t>גזר דין</w:t>
            </w:r>
          </w:p>
          <w:p w14:paraId="41E883AD" w14:textId="77777777" w:rsidR="003A5CE8" w:rsidRPr="00DB5AF5" w:rsidRDefault="003A5CE8" w:rsidP="00DB5AF5">
            <w:pPr>
              <w:bidi w:val="0"/>
              <w:jc w:val="center"/>
              <w:rPr>
                <w:rFonts w:ascii="Arial" w:hAnsi="Arial"/>
                <w:b/>
                <w:bCs/>
                <w:sz w:val="28"/>
                <w:szCs w:val="28"/>
                <w:u w:val="single"/>
              </w:rPr>
            </w:pPr>
          </w:p>
        </w:tc>
      </w:tr>
      <w:bookmarkEnd w:id="5"/>
    </w:tbl>
    <w:p w14:paraId="5F8AD33C" w14:textId="77777777" w:rsidR="003A5CE8" w:rsidRDefault="003A5CE8">
      <w:pPr>
        <w:spacing w:line="360" w:lineRule="auto"/>
        <w:jc w:val="both"/>
        <w:rPr>
          <w:rFonts w:ascii="Arial" w:hAnsi="Arial"/>
          <w:rtl/>
        </w:rPr>
      </w:pPr>
    </w:p>
    <w:p w14:paraId="6BD69FD4" w14:textId="77777777" w:rsidR="003A5CE8" w:rsidRDefault="00DB5AF5">
      <w:pPr>
        <w:spacing w:line="360" w:lineRule="auto"/>
        <w:jc w:val="both"/>
        <w:rPr>
          <w:rFonts w:ascii="Arial" w:hAnsi="Arial"/>
          <w:b/>
          <w:bCs/>
          <w:rtl/>
        </w:rPr>
      </w:pPr>
      <w:r>
        <w:rPr>
          <w:rFonts w:ascii="Arial" w:hAnsi="Arial" w:hint="cs"/>
          <w:b/>
          <w:bCs/>
          <w:rtl/>
        </w:rPr>
        <w:t>כתב האישום והשתלשלות ההליך</w:t>
      </w:r>
    </w:p>
    <w:p w14:paraId="23BE6B99" w14:textId="77777777" w:rsidR="003A5CE8" w:rsidRDefault="003A5CE8">
      <w:pPr>
        <w:spacing w:line="360" w:lineRule="auto"/>
        <w:rPr>
          <w:rFonts w:ascii="Arial" w:hAnsi="Arial"/>
          <w:rtl/>
        </w:rPr>
      </w:pPr>
    </w:p>
    <w:p w14:paraId="5B328F7E" w14:textId="77777777" w:rsidR="003A5CE8" w:rsidRDefault="00DB5AF5">
      <w:pPr>
        <w:spacing w:line="360" w:lineRule="auto"/>
      </w:pPr>
      <w:bookmarkStart w:id="6" w:name="ABSTRACT_START"/>
      <w:bookmarkEnd w:id="6"/>
      <w:r>
        <w:rPr>
          <w:rFonts w:ascii="Arial" w:hAnsi="Arial" w:hint="cs"/>
          <w:rtl/>
        </w:rPr>
        <w:t>הנאשם שלפני נותן את הדין בגין עבירות</w:t>
      </w:r>
      <w:r>
        <w:rPr>
          <w:rFonts w:hint="cs"/>
          <w:rtl/>
        </w:rPr>
        <w:t xml:space="preserve"> של </w:t>
      </w:r>
      <w:r>
        <w:rPr>
          <w:rtl/>
        </w:rPr>
        <w:t xml:space="preserve">הסתננות, בניגוד </w:t>
      </w:r>
      <w:hyperlink r:id="rId13" w:history="1">
        <w:r w:rsidR="00127C88" w:rsidRPr="00127C88">
          <w:rPr>
            <w:color w:val="0000FF"/>
            <w:u w:val="single"/>
            <w:rtl/>
          </w:rPr>
          <w:t>לסעיף 2</w:t>
        </w:r>
      </w:hyperlink>
      <w:r>
        <w:rPr>
          <w:rtl/>
        </w:rPr>
        <w:t xml:space="preserve"> ל</w:t>
      </w:r>
      <w:hyperlink r:id="rId14" w:history="1">
        <w:r w:rsidRPr="00DB5AF5">
          <w:rPr>
            <w:color w:val="0000FF"/>
            <w:u w:val="single"/>
            <w:rtl/>
          </w:rPr>
          <w:t>חוק למניעת הסתננות (עבירות ושיפוט)</w:t>
        </w:r>
      </w:hyperlink>
      <w:r>
        <w:rPr>
          <w:rtl/>
        </w:rPr>
        <w:t>, תשי"ד – 1954</w:t>
      </w:r>
      <w:r>
        <w:rPr>
          <w:rFonts w:hint="cs"/>
          <w:rtl/>
        </w:rPr>
        <w:t xml:space="preserve">; החזקת סכין למטרה לא כשרה, בניגוד </w:t>
      </w:r>
      <w:hyperlink r:id="rId15" w:history="1">
        <w:r w:rsidR="00127C88" w:rsidRPr="00127C88">
          <w:rPr>
            <w:color w:val="0000FF"/>
            <w:u w:val="single"/>
            <w:rtl/>
          </w:rPr>
          <w:t>לסעיף 186(א)</w:t>
        </w:r>
      </w:hyperlink>
      <w:r>
        <w:rPr>
          <w:rFonts w:hint="cs"/>
          <w:rtl/>
        </w:rPr>
        <w:t xml:space="preserve"> </w:t>
      </w:r>
      <w:r>
        <w:rPr>
          <w:rFonts w:ascii="Calibri" w:hAnsi="Calibri" w:hint="cs"/>
          <w:rtl/>
        </w:rPr>
        <w:t>ל</w:t>
      </w:r>
      <w:hyperlink r:id="rId16" w:history="1">
        <w:r w:rsidRPr="00DB5AF5">
          <w:rPr>
            <w:rFonts w:ascii="Calibri" w:hAnsi="Calibri" w:hint="eastAsia"/>
            <w:color w:val="0000FF"/>
            <w:u w:val="single"/>
            <w:rtl/>
          </w:rPr>
          <w:t>חוק</w:t>
        </w:r>
        <w:r w:rsidRPr="00DB5AF5">
          <w:rPr>
            <w:rFonts w:ascii="Calibri" w:hAnsi="Calibri"/>
            <w:color w:val="0000FF"/>
            <w:u w:val="single"/>
            <w:rtl/>
          </w:rPr>
          <w:t xml:space="preserve"> </w:t>
        </w:r>
        <w:r w:rsidRPr="00DB5AF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1977</w:t>
      </w:r>
      <w:r>
        <w:rPr>
          <w:rFonts w:ascii="Calibri" w:hAnsi="Calibri" w:hint="cs"/>
          <w:rtl/>
        </w:rPr>
        <w:t>.</w:t>
      </w:r>
    </w:p>
    <w:p w14:paraId="3DB7B67B" w14:textId="77777777" w:rsidR="003A5CE8" w:rsidRDefault="003A5CE8">
      <w:pPr>
        <w:spacing w:line="360" w:lineRule="auto"/>
      </w:pPr>
    </w:p>
    <w:p w14:paraId="4BE06121" w14:textId="77777777" w:rsidR="003A5CE8" w:rsidRDefault="00DB5AF5">
      <w:pPr>
        <w:spacing w:line="360" w:lineRule="auto"/>
        <w:rPr>
          <w:rFonts w:ascii="Arial" w:hAnsi="Arial"/>
          <w:rtl/>
        </w:rPr>
      </w:pPr>
      <w:bookmarkStart w:id="7" w:name="ABSTRACT_END"/>
      <w:bookmarkEnd w:id="7"/>
      <w:r>
        <w:rPr>
          <w:rFonts w:ascii="Arial" w:hAnsi="Arial" w:hint="cs"/>
          <w:rtl/>
        </w:rPr>
        <w:t>בהתאם לעובדות כתב האישום, בתאריך 15.09.2014, סמוך לשעה 06:00, בהיותו תושב אזור חבל עזה, הגיע הנאשם לגדר המערכת, סמוך לקו דיווח 114, טיפס על הגדר, עבר לצדה השני והחל להתרחק ממנה. באותה עת, החזיק על גופו סכין קומנדו וכן להב של סכין גילוח.</w:t>
      </w:r>
    </w:p>
    <w:p w14:paraId="79FAFDA9" w14:textId="77777777" w:rsidR="003A5CE8" w:rsidRDefault="003A5CE8">
      <w:pPr>
        <w:spacing w:line="360" w:lineRule="auto"/>
        <w:rPr>
          <w:rFonts w:ascii="Arial" w:hAnsi="Arial"/>
          <w:rtl/>
        </w:rPr>
      </w:pPr>
    </w:p>
    <w:p w14:paraId="2CE231F5" w14:textId="77777777" w:rsidR="003A5CE8" w:rsidRDefault="00DB5AF5">
      <w:pPr>
        <w:spacing w:line="360" w:lineRule="auto"/>
        <w:rPr>
          <w:rFonts w:ascii="Arial" w:hAnsi="Arial"/>
          <w:rtl/>
        </w:rPr>
      </w:pPr>
      <w:r>
        <w:rPr>
          <w:rFonts w:ascii="Arial" w:hAnsi="Arial" w:hint="cs"/>
          <w:rtl/>
        </w:rPr>
        <w:t>כֹּח צה"ל אשר הוזעק למקום, הבחין בנאשם עומד בציר המקביל לגדר והודיע לו כי הוא עצור.</w:t>
      </w:r>
    </w:p>
    <w:p w14:paraId="7CA35DB1" w14:textId="77777777" w:rsidR="003A5CE8" w:rsidRDefault="003A5CE8">
      <w:pPr>
        <w:spacing w:line="360" w:lineRule="auto"/>
        <w:rPr>
          <w:rFonts w:ascii="Arial" w:hAnsi="Arial"/>
          <w:rtl/>
        </w:rPr>
      </w:pPr>
    </w:p>
    <w:p w14:paraId="224E3967" w14:textId="77777777" w:rsidR="003A5CE8" w:rsidRDefault="00DB5AF5">
      <w:pPr>
        <w:spacing w:line="360" w:lineRule="auto"/>
        <w:jc w:val="both"/>
        <w:rPr>
          <w:rFonts w:ascii="Arial" w:hAnsi="Arial"/>
          <w:rtl/>
        </w:rPr>
      </w:pPr>
      <w:r>
        <w:rPr>
          <w:rFonts w:ascii="Arial" w:hAnsi="Arial" w:hint="cs"/>
          <w:rtl/>
        </w:rPr>
        <w:lastRenderedPageBreak/>
        <w:t xml:space="preserve">לדרישת החיילים, הוציא הנאשם את סכין הקומנדו מכיס מעילו וזרקהּ ארצה. בהמשך, שלף את הלהב אשר החזיק בנוסף לסכין וחתך באמצעותו את ידיו. הנאשם נעצר והועבר לקבלת טיפול רפואי. </w:t>
      </w:r>
    </w:p>
    <w:p w14:paraId="2DFCDFB0" w14:textId="77777777" w:rsidR="003A5CE8" w:rsidRDefault="003A5CE8">
      <w:pPr>
        <w:spacing w:line="360" w:lineRule="auto"/>
        <w:jc w:val="both"/>
        <w:rPr>
          <w:rFonts w:ascii="Arial" w:hAnsi="Arial"/>
          <w:rtl/>
        </w:rPr>
      </w:pPr>
    </w:p>
    <w:p w14:paraId="591E306A" w14:textId="77777777" w:rsidR="003A5CE8" w:rsidRDefault="00DB5AF5">
      <w:pPr>
        <w:spacing w:line="360" w:lineRule="auto"/>
        <w:jc w:val="both"/>
        <w:rPr>
          <w:rFonts w:ascii="Arial" w:hAnsi="Arial"/>
          <w:rtl/>
        </w:rPr>
      </w:pPr>
      <w:r>
        <w:rPr>
          <w:rFonts w:ascii="Arial" w:hAnsi="Arial" w:hint="cs"/>
          <w:rtl/>
        </w:rPr>
        <w:t xml:space="preserve">בתשובתו לאישום, הודה הנאשם בעובדות אך כפר באשמה, קרי: טען, כי נאלץ לעבור העבירה עקב איום, באשר נשקפה סכנה לחייו בשהותו באזור חבל עזה. </w:t>
      </w:r>
    </w:p>
    <w:p w14:paraId="7634254D" w14:textId="77777777" w:rsidR="003A5CE8" w:rsidRDefault="003A5CE8">
      <w:pPr>
        <w:spacing w:line="360" w:lineRule="auto"/>
        <w:jc w:val="both"/>
        <w:rPr>
          <w:rFonts w:ascii="Arial" w:hAnsi="Arial"/>
          <w:rtl/>
        </w:rPr>
      </w:pPr>
    </w:p>
    <w:p w14:paraId="4987F029" w14:textId="77777777" w:rsidR="003A5CE8" w:rsidRDefault="00DB5AF5">
      <w:pPr>
        <w:spacing w:line="360" w:lineRule="auto"/>
        <w:jc w:val="both"/>
        <w:rPr>
          <w:rFonts w:ascii="Arial" w:hAnsi="Arial"/>
          <w:rtl/>
        </w:rPr>
      </w:pPr>
      <w:r>
        <w:rPr>
          <w:rFonts w:ascii="Arial" w:hAnsi="Arial" w:hint="cs"/>
          <w:rtl/>
        </w:rPr>
        <w:t xml:space="preserve">בית המשפט שמע הראיות בתיק זה. ראיות התביעה הוגשו בהסכמה, ובית המשפט שמע את פרשת ההגנה, שנסמכה בעיקר על עדות הנאשם, וכן עד הזמה שהובא מטעם התביעה </w:t>
      </w:r>
      <w:r>
        <w:rPr>
          <w:rFonts w:ascii="Arial" w:hAnsi="Arial"/>
          <w:rtl/>
        </w:rPr>
        <w:t>–</w:t>
      </w:r>
      <w:r>
        <w:rPr>
          <w:rFonts w:ascii="Arial" w:hAnsi="Arial" w:hint="cs"/>
          <w:rtl/>
        </w:rPr>
        <w:t xml:space="preserve"> מתשאל מטעם שירות הביטחון הכללי המכונה "וליד".</w:t>
      </w:r>
    </w:p>
    <w:p w14:paraId="7F153207" w14:textId="77777777" w:rsidR="003A5CE8" w:rsidRDefault="003A5CE8">
      <w:pPr>
        <w:spacing w:line="360" w:lineRule="auto"/>
        <w:jc w:val="both"/>
        <w:rPr>
          <w:rFonts w:ascii="Arial" w:hAnsi="Arial"/>
          <w:rtl/>
        </w:rPr>
      </w:pPr>
    </w:p>
    <w:p w14:paraId="6B2D2E47" w14:textId="77777777" w:rsidR="003A5CE8" w:rsidRDefault="003A5CE8">
      <w:pPr>
        <w:spacing w:line="360" w:lineRule="auto"/>
        <w:jc w:val="both"/>
        <w:rPr>
          <w:rFonts w:ascii="Arial" w:hAnsi="Arial"/>
          <w:rtl/>
        </w:rPr>
      </w:pPr>
    </w:p>
    <w:p w14:paraId="3F553DD3" w14:textId="77777777" w:rsidR="003A5CE8" w:rsidRDefault="00DB5AF5">
      <w:pPr>
        <w:spacing w:line="360" w:lineRule="auto"/>
        <w:jc w:val="both"/>
        <w:rPr>
          <w:rFonts w:ascii="Arial" w:hAnsi="Arial"/>
          <w:b/>
          <w:bCs/>
          <w:rtl/>
        </w:rPr>
      </w:pPr>
      <w:r>
        <w:rPr>
          <w:rFonts w:ascii="Arial" w:hAnsi="Arial" w:hint="cs"/>
          <w:b/>
          <w:bCs/>
          <w:rtl/>
        </w:rPr>
        <w:t>הכרעת הדין</w:t>
      </w:r>
    </w:p>
    <w:p w14:paraId="44318E03" w14:textId="77777777" w:rsidR="003A5CE8" w:rsidRDefault="003A5CE8">
      <w:pPr>
        <w:spacing w:line="360" w:lineRule="auto"/>
        <w:jc w:val="both"/>
        <w:rPr>
          <w:rFonts w:ascii="Arial" w:hAnsi="Arial"/>
          <w:rtl/>
        </w:rPr>
      </w:pPr>
    </w:p>
    <w:p w14:paraId="3C21D212" w14:textId="77777777" w:rsidR="003A5CE8" w:rsidRDefault="00DB5AF5">
      <w:pPr>
        <w:spacing w:line="360" w:lineRule="auto"/>
        <w:jc w:val="both"/>
        <w:rPr>
          <w:rFonts w:ascii="Arial" w:hAnsi="Arial"/>
          <w:rtl/>
        </w:rPr>
      </w:pPr>
      <w:r>
        <w:rPr>
          <w:rFonts w:ascii="Arial" w:hAnsi="Arial" w:hint="cs"/>
          <w:rtl/>
        </w:rPr>
        <w:t xml:space="preserve">עם סיום שמיעת הראיות, הורשע הנאשם בעבירות שבכתב האישום ונדחו טענותיו בנוגע להגנות הצורך או הכורח. </w:t>
      </w:r>
    </w:p>
    <w:p w14:paraId="7884D33A" w14:textId="77777777" w:rsidR="003A5CE8" w:rsidRDefault="003A5CE8">
      <w:pPr>
        <w:spacing w:line="360" w:lineRule="auto"/>
        <w:jc w:val="both"/>
        <w:rPr>
          <w:rFonts w:ascii="Arial" w:hAnsi="Arial"/>
          <w:rtl/>
        </w:rPr>
      </w:pPr>
    </w:p>
    <w:p w14:paraId="1AA85E58" w14:textId="77777777" w:rsidR="003A5CE8" w:rsidRDefault="00DB5AF5">
      <w:pPr>
        <w:spacing w:line="360" w:lineRule="auto"/>
        <w:jc w:val="both"/>
        <w:rPr>
          <w:rFonts w:ascii="Arial" w:hAnsi="Arial"/>
          <w:rtl/>
        </w:rPr>
      </w:pPr>
      <w:r>
        <w:rPr>
          <w:rFonts w:ascii="Arial" w:hAnsi="Arial" w:hint="cs"/>
          <w:rtl/>
        </w:rPr>
        <w:t>בית המשפט קבע, כי אין ליתן אמון כלשהו בגרסאותיו המתפתחות והמשתנות של הנאשם.</w:t>
      </w:r>
    </w:p>
    <w:p w14:paraId="48381CA0" w14:textId="77777777" w:rsidR="003A5CE8" w:rsidRDefault="003A5CE8">
      <w:pPr>
        <w:spacing w:line="360" w:lineRule="auto"/>
        <w:jc w:val="both"/>
        <w:rPr>
          <w:rFonts w:ascii="Arial" w:hAnsi="Arial"/>
          <w:rtl/>
        </w:rPr>
      </w:pPr>
    </w:p>
    <w:p w14:paraId="2BAF0AFB" w14:textId="77777777" w:rsidR="003A5CE8" w:rsidRDefault="00DB5AF5">
      <w:pPr>
        <w:spacing w:line="360" w:lineRule="auto"/>
        <w:jc w:val="both"/>
        <w:rPr>
          <w:rFonts w:ascii="Arial" w:hAnsi="Arial"/>
          <w:rtl/>
        </w:rPr>
      </w:pPr>
      <w:r>
        <w:rPr>
          <w:rFonts w:ascii="Arial" w:hAnsi="Arial" w:hint="cs"/>
          <w:rtl/>
        </w:rPr>
        <w:t xml:space="preserve">בית המשפט קבע, כי האיום שנשקף על הנאשם, ככל שנשקף, לא היה קונקרטי אלא איום כללי וכי מקורו היה בכך שהנאשם היה מבוקש כסוחר סמים על ידי הבולשת הפלילית של שלטון החמאס באזור חבל עזה. </w:t>
      </w:r>
    </w:p>
    <w:p w14:paraId="75450563" w14:textId="77777777" w:rsidR="003A5CE8" w:rsidRDefault="003A5CE8">
      <w:pPr>
        <w:spacing w:line="360" w:lineRule="auto"/>
        <w:jc w:val="both"/>
        <w:rPr>
          <w:rFonts w:ascii="Arial" w:hAnsi="Arial"/>
          <w:rtl/>
        </w:rPr>
      </w:pPr>
    </w:p>
    <w:p w14:paraId="73ECAEBB" w14:textId="77777777" w:rsidR="003A5CE8" w:rsidRDefault="00DB5AF5">
      <w:pPr>
        <w:spacing w:line="360" w:lineRule="auto"/>
        <w:jc w:val="both"/>
        <w:rPr>
          <w:rFonts w:ascii="Arial" w:hAnsi="Arial"/>
          <w:rtl/>
        </w:rPr>
      </w:pPr>
      <w:r>
        <w:rPr>
          <w:rFonts w:ascii="Arial" w:hAnsi="Arial" w:hint="cs"/>
          <w:rtl/>
        </w:rPr>
        <w:t>בית המשפט קבע, כי לנאשם היו אפשרויות פעולה אחרות, לרבות שהות במקומות שונים באזור חבל עזה ואף מעבר לחצי האי סיני, וכי אכן הנאשם נקט בצעדים אלה בעבר.</w:t>
      </w:r>
    </w:p>
    <w:p w14:paraId="59F8413B" w14:textId="77777777" w:rsidR="003A5CE8" w:rsidRDefault="003A5CE8">
      <w:pPr>
        <w:spacing w:line="360" w:lineRule="auto"/>
        <w:jc w:val="both"/>
        <w:rPr>
          <w:rFonts w:ascii="Arial" w:hAnsi="Arial"/>
          <w:rtl/>
        </w:rPr>
      </w:pPr>
    </w:p>
    <w:p w14:paraId="23EB53AB" w14:textId="77777777" w:rsidR="003A5CE8" w:rsidRDefault="00DB5AF5">
      <w:pPr>
        <w:spacing w:line="360" w:lineRule="auto"/>
        <w:jc w:val="both"/>
        <w:rPr>
          <w:rFonts w:ascii="Arial" w:hAnsi="Arial"/>
          <w:rtl/>
        </w:rPr>
      </w:pPr>
      <w:r>
        <w:rPr>
          <w:rFonts w:ascii="Arial" w:hAnsi="Arial" w:hint="cs"/>
          <w:rtl/>
        </w:rPr>
        <w:t xml:space="preserve">בית המשפט קבע, כי מכל מקום - הכניס הנאשם עצמו מרצון למצב בו הוא מבוקש מזה מספר שנים על ידי הבולשת הפלילית, וזאת בשל עיסוקו לכאורה בתחום הסחר בסמים, וכי עילה זו לא תפטור אותו מאחריות לעבירות שעבר. </w:t>
      </w:r>
    </w:p>
    <w:p w14:paraId="15F59BCB" w14:textId="77777777" w:rsidR="003A5CE8" w:rsidRDefault="003A5CE8">
      <w:pPr>
        <w:spacing w:line="360" w:lineRule="auto"/>
        <w:jc w:val="both"/>
        <w:rPr>
          <w:rFonts w:ascii="Arial" w:hAnsi="Arial"/>
          <w:rtl/>
        </w:rPr>
      </w:pPr>
    </w:p>
    <w:p w14:paraId="0A6677F7" w14:textId="77777777" w:rsidR="003A5CE8" w:rsidRDefault="00DB5AF5">
      <w:pPr>
        <w:spacing w:line="360" w:lineRule="auto"/>
        <w:jc w:val="both"/>
        <w:rPr>
          <w:rFonts w:ascii="Arial" w:hAnsi="Arial"/>
          <w:rtl/>
        </w:rPr>
      </w:pPr>
      <w:r>
        <w:rPr>
          <w:rFonts w:ascii="Arial" w:hAnsi="Arial" w:hint="cs"/>
          <w:rtl/>
        </w:rPr>
        <w:t xml:space="preserve">בית המשפט אף קבע, כי חיתוך ידיו של הנאשם באמצעות הלהב היה מעשה דמונסטרטיבי בלבד, כאשר עולה מהממצאים הרפואיים, כי הנאשם חתך את ידו בחתכים שטחיים, עד שכבת השומן בלבד, ללא פגיעה נוירולוגית או פגיעה בכלי דם, וכי התנהגות זו היתה בגדר מניפולציה. </w:t>
      </w:r>
    </w:p>
    <w:p w14:paraId="18150192" w14:textId="77777777" w:rsidR="003A5CE8" w:rsidRDefault="003A5CE8">
      <w:pPr>
        <w:spacing w:line="360" w:lineRule="auto"/>
        <w:jc w:val="both"/>
        <w:rPr>
          <w:rFonts w:ascii="Arial" w:hAnsi="Arial"/>
          <w:rtl/>
        </w:rPr>
      </w:pPr>
    </w:p>
    <w:p w14:paraId="78E9F269" w14:textId="77777777" w:rsidR="003A5CE8" w:rsidRDefault="00DB5AF5">
      <w:pPr>
        <w:spacing w:line="360" w:lineRule="auto"/>
        <w:jc w:val="both"/>
        <w:rPr>
          <w:rFonts w:ascii="Arial" w:hAnsi="Arial"/>
          <w:rtl/>
        </w:rPr>
      </w:pPr>
      <w:r>
        <w:rPr>
          <w:rFonts w:ascii="Arial" w:hAnsi="Arial" w:hint="cs"/>
          <w:rtl/>
        </w:rPr>
        <w:lastRenderedPageBreak/>
        <w:t xml:space="preserve">בית המשפט מצא, כי העובדות, כפי שהוכחו, ובין היתר, הסתננותו של הנאשם מספר רב יחסית של פעמים מאזור חבל עזה והחזרתו לידי נציגי שלטון החמאס שם, וכן מעצריו מדי פעם על ידי הבולשת הפלילית, בסיומם לא נפגע הנאשם באופן מיוחד </w:t>
      </w:r>
      <w:r>
        <w:rPr>
          <w:rFonts w:ascii="Arial" w:hAnsi="Arial"/>
          <w:rtl/>
        </w:rPr>
        <w:t>–</w:t>
      </w:r>
      <w:r>
        <w:rPr>
          <w:rFonts w:ascii="Arial" w:hAnsi="Arial" w:hint="cs"/>
          <w:rtl/>
        </w:rPr>
        <w:t xml:space="preserve"> מעידים בעד עצמם, כי הסכנה אליה טוען היא תיאורטית ואין די בטענות אלה כדי לבסס ההגנות המדוברות במידה הנדרשת כדי לפטור את הנאשם מאחריותו הפלילית. </w:t>
      </w:r>
    </w:p>
    <w:p w14:paraId="4205A513" w14:textId="77777777" w:rsidR="003A5CE8" w:rsidRDefault="003A5CE8">
      <w:pPr>
        <w:spacing w:line="360" w:lineRule="auto"/>
        <w:jc w:val="both"/>
        <w:rPr>
          <w:rFonts w:ascii="Arial" w:hAnsi="Arial"/>
          <w:rtl/>
        </w:rPr>
      </w:pPr>
    </w:p>
    <w:p w14:paraId="6D9A985A" w14:textId="77777777" w:rsidR="003A5CE8" w:rsidRDefault="00DB5AF5">
      <w:pPr>
        <w:spacing w:line="360" w:lineRule="auto"/>
        <w:jc w:val="both"/>
        <w:rPr>
          <w:rFonts w:ascii="Arial" w:hAnsi="Arial"/>
          <w:rtl/>
        </w:rPr>
      </w:pPr>
      <w:r>
        <w:rPr>
          <w:rFonts w:ascii="Arial" w:hAnsi="Arial" w:hint="cs"/>
          <w:rtl/>
        </w:rPr>
        <w:t xml:space="preserve">אשר למניעיו של הנאשם, נקבע כי פעל מתוך מניעים מעורבים, הן רצונו לשבור-בר, היינו למצוא תעסוקה, והן מאיסתו בהמשך החיים באזור חבל עזה, לרבות העובדה כי נעצר מדי פעם וכי מוטלות עליו הגבלות שונות. </w:t>
      </w:r>
    </w:p>
    <w:p w14:paraId="5ED3955A" w14:textId="77777777" w:rsidR="003A5CE8" w:rsidRDefault="003A5CE8">
      <w:pPr>
        <w:spacing w:line="360" w:lineRule="auto"/>
        <w:jc w:val="both"/>
        <w:rPr>
          <w:rFonts w:ascii="Arial" w:hAnsi="Arial"/>
          <w:rtl/>
        </w:rPr>
      </w:pPr>
    </w:p>
    <w:p w14:paraId="761583D2" w14:textId="77777777" w:rsidR="003A5CE8" w:rsidRDefault="00DB5AF5">
      <w:pPr>
        <w:spacing w:line="360" w:lineRule="auto"/>
        <w:jc w:val="both"/>
        <w:rPr>
          <w:rFonts w:ascii="Arial" w:hAnsi="Arial"/>
          <w:rtl/>
        </w:rPr>
      </w:pPr>
      <w:r>
        <w:rPr>
          <w:rFonts w:ascii="Arial" w:hAnsi="Arial" w:hint="cs"/>
          <w:rtl/>
        </w:rPr>
        <w:t xml:space="preserve">לאחר מתן הכרעת הדין, עתרה ההגנה לשהות להיערך לפרשת העונש. ההגנה נמנעה מלעתור להפנית הנאשם לבחינת גורמי הערכה המקצועיים </w:t>
      </w:r>
      <w:r>
        <w:rPr>
          <w:rFonts w:ascii="Arial" w:hAnsi="Arial"/>
          <w:rtl/>
        </w:rPr>
        <w:t>–</w:t>
      </w:r>
      <w:r>
        <w:rPr>
          <w:rFonts w:ascii="Arial" w:hAnsi="Arial" w:hint="cs"/>
          <w:rtl/>
        </w:rPr>
        <w:t xml:space="preserve"> שירות המבחן למבוגרים, חרף כך שבית המשפט הפנה תשומת לבה לאפשרות זו.</w:t>
      </w:r>
    </w:p>
    <w:p w14:paraId="326EFF3C" w14:textId="77777777" w:rsidR="003A5CE8" w:rsidRDefault="003A5CE8">
      <w:pPr>
        <w:spacing w:line="360" w:lineRule="auto"/>
        <w:jc w:val="both"/>
        <w:rPr>
          <w:rFonts w:ascii="Arial" w:hAnsi="Arial"/>
          <w:rtl/>
        </w:rPr>
      </w:pPr>
    </w:p>
    <w:p w14:paraId="674262A8" w14:textId="77777777" w:rsidR="003A5CE8" w:rsidRDefault="00DB5AF5">
      <w:pPr>
        <w:spacing w:line="360" w:lineRule="auto"/>
        <w:jc w:val="both"/>
        <w:rPr>
          <w:rFonts w:ascii="Arial" w:hAnsi="Arial"/>
          <w:b/>
          <w:bCs/>
          <w:rtl/>
        </w:rPr>
      </w:pPr>
      <w:r>
        <w:rPr>
          <w:rFonts w:ascii="Arial" w:hAnsi="Arial" w:hint="cs"/>
          <w:b/>
          <w:bCs/>
          <w:rtl/>
        </w:rPr>
        <w:t>ראיות לעונש</w:t>
      </w:r>
    </w:p>
    <w:p w14:paraId="78CFBA45" w14:textId="77777777" w:rsidR="003A5CE8" w:rsidRDefault="003A5CE8">
      <w:pPr>
        <w:spacing w:line="360" w:lineRule="auto"/>
        <w:jc w:val="both"/>
        <w:rPr>
          <w:rFonts w:ascii="Arial" w:hAnsi="Arial"/>
          <w:rtl/>
        </w:rPr>
      </w:pPr>
    </w:p>
    <w:p w14:paraId="5429D0D7" w14:textId="77777777" w:rsidR="003A5CE8" w:rsidRDefault="00DB5AF5">
      <w:pPr>
        <w:spacing w:line="360" w:lineRule="auto"/>
        <w:jc w:val="both"/>
        <w:rPr>
          <w:rFonts w:ascii="Arial" w:hAnsi="Arial"/>
          <w:rtl/>
        </w:rPr>
      </w:pPr>
      <w:r>
        <w:rPr>
          <w:rFonts w:ascii="Arial" w:hAnsi="Arial" w:hint="cs"/>
          <w:rtl/>
        </w:rPr>
        <w:t xml:space="preserve">במסגרת פרשת העונש, הוגשו מטעם </w:t>
      </w:r>
      <w:r>
        <w:rPr>
          <w:rFonts w:ascii="Arial" w:hAnsi="Arial" w:hint="cs"/>
          <w:u w:val="single"/>
          <w:rtl/>
        </w:rPr>
        <w:t>התביעה</w:t>
      </w:r>
      <w:r>
        <w:rPr>
          <w:rFonts w:ascii="Arial" w:hAnsi="Arial" w:hint="cs"/>
          <w:rtl/>
        </w:rPr>
        <w:t xml:space="preserve"> עברו הפלילי של הנאשם (ת/9), ובו שתי הרשעות קודמות בגין עבירות דומות, מהשנים האחרונות; כן הוגש גזר דין שניתן בענינו, במסגרתו הוטלו עליו, בין היתר, 7 חודשי מאסר על תנאי (ת/10) והופעל מאסר מותנה קודם.</w:t>
      </w:r>
    </w:p>
    <w:p w14:paraId="633DB7F9" w14:textId="77777777" w:rsidR="003A5CE8" w:rsidRDefault="003A5CE8">
      <w:pPr>
        <w:spacing w:line="360" w:lineRule="auto"/>
        <w:jc w:val="both"/>
        <w:rPr>
          <w:rFonts w:ascii="Arial" w:hAnsi="Arial"/>
          <w:rtl/>
        </w:rPr>
      </w:pPr>
    </w:p>
    <w:p w14:paraId="51C7AC90" w14:textId="77777777" w:rsidR="003A5CE8" w:rsidRDefault="00DB5AF5">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 </w:t>
      </w:r>
    </w:p>
    <w:p w14:paraId="7433F9BC" w14:textId="77777777" w:rsidR="003A5CE8" w:rsidRDefault="003A5CE8">
      <w:pPr>
        <w:spacing w:line="360" w:lineRule="auto"/>
        <w:jc w:val="both"/>
        <w:rPr>
          <w:rFonts w:ascii="Arial" w:hAnsi="Arial"/>
          <w:rtl/>
        </w:rPr>
      </w:pPr>
    </w:p>
    <w:p w14:paraId="090090F2" w14:textId="77777777" w:rsidR="003A5CE8" w:rsidRDefault="003A5CE8">
      <w:pPr>
        <w:spacing w:line="360" w:lineRule="auto"/>
        <w:jc w:val="both"/>
        <w:rPr>
          <w:rFonts w:ascii="Arial" w:hAnsi="Arial"/>
          <w:rtl/>
        </w:rPr>
      </w:pPr>
    </w:p>
    <w:p w14:paraId="75C539E6" w14:textId="77777777" w:rsidR="003A5CE8" w:rsidRDefault="00DB5AF5">
      <w:pPr>
        <w:spacing w:line="360" w:lineRule="auto"/>
        <w:jc w:val="both"/>
        <w:rPr>
          <w:rFonts w:ascii="Arial" w:hAnsi="Arial"/>
          <w:b/>
          <w:bCs/>
          <w:rtl/>
        </w:rPr>
      </w:pPr>
      <w:r>
        <w:rPr>
          <w:rFonts w:ascii="Arial" w:hAnsi="Arial" w:hint="cs"/>
          <w:b/>
          <w:bCs/>
          <w:rtl/>
        </w:rPr>
        <w:t>טענות הצדדים</w:t>
      </w:r>
    </w:p>
    <w:p w14:paraId="2A4B3048" w14:textId="77777777" w:rsidR="003A5CE8" w:rsidRDefault="003A5CE8">
      <w:pPr>
        <w:spacing w:line="360" w:lineRule="auto"/>
        <w:jc w:val="both"/>
        <w:rPr>
          <w:rFonts w:ascii="Arial" w:hAnsi="Arial"/>
          <w:rtl/>
        </w:rPr>
      </w:pPr>
    </w:p>
    <w:p w14:paraId="2187FA39" w14:textId="77777777" w:rsidR="003A5CE8" w:rsidRDefault="00DB5AF5">
      <w:pPr>
        <w:spacing w:line="360" w:lineRule="auto"/>
        <w:jc w:val="both"/>
        <w:rPr>
          <w:rFonts w:ascii="Arial" w:hAnsi="Arial"/>
          <w:rtl/>
        </w:rPr>
      </w:pPr>
      <w:r>
        <w:rPr>
          <w:rFonts w:ascii="Arial" w:hAnsi="Arial" w:hint="cs"/>
          <w:u w:val="single"/>
          <w:rtl/>
        </w:rPr>
        <w:t>התביעה</w:t>
      </w:r>
      <w:r>
        <w:rPr>
          <w:rFonts w:ascii="Arial" w:hAnsi="Arial" w:hint="cs"/>
          <w:rtl/>
        </w:rPr>
        <w:t xml:space="preserve"> עותרת להשית על הנאשם עונש מאסר שינוע בין 18 ל </w:t>
      </w:r>
      <w:r>
        <w:rPr>
          <w:rFonts w:ascii="Arial" w:hAnsi="Arial"/>
          <w:rtl/>
        </w:rPr>
        <w:t>–</w:t>
      </w:r>
      <w:r>
        <w:rPr>
          <w:rFonts w:ascii="Arial" w:hAnsi="Arial" w:hint="cs"/>
          <w:rtl/>
        </w:rPr>
        <w:t xml:space="preserve"> 30 חדשי מאסר וכן להפעיל המאסר המותנה. התביעה מצביעה על הסיכון הבטחוני האינהרנטי הגלום בעבירת ההסתננות, הן לבטחון המדינה והן לשלומם של חיילי צה"ל המאבטחים את גדר המערכת, אשר חשופים לפגיעה בכל עת שמוקפצים לאזור בשל נסיונות הסתננות. התביעה מבקשת לראות משנה חומרה בכך, שהנאשם עבר העבירות בהיותו מחזיק בסכין, נשק בעל פוטנציאל קטלני. </w:t>
      </w:r>
    </w:p>
    <w:p w14:paraId="78971BCB" w14:textId="77777777" w:rsidR="003A5CE8" w:rsidRDefault="003A5CE8">
      <w:pPr>
        <w:spacing w:line="360" w:lineRule="auto"/>
        <w:jc w:val="both"/>
        <w:rPr>
          <w:rFonts w:ascii="Arial" w:hAnsi="Arial"/>
          <w:rtl/>
        </w:rPr>
      </w:pPr>
    </w:p>
    <w:p w14:paraId="581238B3" w14:textId="77777777" w:rsidR="003A5CE8" w:rsidRDefault="00DB5AF5">
      <w:pPr>
        <w:spacing w:line="360" w:lineRule="auto"/>
        <w:jc w:val="both"/>
        <w:rPr>
          <w:rFonts w:ascii="Arial" w:hAnsi="Arial"/>
          <w:rtl/>
        </w:rPr>
      </w:pPr>
      <w:r>
        <w:rPr>
          <w:rFonts w:ascii="Arial" w:hAnsi="Arial" w:hint="cs"/>
          <w:rtl/>
        </w:rPr>
        <w:t xml:space="preserve">חרף כך שהנאשם לא הועמד לדין בגין החלופה שענינה הסתננות מזוינת, מבקשת התביעה ללמוד גזירה שווה ממתחם הענישה שנקבע בפסיקה בגין עבירה זו (מ </w:t>
      </w:r>
      <w:r>
        <w:rPr>
          <w:rFonts w:ascii="Arial" w:hAnsi="Arial"/>
          <w:rtl/>
        </w:rPr>
        <w:t>–</w:t>
      </w:r>
      <w:r>
        <w:rPr>
          <w:rFonts w:ascii="Arial" w:hAnsi="Arial" w:hint="cs"/>
          <w:rtl/>
        </w:rPr>
        <w:t xml:space="preserve"> 18 ועד 40 חדשי מאסר בפועל), וזאת בשל כך שהנאשם הודה, כי נשא על גופו סכין.</w:t>
      </w:r>
    </w:p>
    <w:p w14:paraId="4E1611E7" w14:textId="77777777" w:rsidR="003A5CE8" w:rsidRDefault="003A5CE8">
      <w:pPr>
        <w:spacing w:line="360" w:lineRule="auto"/>
        <w:jc w:val="both"/>
        <w:rPr>
          <w:rFonts w:ascii="Arial" w:hAnsi="Arial"/>
          <w:rtl/>
        </w:rPr>
      </w:pPr>
    </w:p>
    <w:p w14:paraId="3FB9B3D1" w14:textId="77777777" w:rsidR="003A5CE8" w:rsidRDefault="00DB5AF5">
      <w:pPr>
        <w:spacing w:line="360" w:lineRule="auto"/>
        <w:jc w:val="both"/>
        <w:rPr>
          <w:rFonts w:ascii="Arial" w:hAnsi="Arial"/>
          <w:rtl/>
        </w:rPr>
      </w:pPr>
      <w:r>
        <w:rPr>
          <w:rFonts w:ascii="Arial" w:hAnsi="Arial" w:hint="cs"/>
          <w:rtl/>
        </w:rPr>
        <w:t xml:space="preserve">יחד עם זאת, משלא הועמד הנאשם לדין בגין חלופה זו </w:t>
      </w:r>
      <w:r>
        <w:rPr>
          <w:rFonts w:ascii="Arial" w:hAnsi="Arial"/>
          <w:rtl/>
        </w:rPr>
        <w:t>–</w:t>
      </w:r>
      <w:r>
        <w:rPr>
          <w:rFonts w:ascii="Arial" w:hAnsi="Arial" w:hint="cs"/>
          <w:rtl/>
        </w:rPr>
        <w:t xml:space="preserve"> עותרת התביעה למתחם ענישה ברף עליון נמוך יותר, כפי שפורט לעיל.</w:t>
      </w:r>
    </w:p>
    <w:p w14:paraId="52343E27" w14:textId="77777777" w:rsidR="003A5CE8" w:rsidRDefault="003A5CE8">
      <w:pPr>
        <w:spacing w:line="360" w:lineRule="auto"/>
        <w:jc w:val="both"/>
        <w:rPr>
          <w:rFonts w:ascii="Arial" w:hAnsi="Arial"/>
          <w:rtl/>
        </w:rPr>
      </w:pPr>
    </w:p>
    <w:p w14:paraId="39414738" w14:textId="77777777" w:rsidR="003A5CE8" w:rsidRDefault="00DB5AF5">
      <w:pPr>
        <w:spacing w:line="360" w:lineRule="auto"/>
        <w:jc w:val="both"/>
        <w:rPr>
          <w:rFonts w:ascii="Arial" w:hAnsi="Arial"/>
          <w:rtl/>
        </w:rPr>
      </w:pPr>
      <w:r>
        <w:rPr>
          <w:rFonts w:ascii="Arial" w:hAnsi="Arial" w:hint="cs"/>
          <w:rtl/>
        </w:rPr>
        <w:t xml:space="preserve">לנוכח עברו הפלילי של הנאשם, והענשים שנגזרו עליו בעבר, אשר לא היה בהם כדי להרתיעו, ויתר הנסיבות שפורטו בהכרעת הדין, עותרת התביעה לענישה </w:t>
      </w:r>
      <w:r>
        <w:rPr>
          <w:rFonts w:ascii="Arial" w:hAnsi="Arial" w:hint="cs"/>
          <w:u w:val="single"/>
          <w:rtl/>
        </w:rPr>
        <w:t>על הצד הגבוה של המתחם</w:t>
      </w:r>
      <w:r>
        <w:rPr>
          <w:rFonts w:ascii="Arial" w:hAnsi="Arial" w:hint="cs"/>
          <w:rtl/>
        </w:rPr>
        <w:t xml:space="preserve">, וכן </w:t>
      </w:r>
      <w:r>
        <w:rPr>
          <w:rFonts w:ascii="Arial" w:hAnsi="Arial" w:hint="cs"/>
          <w:u w:val="single"/>
          <w:rtl/>
        </w:rPr>
        <w:t>להפעלת המאסר המותנה במצטבר</w:t>
      </w:r>
      <w:r>
        <w:rPr>
          <w:rFonts w:ascii="Arial" w:hAnsi="Arial" w:hint="cs"/>
          <w:rtl/>
        </w:rPr>
        <w:t>.</w:t>
      </w:r>
    </w:p>
    <w:p w14:paraId="1855FC26" w14:textId="77777777" w:rsidR="003A5CE8" w:rsidRDefault="003A5CE8">
      <w:pPr>
        <w:spacing w:line="360" w:lineRule="auto"/>
        <w:jc w:val="both"/>
        <w:rPr>
          <w:rFonts w:ascii="Arial" w:hAnsi="Arial"/>
          <w:rtl/>
        </w:rPr>
      </w:pPr>
    </w:p>
    <w:p w14:paraId="35B6F840" w14:textId="77777777" w:rsidR="003A5CE8" w:rsidRDefault="00DB5AF5">
      <w:pPr>
        <w:spacing w:line="360" w:lineRule="auto"/>
        <w:jc w:val="both"/>
        <w:rPr>
          <w:rFonts w:ascii="Arial" w:hAnsi="Arial"/>
          <w:rtl/>
        </w:rPr>
      </w:pPr>
      <w:r>
        <w:rPr>
          <w:rFonts w:ascii="Arial" w:hAnsi="Arial" w:hint="cs"/>
          <w:rtl/>
        </w:rPr>
        <w:t>עוד עותרת התביעה להשתת עיצום כספי מסוג קנס וכן לחייב הנאשם בחתימה על התחיבות להימנע מעבירה.</w:t>
      </w:r>
    </w:p>
    <w:p w14:paraId="475E7CCD" w14:textId="77777777" w:rsidR="003A5CE8" w:rsidRDefault="003A5CE8">
      <w:pPr>
        <w:spacing w:line="360" w:lineRule="auto"/>
        <w:jc w:val="both"/>
        <w:rPr>
          <w:rFonts w:ascii="Arial" w:hAnsi="Arial"/>
          <w:rtl/>
        </w:rPr>
      </w:pPr>
    </w:p>
    <w:p w14:paraId="0EE69E3D" w14:textId="77777777" w:rsidR="003A5CE8" w:rsidRDefault="00DB5AF5">
      <w:pPr>
        <w:spacing w:line="360" w:lineRule="auto"/>
        <w:jc w:val="both"/>
        <w:rPr>
          <w:rFonts w:ascii="Arial" w:hAnsi="Arial"/>
          <w:rtl/>
        </w:rPr>
      </w:pPr>
      <w:r>
        <w:rPr>
          <w:rFonts w:ascii="Arial" w:hAnsi="Arial" w:hint="cs"/>
          <w:u w:val="single"/>
          <w:rtl/>
        </w:rPr>
        <w:t>ההגנה</w:t>
      </w:r>
      <w:r>
        <w:rPr>
          <w:rFonts w:ascii="Arial" w:hAnsi="Arial" w:hint="cs"/>
          <w:rtl/>
        </w:rPr>
        <w:t xml:space="preserve"> עותרת להקל בדינו של הנאשם.</w:t>
      </w:r>
    </w:p>
    <w:p w14:paraId="405154DD" w14:textId="77777777" w:rsidR="003A5CE8" w:rsidRDefault="003A5CE8">
      <w:pPr>
        <w:spacing w:line="360" w:lineRule="auto"/>
        <w:jc w:val="both"/>
        <w:rPr>
          <w:rFonts w:ascii="Arial" w:hAnsi="Arial"/>
          <w:rtl/>
        </w:rPr>
      </w:pPr>
    </w:p>
    <w:p w14:paraId="0B317FCD" w14:textId="77777777" w:rsidR="003A5CE8" w:rsidRDefault="00DB5AF5">
      <w:pPr>
        <w:spacing w:line="360" w:lineRule="auto"/>
        <w:jc w:val="both"/>
        <w:rPr>
          <w:rFonts w:ascii="Arial" w:hAnsi="Arial"/>
          <w:rtl/>
        </w:rPr>
      </w:pPr>
      <w:r>
        <w:rPr>
          <w:rFonts w:ascii="Arial" w:hAnsi="Arial" w:hint="cs"/>
          <w:rtl/>
        </w:rPr>
        <w:t xml:space="preserve">ההגנה הכבירה מילים על הערך המוגן העומד בבסיס העבירה </w:t>
      </w:r>
      <w:r>
        <w:rPr>
          <w:rFonts w:ascii="Arial" w:hAnsi="Arial"/>
          <w:rtl/>
        </w:rPr>
        <w:t>–</w:t>
      </w:r>
      <w:r>
        <w:rPr>
          <w:rFonts w:ascii="Arial" w:hAnsi="Arial" w:hint="cs"/>
          <w:rtl/>
        </w:rPr>
        <w:t xml:space="preserve"> קרי: הפגיעה בריבונות המדינה, אשר, לשיטתה, בנסיבות העבירה דנן </w:t>
      </w:r>
      <w:r>
        <w:rPr>
          <w:rFonts w:ascii="Arial" w:hAnsi="Arial"/>
          <w:rtl/>
        </w:rPr>
        <w:t>–</w:t>
      </w:r>
      <w:r>
        <w:rPr>
          <w:rFonts w:ascii="Arial" w:hAnsi="Arial" w:hint="cs"/>
          <w:rtl/>
        </w:rPr>
        <w:t xml:space="preserve"> הפגיעה בו מאבדת מעוקצה. זאת, היות שהנאשם עבר העבירה, לשיטתה, בעקבות סכנה המרחפת מעל ראשו, גם אם נכנס למצב זה בהתנהגות פסולה.</w:t>
      </w:r>
    </w:p>
    <w:p w14:paraId="050082F7" w14:textId="77777777" w:rsidR="003A5CE8" w:rsidRDefault="00DB5AF5">
      <w:pPr>
        <w:spacing w:line="360" w:lineRule="auto"/>
        <w:jc w:val="both"/>
        <w:rPr>
          <w:rFonts w:ascii="Arial" w:hAnsi="Arial"/>
          <w:rtl/>
        </w:rPr>
      </w:pPr>
      <w:r>
        <w:rPr>
          <w:rFonts w:ascii="Arial" w:hAnsi="Arial" w:hint="cs"/>
          <w:rtl/>
        </w:rPr>
        <w:t>ההגנה טענה, כי המשטר באזור חבל עזה אינו מכבד זכויות אדם.</w:t>
      </w:r>
    </w:p>
    <w:p w14:paraId="7FACE6A3" w14:textId="77777777" w:rsidR="003A5CE8" w:rsidRDefault="00DB5AF5">
      <w:pPr>
        <w:spacing w:line="360" w:lineRule="auto"/>
        <w:jc w:val="both"/>
        <w:rPr>
          <w:rFonts w:ascii="Arial" w:hAnsi="Arial"/>
          <w:rtl/>
        </w:rPr>
      </w:pPr>
      <w:r>
        <w:rPr>
          <w:rFonts w:ascii="Arial" w:hAnsi="Arial" w:hint="cs"/>
          <w:rtl/>
        </w:rPr>
        <w:t>ההגנה טענה, כי היה בידי הנאשם לשוב לאזור חבל עזה כאשר נתפס על ידי חיילי צה"ל אך הוא בחר להיתפס, ובכך יש ללמד על המצוקה אותה חווה.</w:t>
      </w:r>
    </w:p>
    <w:p w14:paraId="2719022A" w14:textId="77777777" w:rsidR="003A5CE8" w:rsidRDefault="003A5CE8">
      <w:pPr>
        <w:spacing w:line="360" w:lineRule="auto"/>
        <w:jc w:val="both"/>
        <w:rPr>
          <w:rFonts w:ascii="Arial" w:hAnsi="Arial"/>
          <w:rtl/>
        </w:rPr>
      </w:pPr>
    </w:p>
    <w:p w14:paraId="0574BDFC" w14:textId="77777777" w:rsidR="003A5CE8" w:rsidRDefault="00DB5AF5">
      <w:pPr>
        <w:spacing w:line="360" w:lineRule="auto"/>
        <w:jc w:val="both"/>
        <w:rPr>
          <w:rFonts w:ascii="Arial" w:hAnsi="Arial"/>
          <w:rtl/>
        </w:rPr>
      </w:pPr>
      <w:r>
        <w:rPr>
          <w:rFonts w:ascii="Arial" w:hAnsi="Arial" w:hint="cs"/>
          <w:rtl/>
        </w:rPr>
        <w:t>ההגנה עתרה למתחם ענישה שהרף העליון שלו הינו 12 חדשי מאסר בפועל. חרף זאת, בסיום טיעוניה, ביקשה להטיל על הנאשם 13 חודשי מאסר בפועל, החופפים את תקופת מעצרו.</w:t>
      </w:r>
    </w:p>
    <w:p w14:paraId="6AA90CEA" w14:textId="77777777" w:rsidR="003A5CE8" w:rsidRDefault="003A5CE8">
      <w:pPr>
        <w:spacing w:line="360" w:lineRule="auto"/>
        <w:jc w:val="both"/>
        <w:rPr>
          <w:rFonts w:ascii="Arial" w:hAnsi="Arial"/>
          <w:rtl/>
        </w:rPr>
      </w:pPr>
    </w:p>
    <w:p w14:paraId="726158D4" w14:textId="77777777" w:rsidR="003A5CE8" w:rsidRDefault="003A5CE8">
      <w:pPr>
        <w:spacing w:line="360" w:lineRule="auto"/>
        <w:jc w:val="both"/>
        <w:rPr>
          <w:rFonts w:ascii="Arial" w:hAnsi="Arial"/>
          <w:rtl/>
        </w:rPr>
      </w:pPr>
    </w:p>
    <w:p w14:paraId="1B99A578" w14:textId="77777777" w:rsidR="003A5CE8" w:rsidRDefault="003A5CE8">
      <w:pPr>
        <w:spacing w:line="360" w:lineRule="auto"/>
        <w:jc w:val="both"/>
        <w:rPr>
          <w:rFonts w:ascii="Arial" w:hAnsi="Arial"/>
          <w:rtl/>
        </w:rPr>
      </w:pPr>
    </w:p>
    <w:p w14:paraId="706DA829" w14:textId="77777777" w:rsidR="003A5CE8" w:rsidRDefault="003A5CE8">
      <w:pPr>
        <w:spacing w:line="360" w:lineRule="auto"/>
        <w:jc w:val="both"/>
        <w:rPr>
          <w:rFonts w:ascii="Arial" w:hAnsi="Arial"/>
          <w:rtl/>
        </w:rPr>
      </w:pPr>
    </w:p>
    <w:p w14:paraId="39D9163F" w14:textId="77777777" w:rsidR="003A5CE8" w:rsidRDefault="003A5CE8">
      <w:pPr>
        <w:spacing w:line="360" w:lineRule="auto"/>
        <w:jc w:val="both"/>
        <w:rPr>
          <w:rFonts w:ascii="Arial" w:hAnsi="Arial"/>
          <w:rtl/>
        </w:rPr>
      </w:pPr>
    </w:p>
    <w:p w14:paraId="58373159" w14:textId="77777777" w:rsidR="003A5CE8" w:rsidRDefault="00DB5AF5">
      <w:pPr>
        <w:spacing w:line="360" w:lineRule="auto"/>
        <w:jc w:val="both"/>
        <w:rPr>
          <w:rFonts w:ascii="Arial" w:hAnsi="Arial"/>
          <w:b/>
          <w:bCs/>
          <w:rtl/>
        </w:rPr>
      </w:pPr>
      <w:r>
        <w:rPr>
          <w:rFonts w:ascii="Arial" w:hAnsi="Arial" w:hint="cs"/>
          <w:b/>
          <w:bCs/>
          <w:rtl/>
        </w:rPr>
        <w:t>דיון והכרעה</w:t>
      </w:r>
    </w:p>
    <w:p w14:paraId="586D0197" w14:textId="77777777" w:rsidR="003A5CE8" w:rsidRDefault="003A5CE8">
      <w:pPr>
        <w:spacing w:line="360" w:lineRule="auto"/>
        <w:jc w:val="both"/>
        <w:rPr>
          <w:rFonts w:ascii="Arial" w:hAnsi="Arial"/>
          <w:rtl/>
        </w:rPr>
      </w:pPr>
    </w:p>
    <w:p w14:paraId="68E2EB06" w14:textId="77777777" w:rsidR="003A5CE8" w:rsidRDefault="00DB5AF5">
      <w:pPr>
        <w:spacing w:line="360" w:lineRule="auto"/>
        <w:jc w:val="both"/>
        <w:rPr>
          <w:rFonts w:ascii="Arial" w:hAnsi="Arial"/>
          <w:b/>
          <w:bCs/>
          <w:rtl/>
        </w:rPr>
      </w:pPr>
      <w:r>
        <w:rPr>
          <w:rFonts w:ascii="Arial" w:hAnsi="Arial" w:hint="cs"/>
          <w:rtl/>
        </w:rPr>
        <w:t xml:space="preserve">בשורה של פסקי דין נקבע, כי מתחם הענישה בגין עבירה של הסתננות נע בין שנה ועד שנתיים מאסר בפועל. ראו, לדוגמא, </w:t>
      </w:r>
      <w:hyperlink r:id="rId17" w:history="1">
        <w:r w:rsidRPr="00DB5AF5">
          <w:rPr>
            <w:rFonts w:ascii="Arial" w:hAnsi="Arial"/>
            <w:color w:val="0000FF"/>
            <w:u w:val="single"/>
            <w:rtl/>
          </w:rPr>
          <w:t>עפ"ג 30475-12-13</w:t>
        </w:r>
      </w:hyperlink>
      <w:r>
        <w:rPr>
          <w:rFonts w:ascii="Arial" w:hAnsi="Arial" w:hint="cs"/>
          <w:rtl/>
        </w:rPr>
        <w:t xml:space="preserve"> </w:t>
      </w:r>
      <w:r>
        <w:rPr>
          <w:rFonts w:ascii="Arial" w:hAnsi="Arial" w:hint="cs"/>
          <w:b/>
          <w:bCs/>
          <w:rtl/>
        </w:rPr>
        <w:t xml:space="preserve">מדינת ישראל נ' אל בלעאוי. </w:t>
      </w:r>
    </w:p>
    <w:p w14:paraId="645F37F8" w14:textId="77777777" w:rsidR="003A5CE8" w:rsidRDefault="003A5CE8">
      <w:pPr>
        <w:spacing w:line="360" w:lineRule="auto"/>
        <w:jc w:val="both"/>
        <w:rPr>
          <w:rFonts w:ascii="Arial" w:hAnsi="Arial"/>
          <w:b/>
          <w:bCs/>
          <w:rtl/>
        </w:rPr>
      </w:pPr>
    </w:p>
    <w:p w14:paraId="33F3096C" w14:textId="77777777" w:rsidR="003A5CE8" w:rsidRDefault="00DB5AF5">
      <w:pPr>
        <w:spacing w:line="360" w:lineRule="auto"/>
        <w:jc w:val="both"/>
        <w:rPr>
          <w:rFonts w:ascii="Arial" w:hAnsi="Arial"/>
          <w:rtl/>
        </w:rPr>
      </w:pPr>
      <w:r>
        <w:rPr>
          <w:rFonts w:ascii="Arial" w:hAnsi="Arial" w:hint="cs"/>
          <w:rtl/>
        </w:rPr>
        <w:t xml:space="preserve">אשר לעבירה של החזקת סכין למטרה לא כשרה, נע מתחם הענישה בין מספר חדשי מאסר לריצוי בפועל, אפשר בדרך של עבודות שירות, ועד 8 חדשי מאסר בפועל. ראו סקירת הפסיקה המקיפה בפסק דינו של בית משפט השלום ברמלה, </w:t>
      </w:r>
      <w:hyperlink r:id="rId18" w:history="1">
        <w:r w:rsidRPr="00DB5AF5">
          <w:rPr>
            <w:rFonts w:ascii="Arial" w:hAnsi="Arial"/>
            <w:color w:val="0000FF"/>
            <w:u w:val="single"/>
            <w:rtl/>
          </w:rPr>
          <w:t>ת.פ. 14950-04-12</w:t>
        </w:r>
      </w:hyperlink>
      <w:r>
        <w:rPr>
          <w:rFonts w:ascii="Arial" w:hAnsi="Arial" w:hint="cs"/>
          <w:rtl/>
        </w:rPr>
        <w:t xml:space="preserve"> </w:t>
      </w:r>
      <w:r>
        <w:rPr>
          <w:rFonts w:ascii="Arial" w:hAnsi="Arial" w:hint="cs"/>
          <w:b/>
          <w:bCs/>
          <w:rtl/>
        </w:rPr>
        <w:t>מדינת ישראל נ' ציינך</w:t>
      </w:r>
      <w:r>
        <w:rPr>
          <w:rFonts w:ascii="Arial" w:hAnsi="Arial" w:hint="cs"/>
          <w:rtl/>
        </w:rPr>
        <w:t xml:space="preserve">. בהתאם למצב הבטחוני דהיום, נראה כי נכון יהיה לעדכן מתחם הענישה בגין עבירה זו, שכן נושאת היא בחובה סיכון בטחוני קטלני ממשי. יש לזכור, כי המחוקק קבע עונש מירבי של 5 שנות מאסר בגין אותה עבירה. ואולם, לנוכח המועד בו עבר הנאשם את העבירה </w:t>
      </w:r>
      <w:r>
        <w:rPr>
          <w:rFonts w:ascii="Arial" w:hAnsi="Arial"/>
          <w:rtl/>
        </w:rPr>
        <w:t>–</w:t>
      </w:r>
      <w:r>
        <w:rPr>
          <w:rFonts w:ascii="Arial" w:hAnsi="Arial" w:hint="cs"/>
          <w:rtl/>
        </w:rPr>
        <w:t xml:space="preserve"> ידון בהתאם למתחם שהיה בתוקף באותה העת. </w:t>
      </w:r>
    </w:p>
    <w:p w14:paraId="0DBD5665" w14:textId="77777777" w:rsidR="003A5CE8" w:rsidRDefault="003A5CE8">
      <w:pPr>
        <w:spacing w:line="360" w:lineRule="auto"/>
        <w:jc w:val="both"/>
        <w:rPr>
          <w:rFonts w:ascii="Arial" w:hAnsi="Arial"/>
          <w:rtl/>
        </w:rPr>
      </w:pPr>
    </w:p>
    <w:p w14:paraId="33A81238" w14:textId="77777777" w:rsidR="003A5CE8" w:rsidRDefault="00DB5AF5">
      <w:pPr>
        <w:spacing w:line="360" w:lineRule="auto"/>
        <w:jc w:val="both"/>
        <w:rPr>
          <w:rtl/>
        </w:rPr>
      </w:pPr>
      <w:r>
        <w:rPr>
          <w:rFonts w:ascii="Arial" w:hAnsi="Arial" w:hint="cs"/>
          <w:rtl/>
        </w:rPr>
        <w:t>אין בידי בית המשפט לקבל טענת התביעה לפיה, ראוי לגזור דינו של הנאשם בגין עבירת ההסתננות בהתאם למתחם הענישה, כפי שנקבע בנוגע לעבירה של הסתננות מזוינת, ואשר הרף התחתון שלו הינו 18 חודשי מאסר. אכן, העובדות בגינן הועמד הנאשם לדין ובגינן הורשע, מאפשרות היו העמדתו לדין בגין אותה עבירה, אך משבחרה התביעה הכללית, משיקוליה, להעמידו לדין בגין עבירת הסתננות מצויה</w:t>
      </w:r>
      <w:r>
        <w:rPr>
          <w:rFonts w:hint="cs"/>
          <w:b/>
          <w:bCs/>
          <w:rtl/>
        </w:rPr>
        <w:t>,</w:t>
      </w:r>
      <w:r>
        <w:rPr>
          <w:b/>
          <w:bCs/>
          <w:rtl/>
        </w:rPr>
        <w:t xml:space="preserve"> </w:t>
      </w:r>
      <w:r>
        <w:rPr>
          <w:rtl/>
        </w:rPr>
        <w:t xml:space="preserve">בניגוד </w:t>
      </w:r>
      <w:hyperlink r:id="rId19" w:history="1">
        <w:r w:rsidR="00127C88" w:rsidRPr="00127C88">
          <w:rPr>
            <w:color w:val="0000FF"/>
            <w:u w:val="single"/>
            <w:rtl/>
          </w:rPr>
          <w:t>לסעיף 2</w:t>
        </w:r>
      </w:hyperlink>
      <w:r>
        <w:rPr>
          <w:rtl/>
        </w:rPr>
        <w:t xml:space="preserve"> ל</w:t>
      </w:r>
      <w:hyperlink r:id="rId20" w:history="1">
        <w:r w:rsidRPr="00DB5AF5">
          <w:rPr>
            <w:color w:val="0000FF"/>
            <w:u w:val="single"/>
            <w:rtl/>
          </w:rPr>
          <w:t>חוק למניעת הסתננות (עבירות ושיפוט)</w:t>
        </w:r>
      </w:hyperlink>
      <w:r>
        <w:rPr>
          <w:rtl/>
        </w:rPr>
        <w:t>, תשי"ד – 1954</w:t>
      </w:r>
      <w:r>
        <w:rPr>
          <w:rFonts w:hint="cs"/>
          <w:rtl/>
        </w:rPr>
        <w:t xml:space="preserve">, ולא העבירה בניגוד לסעיף 4 לאותה פקודה </w:t>
      </w:r>
      <w:r>
        <w:rPr>
          <w:rtl/>
        </w:rPr>
        <w:t>–</w:t>
      </w:r>
      <w:r>
        <w:rPr>
          <w:rFonts w:hint="cs"/>
          <w:rtl/>
        </w:rPr>
        <w:t xml:space="preserve"> הרי שומה על בית המשפט לגזור דינו של הנאשם בהתאם למתחם הענישה שנקבע בפסיקה לאותה עבירה.</w:t>
      </w:r>
    </w:p>
    <w:p w14:paraId="51CFCAA8" w14:textId="77777777" w:rsidR="003A5CE8" w:rsidRDefault="003A5CE8">
      <w:pPr>
        <w:spacing w:line="360" w:lineRule="auto"/>
        <w:jc w:val="both"/>
        <w:rPr>
          <w:rtl/>
        </w:rPr>
      </w:pPr>
    </w:p>
    <w:p w14:paraId="2B9E607B" w14:textId="77777777" w:rsidR="003A5CE8" w:rsidRDefault="00DB5AF5">
      <w:pPr>
        <w:spacing w:line="360" w:lineRule="auto"/>
        <w:jc w:val="both"/>
        <w:rPr>
          <w:rFonts w:ascii="Arial" w:hAnsi="Arial"/>
          <w:rtl/>
        </w:rPr>
      </w:pPr>
      <w:r>
        <w:rPr>
          <w:rFonts w:hint="cs"/>
          <w:rtl/>
        </w:rPr>
        <w:t xml:space="preserve">עם זאת, הועמד הנאשם לדין גם בגין עבירה של החזקת סכין למטרה לא כשרה, בגינה נקבע בפסיקה מתחם ענישה ספציפי, שאף הוא מגיע עד כדי מאסר בפועל. </w:t>
      </w:r>
    </w:p>
    <w:p w14:paraId="75E8132A" w14:textId="77777777" w:rsidR="003A5CE8" w:rsidRDefault="003A5CE8">
      <w:pPr>
        <w:spacing w:line="360" w:lineRule="auto"/>
        <w:jc w:val="both"/>
        <w:rPr>
          <w:rFonts w:ascii="Arial" w:hAnsi="Arial"/>
          <w:rtl/>
        </w:rPr>
      </w:pPr>
    </w:p>
    <w:p w14:paraId="63343335" w14:textId="77777777" w:rsidR="003A5CE8" w:rsidRDefault="00DB5AF5">
      <w:pPr>
        <w:spacing w:line="360" w:lineRule="auto"/>
        <w:jc w:val="both"/>
        <w:rPr>
          <w:rFonts w:ascii="Arial" w:hAnsi="Arial"/>
          <w:rtl/>
        </w:rPr>
      </w:pPr>
      <w:r>
        <w:rPr>
          <w:rFonts w:ascii="Arial" w:hAnsi="Arial" w:hint="cs"/>
          <w:rtl/>
        </w:rPr>
        <w:t xml:space="preserve">משעבר הנאשם את שתי העבירות במסגרת אירוע אחד </w:t>
      </w:r>
      <w:r>
        <w:rPr>
          <w:rFonts w:ascii="Arial" w:hAnsi="Arial"/>
          <w:rtl/>
        </w:rPr>
        <w:t>–</w:t>
      </w:r>
      <w:r>
        <w:rPr>
          <w:rFonts w:ascii="Arial" w:hAnsi="Arial" w:hint="cs"/>
          <w:rtl/>
        </w:rPr>
        <w:t xml:space="preserve"> יקבע בית המשפט מתחם ענישה כולל בגין שתי העבירות, תוך חפיפה מסוימת בין המתחמים שנקבעו, כך שהמתחם הכולל ינוע בין 15 ועד ל-30 חודשי מאסר בפועל.  </w:t>
      </w:r>
    </w:p>
    <w:p w14:paraId="649D6952" w14:textId="77777777" w:rsidR="003A5CE8" w:rsidRDefault="003A5CE8">
      <w:pPr>
        <w:spacing w:line="360" w:lineRule="auto"/>
        <w:jc w:val="both"/>
        <w:rPr>
          <w:rFonts w:ascii="Arial" w:hAnsi="Arial"/>
          <w:rtl/>
        </w:rPr>
      </w:pPr>
    </w:p>
    <w:p w14:paraId="05DE4C4E" w14:textId="77777777" w:rsidR="003A5CE8" w:rsidRDefault="00DB5AF5">
      <w:pPr>
        <w:spacing w:line="360" w:lineRule="auto"/>
        <w:jc w:val="both"/>
        <w:rPr>
          <w:rFonts w:ascii="A028 Extrabold" w:hAnsi="A028 Extrabold"/>
          <w:rtl/>
        </w:rPr>
      </w:pPr>
      <w:r>
        <w:rPr>
          <w:rFonts w:ascii="A028 Extrabold" w:hAnsi="A028 Extrabold" w:hint="cs"/>
          <w:rtl/>
        </w:rPr>
        <w:t>קביעת הענישה הספציפית במסגרת המתחם נעוצה, ראש וראשית, בקיום אינדיקציה על פעילות שלילית, פלילית או בטחונית, מצדו של הנאשם; מידת התחכום בביצוע העבירה, לרבות הלוגיסטיקה שנדרשה, חבירה עם אחרים, פרנסת מערכת הברחות הגבול; עבר קודם; מידת ההכבדה על כוחות הבטחון; נסיבותיו האישיות של הנאשם.</w:t>
      </w:r>
    </w:p>
    <w:p w14:paraId="3C21F3D3" w14:textId="77777777" w:rsidR="003A5CE8" w:rsidRDefault="003A5CE8">
      <w:pPr>
        <w:spacing w:line="360" w:lineRule="auto"/>
        <w:jc w:val="both"/>
        <w:rPr>
          <w:rFonts w:ascii="A028 Extrabold" w:hAnsi="A028 Extrabold"/>
          <w:rtl/>
        </w:rPr>
      </w:pPr>
    </w:p>
    <w:p w14:paraId="7D93B4EC" w14:textId="77777777" w:rsidR="003A5CE8" w:rsidRDefault="00DB5AF5">
      <w:pPr>
        <w:spacing w:line="360" w:lineRule="auto"/>
        <w:jc w:val="both"/>
        <w:rPr>
          <w:rFonts w:ascii="A028 Extrabold" w:hAnsi="A028 Extrabold"/>
          <w:rtl/>
        </w:rPr>
      </w:pPr>
      <w:r>
        <w:rPr>
          <w:rFonts w:ascii="A028 Extrabold" w:hAnsi="A028 Extrabold" w:hint="cs"/>
          <w:rtl/>
        </w:rPr>
        <w:t xml:space="preserve">במקרה דנן, המדובר בנאשם שגנב את גדר הגבול בעודו מחזיק בסכין קומנדו ובלהב נוסף של סכין; משמיעת הראיות עלה, כי הנאשם נחשד, לאורך תקופה ארוכה, כעוסק בתחום הסחר בסם מסוכן, וכי זו היתה אחת הסיבות לנסיונו לצאת מאזור חבל עזה. כך שקיימות אינדיקציות מוגברות הן בנוגע לסיכון בטחוני, עקב נשיאת הסכין והלהב, והן בנוגע לפעילות פלילית שלילית מצדו של הנאשם. </w:t>
      </w:r>
    </w:p>
    <w:p w14:paraId="2690C8AF" w14:textId="77777777" w:rsidR="003A5CE8" w:rsidRDefault="003A5CE8">
      <w:pPr>
        <w:spacing w:line="360" w:lineRule="auto"/>
        <w:jc w:val="both"/>
        <w:rPr>
          <w:rFonts w:ascii="A028 Extrabold" w:hAnsi="A028 Extrabold"/>
          <w:rtl/>
        </w:rPr>
      </w:pPr>
    </w:p>
    <w:p w14:paraId="1B6F9A4C" w14:textId="77777777" w:rsidR="003A5CE8" w:rsidRDefault="00DB5AF5">
      <w:pPr>
        <w:spacing w:line="360" w:lineRule="auto"/>
        <w:jc w:val="both"/>
        <w:rPr>
          <w:rFonts w:ascii="A028 Extrabold" w:hAnsi="A028 Extrabold"/>
          <w:rtl/>
        </w:rPr>
      </w:pPr>
      <w:r>
        <w:rPr>
          <w:rFonts w:ascii="A028 Extrabold" w:hAnsi="A028 Extrabold" w:hint="cs"/>
          <w:rtl/>
        </w:rPr>
        <w:t xml:space="preserve">המדובר בנאשם רצדביסט, אשר לגרסתו, עבר העבירה מספר פעמים בשנים האחרונות, בחלק מהן הועמד לדין, כאשר שני עונשי מאסר קודמים, מהשנים האחרונות, בשני המקרים נמנע בית המשפט מלמצות עמו חומר הדין, ואפילו מאסר מותנה שהופעל באופן מצטבר במלואו לעונש שהוטל עליו בפעם האחרונה </w:t>
      </w:r>
      <w:r>
        <w:rPr>
          <w:rFonts w:ascii="A028 Extrabold" w:hAnsi="A028 Extrabold"/>
          <w:rtl/>
        </w:rPr>
        <w:t>–</w:t>
      </w:r>
      <w:r>
        <w:rPr>
          <w:rFonts w:ascii="A028 Extrabold" w:hAnsi="A028 Extrabold" w:hint="cs"/>
          <w:rtl/>
        </w:rPr>
        <w:t xml:space="preserve"> לא הרתיעוהו מלשוב ולעבור העבירות. כל אלה מצביעים לכיוון </w:t>
      </w:r>
      <w:r>
        <w:rPr>
          <w:rFonts w:ascii="A028 Extrabold" w:hAnsi="A028 Extrabold" w:hint="cs"/>
          <w:u w:val="single"/>
          <w:rtl/>
        </w:rPr>
        <w:t>החמרה ממשית</w:t>
      </w:r>
      <w:r>
        <w:rPr>
          <w:rFonts w:ascii="A028 Extrabold" w:hAnsi="A028 Extrabold" w:hint="cs"/>
          <w:rtl/>
        </w:rPr>
        <w:t xml:space="preserve"> במסגרת מתחם הענישה.  </w:t>
      </w:r>
    </w:p>
    <w:p w14:paraId="237F1C58" w14:textId="77777777" w:rsidR="003A5CE8" w:rsidRDefault="003A5CE8">
      <w:pPr>
        <w:spacing w:line="360" w:lineRule="auto"/>
        <w:jc w:val="both"/>
        <w:rPr>
          <w:rFonts w:ascii="A028 Extrabold" w:hAnsi="A028 Extrabold"/>
          <w:rtl/>
        </w:rPr>
      </w:pPr>
    </w:p>
    <w:p w14:paraId="5E6F216D" w14:textId="77777777" w:rsidR="003A5CE8" w:rsidRDefault="00DB5AF5">
      <w:pPr>
        <w:spacing w:line="360" w:lineRule="auto"/>
        <w:jc w:val="both"/>
        <w:rPr>
          <w:rFonts w:ascii="A028 Extrabold" w:hAnsi="A028 Extrabold"/>
          <w:rtl/>
        </w:rPr>
      </w:pPr>
      <w:r>
        <w:rPr>
          <w:rFonts w:ascii="A028 Extrabold" w:hAnsi="A028 Extrabold" w:hint="cs"/>
          <w:rtl/>
        </w:rPr>
        <w:t xml:space="preserve">הנאשם בחר לנהל המשפט, וזוהי כמובן זכותו, ולא זו אלא שבחר להתכחש לפרטים שמסר באמרותיו, מה שאילץ התביעה לזמן עד הזמה מטעם שירות הבטחון הכללי, על כל הלוגיסטיקה הנלווית לכך. מובן, כי אין בכך כדי להחמיר את דינו, אך מנגד, אינו זכאי להקלה הניתנת למי שהודה בעבירה ונטל אחריות. </w:t>
      </w:r>
    </w:p>
    <w:p w14:paraId="68623B0C" w14:textId="77777777" w:rsidR="003A5CE8" w:rsidRDefault="003A5CE8">
      <w:pPr>
        <w:spacing w:line="360" w:lineRule="auto"/>
        <w:jc w:val="both"/>
        <w:rPr>
          <w:rFonts w:ascii="A028 Extrabold" w:hAnsi="A028 Extrabold"/>
          <w:rtl/>
        </w:rPr>
      </w:pPr>
    </w:p>
    <w:p w14:paraId="1B801D25" w14:textId="77777777" w:rsidR="003A5CE8" w:rsidRDefault="00DB5AF5">
      <w:pPr>
        <w:spacing w:line="360" w:lineRule="auto"/>
        <w:jc w:val="both"/>
        <w:rPr>
          <w:rFonts w:ascii="A028 Extrabold" w:hAnsi="A028 Extrabold"/>
          <w:rtl/>
        </w:rPr>
      </w:pPr>
      <w:r>
        <w:rPr>
          <w:rFonts w:ascii="A028 Extrabold" w:hAnsi="A028 Extrabold" w:hint="cs"/>
          <w:rtl/>
        </w:rPr>
        <w:t xml:space="preserve">מנגד, אין לומר, כי העבירה בוצעה באופן מתוחכם או תוך הסתיעות בלוגיסטיקה מיוחדת. כמו כן, לא נתפסו אחרים אשר שיתפו פעולה עם הנאשם לצורך ההסתננות. נסיבות אלה מטות הכף לכיוון הקלת-מה בדינו של הנאשם. </w:t>
      </w:r>
    </w:p>
    <w:p w14:paraId="1CEAC97E" w14:textId="77777777" w:rsidR="003A5CE8" w:rsidRDefault="003A5CE8">
      <w:pPr>
        <w:spacing w:line="360" w:lineRule="auto"/>
        <w:jc w:val="both"/>
        <w:rPr>
          <w:rFonts w:ascii="A028 Extrabold" w:hAnsi="A028 Extrabold"/>
          <w:rtl/>
        </w:rPr>
      </w:pPr>
    </w:p>
    <w:p w14:paraId="7640B153" w14:textId="77777777" w:rsidR="003A5CE8" w:rsidRDefault="00DB5AF5">
      <w:pPr>
        <w:spacing w:line="360" w:lineRule="auto"/>
        <w:jc w:val="both"/>
        <w:rPr>
          <w:rFonts w:ascii="A028 Extrabold" w:hAnsi="A028 Extrabold"/>
          <w:rtl/>
        </w:rPr>
      </w:pPr>
      <w:r>
        <w:rPr>
          <w:rFonts w:ascii="A028 Extrabold" w:hAnsi="A028 Extrabold" w:hint="cs"/>
          <w:rtl/>
        </w:rPr>
        <w:t xml:space="preserve">כפי שפורט בהכרעת-הדין, אין בית המשפט מקבל טענות ההגנה, כי הנאשם פעל מתוך מצוקה מיוחדת, ואף מעשה חיתוך הידיים באמצעות להב הסכין שהוחזק על ידו </w:t>
      </w:r>
      <w:r>
        <w:rPr>
          <w:rFonts w:ascii="A028 Extrabold" w:hAnsi="A028 Extrabold"/>
          <w:rtl/>
        </w:rPr>
        <w:t>–</w:t>
      </w:r>
      <w:r>
        <w:rPr>
          <w:rFonts w:ascii="A028 Extrabold" w:hAnsi="A028 Extrabold" w:hint="cs"/>
          <w:rtl/>
        </w:rPr>
        <w:t xml:space="preserve"> נקבע בהכרעת-הדין, בהסתמך על הראיות והמסמכים הרפואיים, כי היה מעשה דמונסטרטיבי בלבד, מעשה מניפולטיבי, שמטרתו היתה לנסות ולגרום להשארתו בתחומי ישראל, לאחר שבפעמים הקודמות הוחזר לאזור חבל עזה עם תום מאסרו, ומשכך </w:t>
      </w:r>
      <w:r>
        <w:rPr>
          <w:rFonts w:ascii="A028 Extrabold" w:hAnsi="A028 Extrabold"/>
          <w:rtl/>
        </w:rPr>
        <w:t>–</w:t>
      </w:r>
      <w:r>
        <w:rPr>
          <w:rFonts w:ascii="A028 Extrabold" w:hAnsi="A028 Extrabold" w:hint="cs"/>
          <w:rtl/>
        </w:rPr>
        <w:t xml:space="preserve"> אין בית המשפט מוצא ליתן משקל לקולא לעובדה זו. </w:t>
      </w:r>
    </w:p>
    <w:p w14:paraId="2ADFB317" w14:textId="77777777" w:rsidR="003A5CE8" w:rsidRDefault="003A5CE8">
      <w:pPr>
        <w:spacing w:line="360" w:lineRule="auto"/>
        <w:jc w:val="both"/>
        <w:rPr>
          <w:rFonts w:ascii="A028 Extrabold" w:hAnsi="A028 Extrabold"/>
          <w:rtl/>
        </w:rPr>
      </w:pPr>
    </w:p>
    <w:p w14:paraId="62E64F99" w14:textId="77777777" w:rsidR="003A5CE8" w:rsidRDefault="00DB5AF5">
      <w:pPr>
        <w:spacing w:line="360" w:lineRule="auto"/>
        <w:jc w:val="both"/>
        <w:rPr>
          <w:rFonts w:ascii="A028 Extrabold" w:hAnsi="A028 Extrabold"/>
          <w:rtl/>
        </w:rPr>
      </w:pPr>
      <w:r>
        <w:rPr>
          <w:rFonts w:ascii="A028 Extrabold" w:hAnsi="A028 Extrabold" w:hint="cs"/>
          <w:rtl/>
        </w:rPr>
        <w:t xml:space="preserve">סוף דבר, לאחר שבית-המשפט שמע הראיות; שמע טענות הצדדים על-פה ועיין בטעוני התביעה לעונש בכתב; שמע דברו האחרון של הנאשם </w:t>
      </w:r>
      <w:r>
        <w:rPr>
          <w:rFonts w:ascii="A028 Extrabold" w:hAnsi="A028 Extrabold"/>
          <w:rtl/>
        </w:rPr>
        <w:t>–</w:t>
      </w:r>
      <w:r>
        <w:rPr>
          <w:rFonts w:ascii="A028 Extrabold" w:hAnsi="A028 Extrabold" w:hint="cs"/>
          <w:rtl/>
        </w:rPr>
        <w:t xml:space="preserve"> מוצא לגזור עונשו של הנאשם למאסר בפועל על הצד הבינוני של מתחם הענישה הכולל שנקבע בגין העבירות שעבר הנאשם.  </w:t>
      </w:r>
    </w:p>
    <w:p w14:paraId="38887D0B" w14:textId="77777777" w:rsidR="003A5CE8" w:rsidRDefault="003A5CE8">
      <w:pPr>
        <w:spacing w:line="360" w:lineRule="auto"/>
        <w:jc w:val="both"/>
        <w:rPr>
          <w:rFonts w:ascii="A028 Extrabold" w:hAnsi="A028 Extrabold"/>
          <w:rtl/>
        </w:rPr>
      </w:pPr>
    </w:p>
    <w:p w14:paraId="6731EE61" w14:textId="77777777" w:rsidR="003A5CE8" w:rsidRDefault="00DB5AF5">
      <w:pPr>
        <w:spacing w:line="360" w:lineRule="auto"/>
        <w:jc w:val="both"/>
        <w:rPr>
          <w:rFonts w:ascii="A028 Extrabold" w:hAnsi="A028 Extrabold"/>
          <w:rtl/>
        </w:rPr>
      </w:pPr>
      <w:r>
        <w:rPr>
          <w:rFonts w:ascii="A028 Extrabold" w:hAnsi="A028 Extrabold" w:hint="cs"/>
          <w:rtl/>
        </w:rPr>
        <w:t xml:space="preserve">זו הפעם, רואה בית-המשפט להשית על הנאשם מאסר מותנה בהיקף מרתיע, וזאת לאחר ששני מאסרים מותנים שהושתו עליו בעבר, לרבות הפעלת מאסר מותנה קצר בעבר </w:t>
      </w:r>
      <w:r>
        <w:rPr>
          <w:rFonts w:ascii="A028 Extrabold" w:hAnsi="A028 Extrabold"/>
          <w:rtl/>
        </w:rPr>
        <w:t>–</w:t>
      </w:r>
      <w:r>
        <w:rPr>
          <w:rFonts w:ascii="A028 Extrabold" w:hAnsi="A028 Extrabold" w:hint="cs"/>
          <w:rtl/>
        </w:rPr>
        <w:t xml:space="preserve"> לא הרתיעו הנאשם מלשוב ולעבור העבירות. </w:t>
      </w:r>
    </w:p>
    <w:p w14:paraId="0192E1D9" w14:textId="77777777" w:rsidR="003A5CE8" w:rsidRDefault="003A5CE8">
      <w:pPr>
        <w:spacing w:line="360" w:lineRule="auto"/>
        <w:jc w:val="both"/>
        <w:rPr>
          <w:rFonts w:ascii="A028 Extrabold" w:hAnsi="A028 Extrabold"/>
          <w:rtl/>
        </w:rPr>
      </w:pPr>
    </w:p>
    <w:p w14:paraId="7AEEF6CE" w14:textId="77777777" w:rsidR="003A5CE8" w:rsidRDefault="00DB5AF5">
      <w:pPr>
        <w:spacing w:line="360" w:lineRule="auto"/>
        <w:jc w:val="both"/>
        <w:rPr>
          <w:rFonts w:ascii="A028 Extrabold" w:hAnsi="A028 Extrabold"/>
          <w:rtl/>
        </w:rPr>
      </w:pPr>
      <w:r>
        <w:rPr>
          <w:rFonts w:ascii="A028 Extrabold" w:hAnsi="A028 Extrabold" w:hint="cs"/>
          <w:rtl/>
        </w:rPr>
        <w:t xml:space="preserve">עוד רואה בית-המשפט להפעיל המאסר המותנה התלוי ועומד מעל הנאשם. בהעדר נסיבות מיוחדות המצדיקות הפעלת המאסר המותנה בחופף לעונש שהוטל </w:t>
      </w:r>
      <w:r>
        <w:rPr>
          <w:rFonts w:ascii="A028 Extrabold" w:hAnsi="A028 Extrabold"/>
          <w:rtl/>
        </w:rPr>
        <w:t>–</w:t>
      </w:r>
      <w:r>
        <w:rPr>
          <w:rFonts w:ascii="A028 Extrabold" w:hAnsi="A028 Extrabold" w:hint="cs"/>
          <w:rtl/>
        </w:rPr>
        <w:t xml:space="preserve"> יש לפעול על פי שורת הדין ולהפעילו במצטבר. </w:t>
      </w:r>
    </w:p>
    <w:p w14:paraId="3C7F26C9" w14:textId="77777777" w:rsidR="003A5CE8" w:rsidRDefault="003A5CE8">
      <w:pPr>
        <w:spacing w:line="360" w:lineRule="auto"/>
        <w:jc w:val="both"/>
        <w:rPr>
          <w:rFonts w:ascii="A028 Extrabold" w:hAnsi="A028 Extrabold"/>
          <w:rtl/>
        </w:rPr>
      </w:pPr>
    </w:p>
    <w:p w14:paraId="74FFCC40" w14:textId="77777777" w:rsidR="003A5CE8" w:rsidRDefault="00DB5AF5">
      <w:pPr>
        <w:spacing w:line="360" w:lineRule="auto"/>
        <w:jc w:val="both"/>
        <w:rPr>
          <w:rFonts w:ascii="A028 Extrabold" w:hAnsi="A028 Extrabold"/>
          <w:rtl/>
        </w:rPr>
      </w:pPr>
      <w:r>
        <w:rPr>
          <w:rFonts w:ascii="A028 Extrabold" w:hAnsi="A028 Extrabold" w:hint="cs"/>
          <w:rtl/>
        </w:rPr>
        <w:t xml:space="preserve">אשר לעתירת התביעה להשתת עיצומים כספיים בדמות קנס או עיצום מותנה בדמות התחיבות להמנע מעבירה </w:t>
      </w:r>
      <w:r>
        <w:rPr>
          <w:rFonts w:ascii="A028 Extrabold" w:hAnsi="A028 Extrabold"/>
          <w:rtl/>
        </w:rPr>
        <w:t>–</w:t>
      </w:r>
      <w:r>
        <w:rPr>
          <w:rFonts w:ascii="A028 Extrabold" w:hAnsi="A028 Extrabold" w:hint="cs"/>
          <w:rtl/>
        </w:rPr>
        <w:t xml:space="preserve"> לנוכח תקופת המאסר שתיגזר על הנאשם, אין בית-המשפט רואה לקבל עתירה זו.  </w:t>
      </w:r>
    </w:p>
    <w:p w14:paraId="144BAE49" w14:textId="77777777" w:rsidR="003A5CE8" w:rsidRDefault="003A5CE8">
      <w:pPr>
        <w:spacing w:line="360" w:lineRule="auto"/>
        <w:jc w:val="both"/>
        <w:rPr>
          <w:rFonts w:ascii="A028 Extrabold" w:hAnsi="A028 Extrabold"/>
          <w:rtl/>
        </w:rPr>
      </w:pPr>
    </w:p>
    <w:p w14:paraId="3669E3E3" w14:textId="77777777" w:rsidR="003A5CE8" w:rsidRDefault="00DB5AF5">
      <w:pPr>
        <w:spacing w:line="360" w:lineRule="auto"/>
        <w:jc w:val="both"/>
        <w:rPr>
          <w:rFonts w:ascii="A028 Extrabold" w:hAnsi="A028 Extrabold"/>
          <w:rtl/>
        </w:rPr>
      </w:pPr>
      <w:r>
        <w:rPr>
          <w:rFonts w:ascii="A028 Extrabold" w:hAnsi="A028 Extrabold" w:hint="cs"/>
          <w:rtl/>
        </w:rPr>
        <w:t xml:space="preserve">בית-המשפט דן את הנאשם לעונש הבאים: </w:t>
      </w:r>
    </w:p>
    <w:p w14:paraId="17584C3E" w14:textId="77777777" w:rsidR="003A5CE8" w:rsidRDefault="003A5CE8">
      <w:pPr>
        <w:spacing w:line="360" w:lineRule="auto"/>
        <w:jc w:val="both"/>
        <w:rPr>
          <w:rFonts w:ascii="A028 Extrabold" w:hAnsi="A028 Extrabold"/>
          <w:rtl/>
        </w:rPr>
      </w:pPr>
    </w:p>
    <w:p w14:paraId="317192A8" w14:textId="77777777" w:rsidR="003A5CE8" w:rsidRDefault="00DB5AF5">
      <w:pPr>
        <w:spacing w:line="360" w:lineRule="auto"/>
        <w:jc w:val="both"/>
        <w:rPr>
          <w:rFonts w:ascii="A028 Extrabold" w:hAnsi="A028 Extrabold"/>
          <w:rtl/>
        </w:rPr>
      </w:pPr>
      <w:r>
        <w:rPr>
          <w:rFonts w:ascii="A028 Extrabold" w:hAnsi="A028 Extrabold" w:hint="cs"/>
          <w:rtl/>
        </w:rPr>
        <w:t>א.</w:t>
      </w:r>
      <w:r>
        <w:rPr>
          <w:rFonts w:ascii="A028 Extrabold" w:hAnsi="A028 Extrabold" w:hint="cs"/>
          <w:rtl/>
        </w:rPr>
        <w:tab/>
        <w:t>20 חדשי מאסר לריצוי בפועל;</w:t>
      </w:r>
    </w:p>
    <w:p w14:paraId="6D141058" w14:textId="77777777" w:rsidR="003A5CE8" w:rsidRDefault="003A5CE8">
      <w:pPr>
        <w:spacing w:line="360" w:lineRule="auto"/>
        <w:jc w:val="both"/>
        <w:rPr>
          <w:rFonts w:ascii="A028 Extrabold" w:hAnsi="A028 Extrabold"/>
          <w:rtl/>
        </w:rPr>
      </w:pPr>
    </w:p>
    <w:p w14:paraId="35C3ED97" w14:textId="77777777" w:rsidR="003A5CE8" w:rsidRDefault="00DB5AF5">
      <w:pPr>
        <w:spacing w:line="360" w:lineRule="auto"/>
        <w:ind w:left="720" w:hanging="720"/>
        <w:jc w:val="both"/>
        <w:rPr>
          <w:rFonts w:ascii="A028 Extrabold" w:hAnsi="A028 Extrabold"/>
          <w:rtl/>
        </w:rPr>
      </w:pPr>
      <w:r>
        <w:rPr>
          <w:rFonts w:ascii="A028 Extrabold" w:hAnsi="A028 Extrabold" w:hint="cs"/>
          <w:rtl/>
        </w:rPr>
        <w:t>ב.</w:t>
      </w:r>
      <w:r>
        <w:rPr>
          <w:rFonts w:ascii="A028 Extrabold" w:hAnsi="A028 Extrabold" w:hint="cs"/>
          <w:rtl/>
        </w:rPr>
        <w:tab/>
        <w:t>הפעל מאסר על תנאי, בן 7 חודשים, בגזר-הדין ת/10, באופן מצטבר לעונש שהוטל בסעיף א' לעיל;</w:t>
      </w:r>
    </w:p>
    <w:p w14:paraId="387E89CE" w14:textId="77777777" w:rsidR="003A5CE8" w:rsidRDefault="003A5CE8">
      <w:pPr>
        <w:spacing w:line="360" w:lineRule="auto"/>
        <w:ind w:left="720" w:hanging="720"/>
        <w:jc w:val="both"/>
        <w:rPr>
          <w:rFonts w:ascii="A028 Extrabold" w:hAnsi="A028 Extrabold"/>
          <w:rtl/>
        </w:rPr>
      </w:pPr>
    </w:p>
    <w:p w14:paraId="69797668" w14:textId="77777777" w:rsidR="003A5CE8" w:rsidRDefault="00DB5AF5">
      <w:pPr>
        <w:spacing w:line="360" w:lineRule="auto"/>
        <w:ind w:left="720" w:hanging="720"/>
        <w:jc w:val="both"/>
        <w:rPr>
          <w:rFonts w:ascii="A028 Extrabold" w:hAnsi="A028 Extrabold"/>
          <w:rtl/>
        </w:rPr>
      </w:pPr>
      <w:r>
        <w:rPr>
          <w:rFonts w:ascii="A028 Extrabold" w:hAnsi="A028 Extrabold" w:hint="cs"/>
          <w:rtl/>
        </w:rPr>
        <w:t>ג.</w:t>
      </w:r>
      <w:r>
        <w:rPr>
          <w:rFonts w:ascii="A028 Extrabold" w:hAnsi="A028 Extrabold" w:hint="cs"/>
          <w:rtl/>
        </w:rPr>
        <w:tab/>
        <w:t>סה"כ, ירצה הנאשם 27 חדשי מאסר, החל מיום מעצרו, בהתאם לרישומי שב"ס;</w:t>
      </w:r>
    </w:p>
    <w:p w14:paraId="73C05410" w14:textId="77777777" w:rsidR="003A5CE8" w:rsidRDefault="003A5CE8">
      <w:pPr>
        <w:spacing w:line="360" w:lineRule="auto"/>
        <w:ind w:left="720" w:hanging="720"/>
        <w:jc w:val="both"/>
        <w:rPr>
          <w:rFonts w:ascii="A028 Extrabold" w:hAnsi="A028 Extrabold"/>
          <w:rtl/>
        </w:rPr>
      </w:pPr>
    </w:p>
    <w:p w14:paraId="3465D350" w14:textId="77777777" w:rsidR="003A5CE8" w:rsidRDefault="00DB5AF5">
      <w:pPr>
        <w:spacing w:line="360" w:lineRule="auto"/>
        <w:ind w:left="720" w:hanging="720"/>
        <w:jc w:val="both"/>
        <w:rPr>
          <w:rFonts w:ascii="Calibri" w:hAnsi="Calibri"/>
          <w:rtl/>
        </w:rPr>
      </w:pPr>
      <w:r>
        <w:rPr>
          <w:rFonts w:ascii="A028 Extrabold" w:hAnsi="A028 Extrabold" w:hint="cs"/>
          <w:rtl/>
        </w:rPr>
        <w:t>ד.</w:t>
      </w:r>
      <w:r>
        <w:rPr>
          <w:rFonts w:ascii="A028 Extrabold" w:hAnsi="A028 Extrabold"/>
          <w:rtl/>
        </w:rPr>
        <w:tab/>
      </w:r>
      <w:r>
        <w:rPr>
          <w:rFonts w:ascii="Calibri" w:hAnsi="Calibri" w:hint="cs"/>
          <w:rtl/>
        </w:rPr>
        <w:t>20</w:t>
      </w:r>
      <w:r>
        <w:rPr>
          <w:rFonts w:ascii="Calibri" w:hAnsi="Calibri"/>
          <w:rtl/>
        </w:rPr>
        <w:t xml:space="preserve"> </w:t>
      </w:r>
      <w:r>
        <w:rPr>
          <w:rFonts w:ascii="Calibri" w:hAnsi="Calibri" w:hint="eastAsia"/>
          <w:rtl/>
        </w:rPr>
        <w:t>חדשי</w:t>
      </w:r>
      <w:r>
        <w:rPr>
          <w:rFonts w:ascii="Calibri" w:hAnsi="Calibri" w:hint="cs"/>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w:t>
      </w:r>
      <w:r>
        <w:rPr>
          <w:rFonts w:ascii="Calibri" w:hAnsi="Calibri" w:hint="cs"/>
          <w:rtl/>
        </w:rPr>
        <w:t>ו</w:t>
      </w:r>
      <w:r>
        <w:rPr>
          <w:rFonts w:ascii="Calibri" w:hAnsi="Calibri" w:hint="eastAsia"/>
          <w:rtl/>
        </w:rPr>
        <w:t>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ממאסר</w:t>
      </w:r>
      <w:r>
        <w:rPr>
          <w:rFonts w:ascii="Calibri" w:hAnsi="Calibri"/>
          <w:rtl/>
        </w:rPr>
        <w:t xml:space="preserve">, </w:t>
      </w:r>
      <w:r>
        <w:rPr>
          <w:rFonts w:ascii="Calibri" w:hAnsi="Calibri" w:hint="eastAsia"/>
          <w:rtl/>
        </w:rPr>
        <w:t>והתנאי</w:t>
      </w:r>
      <w:r>
        <w:rPr>
          <w:rFonts w:ascii="Calibri" w:hAnsi="Calibri"/>
          <w:rtl/>
        </w:rPr>
        <w:t xml:space="preserve"> – </w:t>
      </w:r>
      <w:r>
        <w:rPr>
          <w:rFonts w:ascii="Calibri" w:hAnsi="Calibri" w:hint="eastAsia"/>
          <w:rtl/>
        </w:rPr>
        <w:t>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w:t>
      </w:r>
      <w:hyperlink r:id="rId21" w:history="1">
        <w:r w:rsidRPr="00DB5AF5">
          <w:rPr>
            <w:rFonts w:ascii="Calibri" w:hAnsi="Calibri" w:hint="eastAsia"/>
            <w:color w:val="0000FF"/>
            <w:u w:val="single"/>
            <w:rtl/>
          </w:rPr>
          <w:t>חוק</w:t>
        </w:r>
        <w:r w:rsidRPr="00DB5AF5">
          <w:rPr>
            <w:rFonts w:ascii="Calibri" w:hAnsi="Calibri"/>
            <w:color w:val="0000FF"/>
            <w:u w:val="single"/>
            <w:rtl/>
          </w:rPr>
          <w:t xml:space="preserve"> </w:t>
        </w:r>
        <w:r w:rsidRPr="00DB5AF5">
          <w:rPr>
            <w:rFonts w:ascii="Calibri" w:hAnsi="Calibri" w:hint="eastAsia"/>
            <w:color w:val="0000FF"/>
            <w:u w:val="single"/>
            <w:rtl/>
          </w:rPr>
          <w:t>למניעת</w:t>
        </w:r>
        <w:r w:rsidRPr="00DB5AF5">
          <w:rPr>
            <w:rFonts w:ascii="Calibri" w:hAnsi="Calibri"/>
            <w:color w:val="0000FF"/>
            <w:u w:val="single"/>
            <w:rtl/>
          </w:rPr>
          <w:t xml:space="preserve"> </w:t>
        </w:r>
        <w:r w:rsidRPr="00DB5AF5">
          <w:rPr>
            <w:rFonts w:ascii="Calibri" w:hAnsi="Calibri" w:hint="eastAsia"/>
            <w:color w:val="0000FF"/>
            <w:u w:val="single"/>
            <w:rtl/>
          </w:rPr>
          <w:t>הסתננות</w:t>
        </w:r>
        <w:r w:rsidRPr="00DB5AF5">
          <w:rPr>
            <w:rFonts w:ascii="Calibri" w:hAnsi="Calibri"/>
            <w:color w:val="0000FF"/>
            <w:u w:val="single"/>
            <w:rtl/>
          </w:rPr>
          <w:t xml:space="preserve"> (</w:t>
        </w:r>
        <w:r w:rsidRPr="00DB5AF5">
          <w:rPr>
            <w:rFonts w:ascii="Calibri" w:hAnsi="Calibri" w:hint="eastAsia"/>
            <w:color w:val="0000FF"/>
            <w:u w:val="single"/>
            <w:rtl/>
          </w:rPr>
          <w:t>עבירות</w:t>
        </w:r>
        <w:r w:rsidRPr="00DB5AF5">
          <w:rPr>
            <w:rFonts w:ascii="Calibri" w:hAnsi="Calibri"/>
            <w:color w:val="0000FF"/>
            <w:u w:val="single"/>
            <w:rtl/>
          </w:rPr>
          <w:t xml:space="preserve"> </w:t>
        </w:r>
        <w:r w:rsidRPr="00DB5AF5">
          <w:rPr>
            <w:rFonts w:ascii="Calibri" w:hAnsi="Calibri" w:hint="eastAsia"/>
            <w:color w:val="0000FF"/>
            <w:u w:val="single"/>
            <w:rtl/>
          </w:rPr>
          <w:t>ושיפוט</w:t>
        </w:r>
        <w:r w:rsidRPr="00DB5AF5">
          <w:rPr>
            <w:rFonts w:ascii="Calibri" w:hAnsi="Calibri"/>
            <w:color w:val="0000FF"/>
            <w:u w:val="single"/>
            <w:rtl/>
          </w:rPr>
          <w:t>)</w:t>
        </w:r>
      </w:hyperlink>
      <w:r>
        <w:rPr>
          <w:rFonts w:ascii="Calibri" w:hAnsi="Calibri"/>
          <w:rtl/>
        </w:rPr>
        <w:t xml:space="preserve"> </w:t>
      </w:r>
      <w:r>
        <w:rPr>
          <w:rFonts w:ascii="Calibri" w:hAnsi="Calibri" w:hint="eastAsia"/>
          <w:rtl/>
        </w:rPr>
        <w:t>תשי</w:t>
      </w:r>
      <w:r>
        <w:rPr>
          <w:rFonts w:ascii="Calibri" w:hAnsi="Calibri"/>
          <w:rtl/>
        </w:rPr>
        <w:t>"</w:t>
      </w:r>
      <w:r>
        <w:rPr>
          <w:rFonts w:ascii="Calibri" w:hAnsi="Calibri" w:hint="eastAsia"/>
          <w:rtl/>
        </w:rPr>
        <w:t>ד</w:t>
      </w:r>
      <w:r>
        <w:rPr>
          <w:rFonts w:ascii="Calibri" w:hAnsi="Calibri"/>
          <w:rtl/>
        </w:rPr>
        <w:t xml:space="preserve"> – 1954; </w:t>
      </w:r>
    </w:p>
    <w:p w14:paraId="41687450" w14:textId="77777777" w:rsidR="003A5CE8" w:rsidRDefault="003A5CE8">
      <w:pPr>
        <w:spacing w:line="360" w:lineRule="auto"/>
        <w:ind w:left="720" w:hanging="720"/>
        <w:jc w:val="both"/>
        <w:rPr>
          <w:rFonts w:ascii="Calibri" w:hAnsi="Calibri"/>
          <w:rtl/>
        </w:rPr>
      </w:pPr>
    </w:p>
    <w:p w14:paraId="5F42E924" w14:textId="77777777" w:rsidR="003A5CE8" w:rsidRDefault="00DB5AF5">
      <w:pPr>
        <w:spacing w:line="360" w:lineRule="auto"/>
        <w:ind w:left="720" w:hanging="720"/>
        <w:jc w:val="both"/>
        <w:rPr>
          <w:rFonts w:ascii="Calibri" w:hAnsi="Calibri"/>
          <w:rtl/>
        </w:rPr>
      </w:pPr>
      <w:r>
        <w:rPr>
          <w:rFonts w:ascii="Calibri" w:hAnsi="Calibri" w:hint="cs"/>
          <w:rtl/>
        </w:rPr>
        <w:t>ה.</w:t>
      </w:r>
      <w:r>
        <w:rPr>
          <w:rFonts w:ascii="Calibri" w:hAnsi="Calibri" w:hint="cs"/>
          <w:rtl/>
        </w:rPr>
        <w:tab/>
        <w:t xml:space="preserve">8 חודשי מאסר על תנאי למשך שלוש שנים מיום שחרורו של הנאשם ממאסר, והתנאי </w:t>
      </w:r>
      <w:r>
        <w:rPr>
          <w:rFonts w:ascii="Calibri" w:hAnsi="Calibri"/>
          <w:rtl/>
        </w:rPr>
        <w:t>–</w:t>
      </w:r>
      <w:r>
        <w:rPr>
          <w:rFonts w:ascii="Calibri" w:hAnsi="Calibri" w:hint="cs"/>
          <w:rtl/>
        </w:rPr>
        <w:t xml:space="preserve"> שהנאשם לא יעבור עבירה בניגוד ל</w:t>
      </w:r>
      <w:hyperlink r:id="rId22" w:history="1">
        <w:r w:rsidRPr="00DB5AF5">
          <w:rPr>
            <w:rFonts w:ascii="Calibri" w:hAnsi="Calibri" w:hint="eastAsia"/>
            <w:color w:val="0000FF"/>
            <w:u w:val="single"/>
            <w:rtl/>
          </w:rPr>
          <w:t>חוק</w:t>
        </w:r>
        <w:r w:rsidRPr="00DB5AF5">
          <w:rPr>
            <w:rFonts w:ascii="Calibri" w:hAnsi="Calibri"/>
            <w:color w:val="0000FF"/>
            <w:u w:val="single"/>
            <w:rtl/>
          </w:rPr>
          <w:t xml:space="preserve"> </w:t>
        </w:r>
        <w:r w:rsidRPr="00DB5AF5">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ז</w:t>
      </w:r>
      <w:r>
        <w:rPr>
          <w:rFonts w:ascii="Calibri" w:hAnsi="Calibri"/>
          <w:rtl/>
        </w:rPr>
        <w:t xml:space="preserve"> 1977</w:t>
      </w:r>
      <w:r>
        <w:rPr>
          <w:rFonts w:ascii="Calibri" w:hAnsi="Calibri" w:hint="cs"/>
          <w:rtl/>
        </w:rPr>
        <w:t xml:space="preserve">, </w:t>
      </w:r>
      <w:hyperlink r:id="rId23" w:history="1">
        <w:r w:rsidR="00127C88" w:rsidRPr="00127C88">
          <w:rPr>
            <w:rFonts w:ascii="Calibri" w:hAnsi="Calibri" w:hint="eastAsia"/>
            <w:color w:val="0000FF"/>
            <w:u w:val="single"/>
            <w:rtl/>
          </w:rPr>
          <w:t>סעיף</w:t>
        </w:r>
        <w:r w:rsidR="00127C88" w:rsidRPr="00127C88">
          <w:rPr>
            <w:rFonts w:ascii="Calibri" w:hAnsi="Calibri"/>
            <w:color w:val="0000FF"/>
            <w:u w:val="single"/>
            <w:rtl/>
          </w:rPr>
          <w:t xml:space="preserve"> 144</w:t>
        </w:r>
      </w:hyperlink>
      <w:r>
        <w:rPr>
          <w:rFonts w:ascii="Calibri" w:hAnsi="Calibri" w:hint="cs"/>
          <w:rtl/>
        </w:rPr>
        <w:t xml:space="preserve"> או </w:t>
      </w:r>
      <w:hyperlink r:id="rId24" w:history="1">
        <w:r w:rsidR="00127C88" w:rsidRPr="00127C88">
          <w:rPr>
            <w:rFonts w:ascii="Calibri" w:hAnsi="Calibri" w:hint="eastAsia"/>
            <w:color w:val="0000FF"/>
            <w:u w:val="single"/>
            <w:rtl/>
          </w:rPr>
          <w:t>סעיף</w:t>
        </w:r>
        <w:r w:rsidR="00127C88" w:rsidRPr="00127C88">
          <w:rPr>
            <w:rFonts w:ascii="Calibri" w:hAnsi="Calibri"/>
            <w:color w:val="0000FF"/>
            <w:u w:val="single"/>
            <w:rtl/>
          </w:rPr>
          <w:t xml:space="preserve"> 186.</w:t>
        </w:r>
      </w:hyperlink>
    </w:p>
    <w:p w14:paraId="24F7003E" w14:textId="77777777" w:rsidR="003A5CE8" w:rsidRDefault="003A5CE8">
      <w:pPr>
        <w:spacing w:line="360" w:lineRule="auto"/>
        <w:ind w:left="720" w:hanging="720"/>
        <w:jc w:val="both"/>
        <w:rPr>
          <w:rFonts w:ascii="Calibri" w:hAnsi="Calibri"/>
          <w:rtl/>
        </w:rPr>
      </w:pPr>
    </w:p>
    <w:p w14:paraId="32D10F29" w14:textId="77777777" w:rsidR="003A5CE8" w:rsidRDefault="00DB5AF5">
      <w:pPr>
        <w:spacing w:line="360" w:lineRule="auto"/>
        <w:ind w:left="720" w:hanging="720"/>
        <w:jc w:val="both"/>
      </w:pPr>
      <w:r>
        <w:rPr>
          <w:rFonts w:ascii="Calibri" w:hAnsi="Calibri" w:hint="cs"/>
          <w:rtl/>
        </w:rPr>
        <w:t xml:space="preserve">הודעה זכות הערעור.  </w:t>
      </w:r>
    </w:p>
    <w:p w14:paraId="193F5A0F" w14:textId="77777777" w:rsidR="003A5CE8" w:rsidRDefault="003A5CE8">
      <w:pPr>
        <w:spacing w:line="360" w:lineRule="auto"/>
        <w:ind w:left="720" w:hanging="720"/>
        <w:jc w:val="both"/>
        <w:rPr>
          <w:rFonts w:ascii="Calibri" w:hAnsi="Calibri"/>
          <w:rtl/>
        </w:rPr>
      </w:pPr>
    </w:p>
    <w:p w14:paraId="2E6EB3D6" w14:textId="77777777" w:rsidR="003A5CE8" w:rsidRDefault="003A5CE8">
      <w:pPr>
        <w:spacing w:line="360" w:lineRule="auto"/>
        <w:ind w:left="720" w:hanging="720"/>
        <w:jc w:val="both"/>
        <w:rPr>
          <w:rFonts w:ascii="A028 Extrabold" w:hAnsi="A028 Extrabold"/>
          <w:rtl/>
        </w:rPr>
      </w:pPr>
    </w:p>
    <w:p w14:paraId="67F5F008" w14:textId="77777777" w:rsidR="003A5CE8" w:rsidRPr="00DB5AF5" w:rsidRDefault="00DB5AF5">
      <w:pPr>
        <w:spacing w:line="360" w:lineRule="auto"/>
        <w:jc w:val="both"/>
        <w:rPr>
          <w:rFonts w:ascii="A028 Extrabold" w:hAnsi="A028 Extrabold"/>
          <w:color w:val="FFFFFF"/>
          <w:sz w:val="2"/>
          <w:szCs w:val="2"/>
          <w:rtl/>
        </w:rPr>
      </w:pPr>
      <w:r w:rsidRPr="00DB5AF5">
        <w:rPr>
          <w:rFonts w:ascii="A028 Extrabold" w:hAnsi="A028 Extrabold"/>
          <w:color w:val="FFFFFF"/>
          <w:sz w:val="2"/>
          <w:szCs w:val="2"/>
          <w:rtl/>
        </w:rPr>
        <w:t>5129371</w:t>
      </w:r>
    </w:p>
    <w:p w14:paraId="61065432" w14:textId="77777777" w:rsidR="003A5CE8" w:rsidRPr="00DB5AF5" w:rsidRDefault="00DB5AF5">
      <w:pPr>
        <w:spacing w:line="360" w:lineRule="auto"/>
        <w:jc w:val="both"/>
        <w:rPr>
          <w:rFonts w:ascii="Arial" w:hAnsi="Arial"/>
          <w:color w:val="FFFFFF"/>
          <w:sz w:val="2"/>
          <w:szCs w:val="2"/>
          <w:rtl/>
        </w:rPr>
      </w:pPr>
      <w:r w:rsidRPr="00DB5AF5">
        <w:rPr>
          <w:rFonts w:ascii="Arial" w:hAnsi="Arial"/>
          <w:color w:val="FFFFFF"/>
          <w:sz w:val="2"/>
          <w:szCs w:val="2"/>
          <w:rtl/>
        </w:rPr>
        <w:t>54678313</w:t>
      </w:r>
    </w:p>
    <w:p w14:paraId="4AD8F494" w14:textId="77777777" w:rsidR="003A5CE8" w:rsidRDefault="003A5CE8">
      <w:pPr>
        <w:spacing w:line="360" w:lineRule="auto"/>
        <w:jc w:val="both"/>
        <w:rPr>
          <w:rFonts w:ascii="Arial" w:hAnsi="Arial"/>
          <w:rtl/>
        </w:rPr>
      </w:pPr>
    </w:p>
    <w:p w14:paraId="002BB99F" w14:textId="77777777" w:rsidR="003A5CE8" w:rsidRDefault="00DB5AF5">
      <w:pPr>
        <w:spacing w:line="360" w:lineRule="auto"/>
        <w:jc w:val="both"/>
        <w:rPr>
          <w:rFonts w:ascii="Arial" w:hAnsi="Arial"/>
          <w:rtl/>
        </w:rPr>
      </w:pPr>
      <w:r>
        <w:rPr>
          <w:rFonts w:ascii="Arial" w:hAnsi="Arial"/>
          <w:rtl/>
        </w:rPr>
        <w:t xml:space="preserve">ניתן והודע היום, כ"ג חשוון תשע"ו, 05 נובמבר 2015, במעמד הצדדים. </w:t>
      </w:r>
    </w:p>
    <w:p w14:paraId="287CB2CC" w14:textId="77777777" w:rsidR="003A5CE8" w:rsidRDefault="003A5CE8">
      <w:pPr>
        <w:spacing w:line="360" w:lineRule="auto"/>
        <w:ind w:left="3600" w:firstLine="720"/>
        <w:jc w:val="center"/>
      </w:pPr>
    </w:p>
    <w:p w14:paraId="52E41221" w14:textId="77777777" w:rsidR="003A5CE8" w:rsidRPr="00127C88" w:rsidRDefault="00127C88">
      <w:pPr>
        <w:spacing w:line="360" w:lineRule="auto"/>
        <w:ind w:left="3600" w:firstLine="720"/>
        <w:jc w:val="center"/>
        <w:rPr>
          <w:rFonts w:ascii="Arial" w:hAnsi="Arial"/>
          <w:color w:val="FFFFFF"/>
          <w:sz w:val="2"/>
          <w:szCs w:val="2"/>
          <w:rtl/>
        </w:rPr>
      </w:pPr>
      <w:r w:rsidRPr="00127C88">
        <w:rPr>
          <w:rFonts w:ascii="Arial" w:hAnsi="Arial"/>
          <w:color w:val="FFFFFF"/>
          <w:sz w:val="2"/>
          <w:szCs w:val="2"/>
          <w:rtl/>
        </w:rPr>
        <w:t>5129371</w:t>
      </w:r>
    </w:p>
    <w:p w14:paraId="129851EF" w14:textId="77777777" w:rsidR="00DB5AF5" w:rsidRPr="00127C88" w:rsidRDefault="00127C88" w:rsidP="00DB5AF5">
      <w:pPr>
        <w:keepNext/>
        <w:rPr>
          <w:rFonts w:ascii="David" w:hAnsi="David"/>
          <w:color w:val="FFFFFF"/>
          <w:sz w:val="2"/>
          <w:szCs w:val="2"/>
          <w:rtl/>
        </w:rPr>
      </w:pPr>
      <w:r w:rsidRPr="00127C88">
        <w:rPr>
          <w:rFonts w:ascii="David" w:hAnsi="David"/>
          <w:color w:val="FFFFFF"/>
          <w:sz w:val="2"/>
          <w:szCs w:val="2"/>
          <w:rtl/>
        </w:rPr>
        <w:t>54678313</w:t>
      </w:r>
    </w:p>
    <w:p w14:paraId="788BFE69" w14:textId="77777777" w:rsidR="00DB5AF5" w:rsidRDefault="00DB5AF5" w:rsidP="00DB5AF5">
      <w:r w:rsidRPr="00DB5AF5">
        <w:rPr>
          <w:color w:val="000000"/>
          <w:rtl/>
        </w:rPr>
        <w:t>נוסח מסמך זה כפוף לשינויי ניסוח ועריכה</w:t>
      </w:r>
    </w:p>
    <w:p w14:paraId="2DABF204" w14:textId="77777777" w:rsidR="00DB5AF5" w:rsidRDefault="00DB5AF5" w:rsidP="00DB5AF5">
      <w:pPr>
        <w:rPr>
          <w:rtl/>
        </w:rPr>
      </w:pPr>
    </w:p>
    <w:p w14:paraId="38703E46" w14:textId="77777777" w:rsidR="00DB5AF5" w:rsidRDefault="00DB5AF5" w:rsidP="00DB5AF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511CD75" w14:textId="77777777" w:rsidR="00127C88" w:rsidRPr="00127C88" w:rsidRDefault="00127C88" w:rsidP="00127C88">
      <w:pPr>
        <w:keepNext/>
        <w:rPr>
          <w:rFonts w:ascii="David" w:hAnsi="David"/>
          <w:color w:val="000000"/>
          <w:sz w:val="22"/>
          <w:szCs w:val="22"/>
          <w:rtl/>
        </w:rPr>
      </w:pPr>
    </w:p>
    <w:p w14:paraId="5703ED06" w14:textId="77777777" w:rsidR="00127C88" w:rsidRPr="00127C88" w:rsidRDefault="00127C88" w:rsidP="00127C88">
      <w:pPr>
        <w:keepNext/>
        <w:rPr>
          <w:rFonts w:ascii="David" w:hAnsi="David"/>
          <w:color w:val="000000"/>
          <w:sz w:val="22"/>
          <w:szCs w:val="22"/>
          <w:rtl/>
        </w:rPr>
      </w:pPr>
      <w:r w:rsidRPr="00127C88">
        <w:rPr>
          <w:rFonts w:ascii="David" w:hAnsi="David"/>
          <w:color w:val="000000"/>
          <w:sz w:val="22"/>
          <w:szCs w:val="22"/>
          <w:rtl/>
        </w:rPr>
        <w:t>רון סולקין 54678313-/</w:t>
      </w:r>
    </w:p>
    <w:sectPr w:rsidR="00127C88" w:rsidRPr="00127C88" w:rsidSect="00127C88">
      <w:headerReference w:type="even" r:id="rId26"/>
      <w:headerReference w:type="default" r:id="rId27"/>
      <w:footerReference w:type="even" r:id="rId28"/>
      <w:footerReference w:type="default" r:id="rId29"/>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423CB" w14:textId="77777777" w:rsidR="00460435" w:rsidRDefault="00460435">
      <w:r>
        <w:separator/>
      </w:r>
    </w:p>
  </w:endnote>
  <w:endnote w:type="continuationSeparator" w:id="0">
    <w:p w14:paraId="67029D14" w14:textId="77777777" w:rsidR="00460435" w:rsidRDefault="0046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028 Extrabold">
    <w:altName w:val="Times New Roman"/>
    <w:charset w:val="00"/>
    <w:family w:val="roman"/>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84A1" w14:textId="77777777" w:rsidR="00460435" w:rsidRDefault="00460435" w:rsidP="00127C8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611272" w14:textId="77777777" w:rsidR="00460435" w:rsidRPr="00127C88" w:rsidRDefault="00460435" w:rsidP="00127C88">
    <w:pPr>
      <w:pStyle w:val="a5"/>
      <w:pBdr>
        <w:top w:val="single" w:sz="4" w:space="1" w:color="auto"/>
        <w:between w:val="single" w:sz="4" w:space="0" w:color="auto"/>
      </w:pBdr>
      <w:spacing w:after="60"/>
      <w:jc w:val="center"/>
      <w:rPr>
        <w:rFonts w:ascii="FrankRuehl" w:hAnsi="FrankRuehl" w:cs="FrankRuehl"/>
        <w:color w:val="000000"/>
      </w:rPr>
    </w:pPr>
    <w:r w:rsidRPr="00127C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31020" w14:textId="77777777" w:rsidR="00460435" w:rsidRDefault="00460435" w:rsidP="00127C88">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DF5BF5">
      <w:rPr>
        <w:rStyle w:val="a6"/>
        <w:rFonts w:ascii="FrankRuehl" w:hAnsi="FrankRuehl" w:cs="FrankRuehl"/>
        <w:noProof/>
        <w:rtl/>
      </w:rPr>
      <w:t>1</w:t>
    </w:r>
    <w:r>
      <w:rPr>
        <w:rStyle w:val="a6"/>
        <w:rFonts w:ascii="FrankRuehl" w:hAnsi="FrankRuehl" w:cs="FrankRuehl"/>
        <w:rtl/>
      </w:rPr>
      <w:fldChar w:fldCharType="end"/>
    </w:r>
  </w:p>
  <w:p w14:paraId="772E850C" w14:textId="77777777" w:rsidR="00460435" w:rsidRPr="00127C88" w:rsidRDefault="00460435" w:rsidP="00127C88">
    <w:pPr>
      <w:pStyle w:val="a5"/>
      <w:pBdr>
        <w:top w:val="single" w:sz="4" w:space="1" w:color="auto"/>
        <w:between w:val="single" w:sz="4" w:space="0" w:color="auto"/>
      </w:pBdr>
      <w:spacing w:after="60"/>
      <w:jc w:val="center"/>
      <w:rPr>
        <w:rStyle w:val="a6"/>
        <w:rFonts w:ascii="FrankRuehl" w:hAnsi="FrankRuehl" w:cs="FrankRuehl" w:hint="cs"/>
        <w:color w:val="000000"/>
      </w:rPr>
    </w:pPr>
    <w:r w:rsidRPr="00127C88">
      <w:rPr>
        <w:rStyle w:val="a6"/>
        <w:rFonts w:ascii="FrankRuehl" w:hAnsi="FrankRuehl" w:cs="FrankRuehl" w:hint="cs"/>
        <w:color w:val="000000"/>
      </w:rPr>
      <w:pict w14:anchorId="08F66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D5B2B" w14:textId="77777777" w:rsidR="00460435" w:rsidRDefault="00460435">
      <w:r>
        <w:separator/>
      </w:r>
    </w:p>
  </w:footnote>
  <w:footnote w:type="continuationSeparator" w:id="0">
    <w:p w14:paraId="2B0154A0" w14:textId="77777777" w:rsidR="00460435" w:rsidRDefault="00460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672D3" w14:textId="77777777" w:rsidR="00460435" w:rsidRPr="00127C88" w:rsidRDefault="00460435" w:rsidP="00127C8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42836-09-14</w:t>
    </w:r>
    <w:r>
      <w:rPr>
        <w:rFonts w:ascii="David" w:hAnsi="David"/>
        <w:color w:val="000000"/>
        <w:sz w:val="22"/>
        <w:szCs w:val="22"/>
        <w:rtl/>
      </w:rPr>
      <w:tab/>
      <w:t xml:space="preserve"> מדינת ישראל  נ' צאאב בן תחסין פרג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3056E" w14:textId="77777777" w:rsidR="00460435" w:rsidRPr="00127C88" w:rsidRDefault="00460435" w:rsidP="00127C8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42836-09-14</w:t>
    </w:r>
    <w:r>
      <w:rPr>
        <w:rFonts w:ascii="David" w:hAnsi="David"/>
        <w:color w:val="000000"/>
        <w:sz w:val="22"/>
        <w:szCs w:val="22"/>
        <w:rtl/>
      </w:rPr>
      <w:tab/>
      <w:t xml:space="preserve"> מדינת ישראל  נ' צאאב בן תחסין פרג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5CE8"/>
    <w:rsid w:val="000C6E41"/>
    <w:rsid w:val="00127C88"/>
    <w:rsid w:val="003A5CE8"/>
    <w:rsid w:val="004305EC"/>
    <w:rsid w:val="00460435"/>
    <w:rsid w:val="009B5537"/>
    <w:rsid w:val="00AC1C0A"/>
    <w:rsid w:val="00DB5AF5"/>
    <w:rsid w:val="00DF5B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33151E"/>
  <w15:chartTrackingRefBased/>
  <w15:docId w15:val="{FEB5C7D8-A609-4375-A115-54E7B675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5CE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A5CE8"/>
  </w:style>
  <w:style w:type="paragraph" w:styleId="a4">
    <w:name w:val="header"/>
    <w:basedOn w:val="a"/>
    <w:rsid w:val="003A5CE8"/>
    <w:pPr>
      <w:tabs>
        <w:tab w:val="center" w:pos="4153"/>
        <w:tab w:val="right" w:pos="8306"/>
      </w:tabs>
    </w:pPr>
  </w:style>
  <w:style w:type="paragraph" w:styleId="a5">
    <w:name w:val="footer"/>
    <w:basedOn w:val="a"/>
    <w:rsid w:val="003A5CE8"/>
    <w:pPr>
      <w:tabs>
        <w:tab w:val="center" w:pos="4153"/>
        <w:tab w:val="right" w:pos="8306"/>
      </w:tabs>
    </w:pPr>
  </w:style>
  <w:style w:type="character" w:styleId="a6">
    <w:name w:val="page number"/>
    <w:rsid w:val="003A5CE8"/>
    <w:rPr>
      <w:noProof w:val="0"/>
    </w:rPr>
  </w:style>
  <w:style w:type="character" w:styleId="Hyperlink">
    <w:name w:val="Hyperlink"/>
    <w:basedOn w:val="a0"/>
    <w:rsid w:val="00DB5A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10/2" TargetMode="External"/><Relationship Id="rId13" Type="http://schemas.openxmlformats.org/officeDocument/2006/relationships/hyperlink" Target="http://www.nevo.co.il/law/72510/2" TargetMode="External"/><Relationship Id="rId18" Type="http://schemas.openxmlformats.org/officeDocument/2006/relationships/hyperlink" Target="http://www.nevo.co.il/case/4743260"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2510" TargetMode="External"/><Relationship Id="rId7" Type="http://schemas.openxmlformats.org/officeDocument/2006/relationships/hyperlink" Target="http://www.nevo.co.il/law/72510" TargetMode="External"/><Relationship Id="rId12" Type="http://schemas.openxmlformats.org/officeDocument/2006/relationships/hyperlink" Target="http://www.nevo.co.il/law/70301/186.a" TargetMode="External"/><Relationship Id="rId17" Type="http://schemas.openxmlformats.org/officeDocument/2006/relationships/hyperlink" Target="http://www.nevo.co.il/case/10525123"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2510"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18041202"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70301/186" TargetMode="External"/><Relationship Id="rId5"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70301/144" TargetMode="External"/><Relationship Id="rId28" Type="http://schemas.openxmlformats.org/officeDocument/2006/relationships/footer" Target="footer1.xml"/><Relationship Id="rId10" Type="http://schemas.openxmlformats.org/officeDocument/2006/relationships/hyperlink" Target="http://www.nevo.co.il/law/70301/144" TargetMode="External"/><Relationship Id="rId19" Type="http://schemas.openxmlformats.org/officeDocument/2006/relationships/hyperlink" Target="http://www.nevo.co.il/law/72510/2"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2510"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1843</Words>
  <Characters>9217</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11038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7143524</vt:i4>
      </vt:variant>
      <vt:variant>
        <vt:i4>54</vt:i4>
      </vt:variant>
      <vt:variant>
        <vt:i4>0</vt:i4>
      </vt:variant>
      <vt:variant>
        <vt:i4>5</vt:i4>
      </vt:variant>
      <vt:variant>
        <vt:lpwstr>http://www.nevo.co.il/law/70301/186</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7929954</vt:i4>
      </vt:variant>
      <vt:variant>
        <vt:i4>45</vt:i4>
      </vt:variant>
      <vt:variant>
        <vt:i4>0</vt:i4>
      </vt:variant>
      <vt:variant>
        <vt:i4>5</vt:i4>
      </vt:variant>
      <vt:variant>
        <vt:lpwstr>http://www.nevo.co.il/law/72510</vt:lpwstr>
      </vt:variant>
      <vt:variant>
        <vt:lpwstr/>
      </vt:variant>
      <vt:variant>
        <vt:i4>7929954</vt:i4>
      </vt:variant>
      <vt:variant>
        <vt:i4>42</vt:i4>
      </vt:variant>
      <vt:variant>
        <vt:i4>0</vt:i4>
      </vt:variant>
      <vt:variant>
        <vt:i4>5</vt:i4>
      </vt:variant>
      <vt:variant>
        <vt:lpwstr>http://www.nevo.co.il/law/72510</vt:lpwstr>
      </vt:variant>
      <vt:variant>
        <vt:lpwstr/>
      </vt:variant>
      <vt:variant>
        <vt:i4>5636178</vt:i4>
      </vt:variant>
      <vt:variant>
        <vt:i4>39</vt:i4>
      </vt:variant>
      <vt:variant>
        <vt:i4>0</vt:i4>
      </vt:variant>
      <vt:variant>
        <vt:i4>5</vt:i4>
      </vt:variant>
      <vt:variant>
        <vt:lpwstr>http://www.nevo.co.il/law/72510/2</vt:lpwstr>
      </vt:variant>
      <vt:variant>
        <vt:lpwstr/>
      </vt:variant>
      <vt:variant>
        <vt:i4>3276918</vt:i4>
      </vt:variant>
      <vt:variant>
        <vt:i4>36</vt:i4>
      </vt:variant>
      <vt:variant>
        <vt:i4>0</vt:i4>
      </vt:variant>
      <vt:variant>
        <vt:i4>5</vt:i4>
      </vt:variant>
      <vt:variant>
        <vt:lpwstr>http://www.nevo.co.il/case/4743260</vt:lpwstr>
      </vt:variant>
      <vt:variant>
        <vt:lpwstr/>
      </vt:variant>
      <vt:variant>
        <vt:i4>3342455</vt:i4>
      </vt:variant>
      <vt:variant>
        <vt:i4>33</vt:i4>
      </vt:variant>
      <vt:variant>
        <vt:i4>0</vt:i4>
      </vt:variant>
      <vt:variant>
        <vt:i4>5</vt:i4>
      </vt:variant>
      <vt:variant>
        <vt:lpwstr>http://www.nevo.co.il/case/10525123</vt:lpwstr>
      </vt:variant>
      <vt:variant>
        <vt:lpwstr/>
      </vt:variant>
      <vt:variant>
        <vt:i4>7995492</vt:i4>
      </vt:variant>
      <vt:variant>
        <vt:i4>30</vt:i4>
      </vt:variant>
      <vt:variant>
        <vt:i4>0</vt:i4>
      </vt:variant>
      <vt:variant>
        <vt:i4>5</vt:i4>
      </vt:variant>
      <vt:variant>
        <vt:lpwstr>http://www.nevo.co.il/law/70301</vt:lpwstr>
      </vt:variant>
      <vt:variant>
        <vt:lpwstr/>
      </vt:variant>
      <vt:variant>
        <vt:i4>4390994</vt:i4>
      </vt:variant>
      <vt:variant>
        <vt:i4>27</vt:i4>
      </vt:variant>
      <vt:variant>
        <vt:i4>0</vt:i4>
      </vt:variant>
      <vt:variant>
        <vt:i4>5</vt:i4>
      </vt:variant>
      <vt:variant>
        <vt:lpwstr>http://www.nevo.co.il/law/70301/186.a</vt:lpwstr>
      </vt:variant>
      <vt:variant>
        <vt:lpwstr/>
      </vt:variant>
      <vt:variant>
        <vt:i4>7929954</vt:i4>
      </vt:variant>
      <vt:variant>
        <vt:i4>24</vt:i4>
      </vt:variant>
      <vt:variant>
        <vt:i4>0</vt:i4>
      </vt:variant>
      <vt:variant>
        <vt:i4>5</vt:i4>
      </vt:variant>
      <vt:variant>
        <vt:lpwstr>http://www.nevo.co.il/law/72510</vt:lpwstr>
      </vt:variant>
      <vt:variant>
        <vt:lpwstr/>
      </vt:variant>
      <vt:variant>
        <vt:i4>5636178</vt:i4>
      </vt:variant>
      <vt:variant>
        <vt:i4>21</vt:i4>
      </vt:variant>
      <vt:variant>
        <vt:i4>0</vt:i4>
      </vt:variant>
      <vt:variant>
        <vt:i4>5</vt:i4>
      </vt:variant>
      <vt:variant>
        <vt:lpwstr>http://www.nevo.co.il/law/72510/2</vt:lpwstr>
      </vt:variant>
      <vt:variant>
        <vt:lpwstr/>
      </vt:variant>
      <vt:variant>
        <vt:i4>4390994</vt:i4>
      </vt:variant>
      <vt:variant>
        <vt:i4>18</vt:i4>
      </vt:variant>
      <vt:variant>
        <vt:i4>0</vt:i4>
      </vt:variant>
      <vt:variant>
        <vt:i4>5</vt:i4>
      </vt:variant>
      <vt:variant>
        <vt:lpwstr>http://www.nevo.co.il/law/70301/186.a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5636178</vt:i4>
      </vt:variant>
      <vt:variant>
        <vt:i4>6</vt:i4>
      </vt:variant>
      <vt:variant>
        <vt:i4>0</vt:i4>
      </vt:variant>
      <vt:variant>
        <vt:i4>5</vt:i4>
      </vt:variant>
      <vt:variant>
        <vt:lpwstr>http://www.nevo.co.il/law/72510/2</vt:lpwstr>
      </vt:variant>
      <vt:variant>
        <vt:lpwstr/>
      </vt:variant>
      <vt:variant>
        <vt:i4>7929954</vt:i4>
      </vt:variant>
      <vt:variant>
        <vt:i4>3</vt:i4>
      </vt:variant>
      <vt:variant>
        <vt:i4>0</vt:i4>
      </vt:variant>
      <vt:variant>
        <vt:i4>5</vt:i4>
      </vt:variant>
      <vt:variant>
        <vt:lpwstr>http://www.nevo.co.il/law/72510</vt:lpwstr>
      </vt:variant>
      <vt:variant>
        <vt:lpwstr/>
      </vt:variant>
      <vt:variant>
        <vt:i4>3145850</vt:i4>
      </vt:variant>
      <vt:variant>
        <vt:i4>0</vt:i4>
      </vt:variant>
      <vt:variant>
        <vt:i4>0</vt:i4>
      </vt:variant>
      <vt:variant>
        <vt:i4>5</vt:i4>
      </vt:variant>
      <vt:variant>
        <vt:lpwstr>http://www.nevo.co.il/case/18041202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42836</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 </vt:lpwstr>
  </property>
  <property fmtid="{D5CDD505-2E9C-101B-9397-08002B2CF9AE}" pid="9" name="APPELLEE">
    <vt:lpwstr>צאאב בן תחסין פרג</vt:lpwstr>
  </property>
  <property fmtid="{D5CDD505-2E9C-101B-9397-08002B2CF9AE}" pid="10" name="LAWYER">
    <vt:lpwstr>עמית דויטשר; מסלם אריאתה;מוני בן מוחה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20151105</vt:lpwstr>
  </property>
  <property fmtid="{D5CDD505-2E9C-101B-9397-08002B2CF9AE}" pid="14" name="TYPE_N_DATE">
    <vt:lpwstr>38020151105</vt:lpwstr>
  </property>
  <property fmtid="{D5CDD505-2E9C-101B-9397-08002B2CF9AE}" pid="15" name="CASESLISTTMP1">
    <vt:lpwstr>18041202;10525123;4743260</vt:lpwstr>
  </property>
  <property fmtid="{D5CDD505-2E9C-101B-9397-08002B2CF9AE}" pid="16" name="WORDNUMPAGES">
    <vt:lpwstr>7</vt:lpwstr>
  </property>
  <property fmtid="{D5CDD505-2E9C-101B-9397-08002B2CF9AE}" pid="17" name="TYPE_ABS_DATE">
    <vt:lpwstr>380020151105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72510/002:2</vt:lpwstr>
  </property>
  <property fmtid="{D5CDD505-2E9C-101B-9397-08002B2CF9AE}" pid="37" name="LAWLISTTMP2">
    <vt:lpwstr>70301/186.a;144;186</vt:lpwstr>
  </property>
</Properties>
</file>