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E5750E" w:rsidRPr="00256138" w14:paraId="67A42078" w14:textId="77777777">
        <w:trPr>
          <w:trHeight w:hRule="exact" w:val="704"/>
          <w:jc w:val="center"/>
        </w:trPr>
        <w:tc>
          <w:tcPr>
            <w:tcW w:w="8721" w:type="dxa"/>
            <w:gridSpan w:val="2"/>
          </w:tcPr>
          <w:p w14:paraId="50FF5E93" w14:textId="77777777" w:rsidR="00E5750E" w:rsidRPr="00256138" w:rsidRDefault="00256138">
            <w:pPr>
              <w:pStyle w:val="a4"/>
              <w:jc w:val="center"/>
              <w:rPr>
                <w:rFonts w:ascii="Tahoma" w:hAnsi="Tahoma" w:cs="Tahoma"/>
                <w:b/>
                <w:bCs/>
                <w:color w:val="000080"/>
                <w:rtl/>
              </w:rPr>
            </w:pPr>
            <w:bookmarkStart w:id="0" w:name="FirstLawyer"/>
            <w:bookmarkStart w:id="1" w:name="LastJudge"/>
            <w:r w:rsidRPr="00256138">
              <w:rPr>
                <w:rFonts w:ascii="Tahoma" w:hAnsi="Tahoma" w:cs="Tahoma"/>
                <w:b/>
                <w:bCs/>
                <w:color w:val="000080"/>
                <w:rtl/>
              </w:rPr>
              <w:t>בית משפט השלום בבאר שבע</w:t>
            </w:r>
          </w:p>
          <w:p w14:paraId="6FDC0B23" w14:textId="77777777" w:rsidR="00E5750E" w:rsidRPr="00256138" w:rsidRDefault="00E5750E">
            <w:pPr>
              <w:pStyle w:val="a4"/>
              <w:jc w:val="center"/>
              <w:rPr>
                <w:rFonts w:ascii="Tahoma" w:hAnsi="Tahoma" w:cs="Tahoma"/>
                <w:color w:val="000080"/>
                <w:rtl/>
              </w:rPr>
            </w:pPr>
          </w:p>
        </w:tc>
      </w:tr>
      <w:tr w:rsidR="00E5750E" w:rsidRPr="00256138" w14:paraId="66E26904" w14:textId="77777777">
        <w:trPr>
          <w:trHeight w:val="337"/>
          <w:jc w:val="center"/>
        </w:trPr>
        <w:tc>
          <w:tcPr>
            <w:tcW w:w="4473" w:type="dxa"/>
          </w:tcPr>
          <w:p w14:paraId="1E7E8505" w14:textId="77777777" w:rsidR="00E5750E" w:rsidRPr="00256138" w:rsidRDefault="00E5750E">
            <w:pPr>
              <w:rPr>
                <w:b/>
                <w:bCs/>
                <w:sz w:val="26"/>
                <w:szCs w:val="26"/>
                <w:rtl/>
              </w:rPr>
            </w:pPr>
          </w:p>
        </w:tc>
        <w:tc>
          <w:tcPr>
            <w:tcW w:w="4248" w:type="dxa"/>
          </w:tcPr>
          <w:p w14:paraId="76C1DA18" w14:textId="77777777" w:rsidR="00E5750E" w:rsidRPr="00256138" w:rsidRDefault="00256138">
            <w:pPr>
              <w:pStyle w:val="a4"/>
              <w:jc w:val="right"/>
              <w:rPr>
                <w:b/>
                <w:bCs/>
                <w:sz w:val="26"/>
                <w:szCs w:val="26"/>
                <w:rtl/>
              </w:rPr>
            </w:pPr>
            <w:r w:rsidRPr="00256138">
              <w:rPr>
                <w:rFonts w:hint="cs"/>
                <w:b/>
                <w:bCs/>
                <w:sz w:val="26"/>
                <w:szCs w:val="26"/>
                <w:rtl/>
              </w:rPr>
              <w:t>ד' טבת תשע"ו</w:t>
            </w:r>
          </w:p>
          <w:p w14:paraId="05D8BD4A" w14:textId="77777777" w:rsidR="00E5750E" w:rsidRPr="00256138" w:rsidRDefault="00256138">
            <w:pPr>
              <w:pStyle w:val="a4"/>
              <w:jc w:val="right"/>
              <w:rPr>
                <w:b/>
                <w:bCs/>
                <w:sz w:val="26"/>
                <w:szCs w:val="26"/>
                <w:rtl/>
              </w:rPr>
            </w:pPr>
            <w:r w:rsidRPr="00256138">
              <w:rPr>
                <w:rFonts w:hint="cs"/>
                <w:b/>
                <w:bCs/>
                <w:rtl/>
              </w:rPr>
              <w:t>16 דצמבר 2015</w:t>
            </w:r>
          </w:p>
        </w:tc>
      </w:tr>
      <w:tr w:rsidR="00E5750E" w:rsidRPr="00256138" w14:paraId="626A67E2" w14:textId="77777777">
        <w:trPr>
          <w:trHeight w:val="337"/>
          <w:jc w:val="center"/>
        </w:trPr>
        <w:tc>
          <w:tcPr>
            <w:tcW w:w="8721" w:type="dxa"/>
            <w:gridSpan w:val="2"/>
          </w:tcPr>
          <w:p w14:paraId="16E3B3F2" w14:textId="77777777" w:rsidR="00E5750E" w:rsidRPr="00256138" w:rsidRDefault="00256138">
            <w:pPr>
              <w:rPr>
                <w:b/>
                <w:bCs/>
                <w:sz w:val="26"/>
                <w:szCs w:val="26"/>
                <w:rtl/>
              </w:rPr>
            </w:pPr>
            <w:hyperlink r:id="rId7" w:history="1">
              <w:r w:rsidRPr="00256138">
                <w:rPr>
                  <w:b/>
                  <w:bCs/>
                  <w:color w:val="0000FF"/>
                  <w:sz w:val="26"/>
                  <w:szCs w:val="26"/>
                  <w:u w:val="single"/>
                  <w:rtl/>
                </w:rPr>
                <w:t>ת"פ 1795-11-14</w:t>
              </w:r>
            </w:hyperlink>
            <w:r w:rsidRPr="00256138">
              <w:rPr>
                <w:b/>
                <w:bCs/>
                <w:sz w:val="26"/>
                <w:szCs w:val="26"/>
                <w:rtl/>
              </w:rPr>
              <w:t xml:space="preserve"> מדינת ישראל נ' אלאעסם</w:t>
            </w:r>
          </w:p>
          <w:p w14:paraId="387AF733" w14:textId="77777777" w:rsidR="00E5750E" w:rsidRPr="00256138" w:rsidRDefault="00E5750E">
            <w:pPr>
              <w:rPr>
                <w:rtl/>
              </w:rPr>
            </w:pPr>
          </w:p>
          <w:p w14:paraId="606A206A" w14:textId="77777777" w:rsidR="00E5750E" w:rsidRPr="00256138" w:rsidRDefault="00E5750E">
            <w:pPr>
              <w:rPr>
                <w:rtl/>
              </w:rPr>
            </w:pPr>
          </w:p>
        </w:tc>
      </w:tr>
    </w:tbl>
    <w:p w14:paraId="27204017" w14:textId="77777777" w:rsidR="00E5750E" w:rsidRPr="00256138" w:rsidRDefault="00256138">
      <w:pPr>
        <w:pStyle w:val="a4"/>
        <w:rPr>
          <w:rtl/>
        </w:rPr>
      </w:pPr>
      <w:r w:rsidRPr="00256138">
        <w:rPr>
          <w:rtl/>
        </w:rPr>
        <w:t xml:space="preserve"> </w:t>
      </w:r>
    </w:p>
    <w:p w14:paraId="1B4776EB" w14:textId="77777777" w:rsidR="00E5750E" w:rsidRPr="00256138" w:rsidRDefault="00E5750E">
      <w:pPr>
        <w:suppressLineNumbers/>
        <w:rPr>
          <w:rtl/>
        </w:rPr>
      </w:pPr>
    </w:p>
    <w:tbl>
      <w:tblPr>
        <w:bidiVisual/>
        <w:tblW w:w="8820" w:type="dxa"/>
        <w:jc w:val="center"/>
        <w:tblLook w:val="01E0" w:firstRow="1" w:lastRow="1" w:firstColumn="1" w:lastColumn="1" w:noHBand="0" w:noVBand="0"/>
      </w:tblPr>
      <w:tblGrid>
        <w:gridCol w:w="743"/>
        <w:gridCol w:w="2123"/>
        <w:gridCol w:w="5954"/>
      </w:tblGrid>
      <w:tr w:rsidR="00E5750E" w:rsidRPr="00256138" w14:paraId="23F6F4BA" w14:textId="77777777">
        <w:trPr>
          <w:jc w:val="center"/>
        </w:trPr>
        <w:tc>
          <w:tcPr>
            <w:tcW w:w="743" w:type="dxa"/>
            <w:shd w:val="clear" w:color="auto" w:fill="auto"/>
          </w:tcPr>
          <w:p w14:paraId="1FA9D091" w14:textId="77777777" w:rsidR="00E5750E" w:rsidRPr="00256138" w:rsidRDefault="00256138">
            <w:pPr>
              <w:jc w:val="both"/>
              <w:rPr>
                <w:rFonts w:ascii="Arial" w:hAnsi="Arial"/>
                <w:b/>
                <w:bCs/>
              </w:rPr>
            </w:pPr>
            <w:r w:rsidRPr="00256138">
              <w:rPr>
                <w:rFonts w:ascii="Arial" w:hAnsi="Arial" w:hint="cs"/>
                <w:b/>
                <w:bCs/>
                <w:rtl/>
              </w:rPr>
              <w:t>לפני</w:t>
            </w:r>
          </w:p>
        </w:tc>
        <w:tc>
          <w:tcPr>
            <w:tcW w:w="8077" w:type="dxa"/>
            <w:gridSpan w:val="2"/>
            <w:shd w:val="clear" w:color="auto" w:fill="auto"/>
          </w:tcPr>
          <w:p w14:paraId="50B3112F" w14:textId="77777777" w:rsidR="00E5750E" w:rsidRPr="00256138" w:rsidRDefault="00256138">
            <w:pPr>
              <w:rPr>
                <w:rFonts w:ascii="Arial" w:hAnsi="Arial"/>
                <w:b/>
                <w:bCs/>
                <w:rtl/>
              </w:rPr>
            </w:pPr>
            <w:r w:rsidRPr="00256138">
              <w:rPr>
                <w:rFonts w:ascii="Arial" w:hAnsi="Arial" w:hint="cs"/>
                <w:b/>
                <w:bCs/>
                <w:rtl/>
              </w:rPr>
              <w:t>כב' ה</w:t>
            </w:r>
            <w:r w:rsidRPr="00256138">
              <w:rPr>
                <w:rFonts w:hint="cs"/>
                <w:rtl/>
              </w:rPr>
              <w:t>שופט</w:t>
            </w:r>
            <w:r w:rsidRPr="00256138">
              <w:rPr>
                <w:rFonts w:ascii="Arial" w:hAnsi="Arial" w:hint="cs"/>
                <w:b/>
                <w:bCs/>
                <w:rtl/>
              </w:rPr>
              <w:t xml:space="preserve">  </w:t>
            </w:r>
            <w:r w:rsidRPr="00256138">
              <w:rPr>
                <w:rFonts w:hint="cs"/>
                <w:rtl/>
              </w:rPr>
              <w:t>רון סולקין</w:t>
            </w:r>
          </w:p>
          <w:p w14:paraId="00A70EFF" w14:textId="77777777" w:rsidR="00E5750E" w:rsidRPr="00256138" w:rsidRDefault="00E5750E">
            <w:pPr>
              <w:rPr>
                <w:rFonts w:ascii="Arial" w:hAnsi="Arial" w:cs="FrankRuehl"/>
                <w:sz w:val="28"/>
                <w:szCs w:val="28"/>
                <w:highlight w:val="yellow"/>
              </w:rPr>
            </w:pPr>
          </w:p>
        </w:tc>
      </w:tr>
      <w:tr w:rsidR="00E5750E" w:rsidRPr="00256138" w14:paraId="727FEE25" w14:textId="77777777">
        <w:trPr>
          <w:jc w:val="center"/>
        </w:trPr>
        <w:tc>
          <w:tcPr>
            <w:tcW w:w="2866" w:type="dxa"/>
            <w:gridSpan w:val="2"/>
            <w:shd w:val="clear" w:color="auto" w:fill="auto"/>
          </w:tcPr>
          <w:p w14:paraId="54173DDD" w14:textId="77777777" w:rsidR="00E5750E" w:rsidRPr="00256138" w:rsidRDefault="00E5750E">
            <w:pPr>
              <w:bidi w:val="0"/>
              <w:jc w:val="right"/>
              <w:rPr>
                <w:rFonts w:ascii="Arial" w:hAnsi="Arial"/>
                <w:b/>
                <w:bCs/>
                <w:sz w:val="26"/>
                <w:szCs w:val="26"/>
              </w:rPr>
            </w:pPr>
            <w:bookmarkStart w:id="2" w:name="FirstAppellant"/>
          </w:p>
          <w:p w14:paraId="1AAD38C4" w14:textId="77777777" w:rsidR="00E5750E" w:rsidRPr="00256138" w:rsidRDefault="00256138">
            <w:pPr>
              <w:bidi w:val="0"/>
              <w:jc w:val="right"/>
              <w:rPr>
                <w:rFonts w:ascii="Arial" w:hAnsi="Arial"/>
                <w:b/>
                <w:bCs/>
                <w:sz w:val="26"/>
                <w:szCs w:val="26"/>
              </w:rPr>
            </w:pPr>
            <w:r w:rsidRPr="00256138">
              <w:rPr>
                <w:rFonts w:ascii="Arial" w:hAnsi="Arial" w:hint="cs"/>
                <w:b/>
                <w:bCs/>
                <w:sz w:val="26"/>
                <w:szCs w:val="26"/>
                <w:rtl/>
              </w:rPr>
              <w:t>המאשימה:</w:t>
            </w:r>
          </w:p>
        </w:tc>
        <w:tc>
          <w:tcPr>
            <w:tcW w:w="5954" w:type="dxa"/>
            <w:shd w:val="clear" w:color="auto" w:fill="auto"/>
          </w:tcPr>
          <w:p w14:paraId="02678189" w14:textId="77777777" w:rsidR="00E5750E" w:rsidRPr="00256138" w:rsidRDefault="00E5750E">
            <w:pPr>
              <w:rPr>
                <w:rFonts w:ascii="Arial" w:hAnsi="Arial"/>
                <w:b/>
                <w:bCs/>
                <w:sz w:val="26"/>
                <w:szCs w:val="26"/>
                <w:rtl/>
              </w:rPr>
            </w:pPr>
          </w:p>
          <w:p w14:paraId="57E11F70" w14:textId="77777777" w:rsidR="00E5750E" w:rsidRPr="00256138" w:rsidRDefault="00256138">
            <w:pPr>
              <w:rPr>
                <w:b/>
                <w:bCs/>
                <w:sz w:val="26"/>
                <w:szCs w:val="26"/>
              </w:rPr>
            </w:pPr>
            <w:r w:rsidRPr="00256138">
              <w:rPr>
                <w:rFonts w:hint="cs"/>
                <w:rtl/>
              </w:rPr>
              <w:t>מדינת ישראל – פמ"ד</w:t>
            </w:r>
            <w:r w:rsidRPr="00256138">
              <w:rPr>
                <w:rFonts w:hint="cs"/>
                <w:rtl/>
              </w:rPr>
              <w:br/>
              <w:t>באמצעות עו"ד ענבל ברסאנו ומתמחה מרואן מנסור</w:t>
            </w:r>
          </w:p>
        </w:tc>
      </w:tr>
      <w:bookmarkEnd w:id="2"/>
      <w:tr w:rsidR="00E5750E" w:rsidRPr="00256138" w14:paraId="1B3CF099" w14:textId="77777777">
        <w:trPr>
          <w:jc w:val="center"/>
        </w:trPr>
        <w:tc>
          <w:tcPr>
            <w:tcW w:w="8820" w:type="dxa"/>
            <w:gridSpan w:val="3"/>
            <w:shd w:val="clear" w:color="auto" w:fill="auto"/>
          </w:tcPr>
          <w:p w14:paraId="30DFE5D9" w14:textId="77777777" w:rsidR="00E5750E" w:rsidRPr="00256138" w:rsidRDefault="00E5750E">
            <w:pPr>
              <w:rPr>
                <w:rFonts w:ascii="Arial" w:hAnsi="Arial"/>
                <w:b/>
                <w:bCs/>
                <w:sz w:val="26"/>
                <w:szCs w:val="26"/>
                <w:rtl/>
              </w:rPr>
            </w:pPr>
          </w:p>
          <w:p w14:paraId="18817899" w14:textId="77777777" w:rsidR="00E5750E" w:rsidRPr="00256138" w:rsidRDefault="00256138">
            <w:pPr>
              <w:jc w:val="center"/>
              <w:rPr>
                <w:rFonts w:ascii="Arial" w:hAnsi="Arial"/>
                <w:b/>
                <w:bCs/>
                <w:sz w:val="26"/>
                <w:szCs w:val="26"/>
                <w:rtl/>
              </w:rPr>
            </w:pPr>
            <w:r w:rsidRPr="00256138">
              <w:rPr>
                <w:rFonts w:ascii="Arial" w:hAnsi="Arial"/>
                <w:b/>
                <w:bCs/>
                <w:sz w:val="26"/>
                <w:szCs w:val="26"/>
                <w:rtl/>
              </w:rPr>
              <w:t>נגד</w:t>
            </w:r>
          </w:p>
          <w:p w14:paraId="39FC32FD" w14:textId="77777777" w:rsidR="00E5750E" w:rsidRPr="00256138" w:rsidRDefault="00E5750E">
            <w:pPr>
              <w:rPr>
                <w:rFonts w:ascii="Arial" w:hAnsi="Arial"/>
                <w:b/>
                <w:bCs/>
                <w:sz w:val="26"/>
                <w:szCs w:val="26"/>
              </w:rPr>
            </w:pPr>
          </w:p>
        </w:tc>
      </w:tr>
      <w:tr w:rsidR="00E5750E" w:rsidRPr="00256138" w14:paraId="6B0AFE32" w14:textId="77777777">
        <w:trPr>
          <w:jc w:val="center"/>
        </w:trPr>
        <w:tc>
          <w:tcPr>
            <w:tcW w:w="2866" w:type="dxa"/>
            <w:gridSpan w:val="2"/>
            <w:shd w:val="clear" w:color="auto" w:fill="auto"/>
          </w:tcPr>
          <w:p w14:paraId="0BE6EB83" w14:textId="77777777" w:rsidR="00E5750E" w:rsidRPr="00256138" w:rsidRDefault="00E5750E">
            <w:pPr>
              <w:rPr>
                <w:rFonts w:ascii="Arial" w:hAnsi="Arial" w:hint="cs"/>
                <w:b/>
                <w:bCs/>
                <w:sz w:val="26"/>
                <w:szCs w:val="26"/>
                <w:rtl/>
              </w:rPr>
            </w:pPr>
          </w:p>
          <w:p w14:paraId="34E5B078" w14:textId="77777777" w:rsidR="00E5750E" w:rsidRPr="00256138" w:rsidRDefault="00256138">
            <w:pPr>
              <w:rPr>
                <w:rFonts w:ascii="Arial" w:hAnsi="Arial"/>
                <w:b/>
                <w:bCs/>
                <w:sz w:val="26"/>
                <w:szCs w:val="26"/>
              </w:rPr>
            </w:pPr>
            <w:r w:rsidRPr="00256138">
              <w:rPr>
                <w:rFonts w:ascii="Arial" w:hAnsi="Arial" w:hint="cs"/>
                <w:b/>
                <w:bCs/>
                <w:sz w:val="26"/>
                <w:szCs w:val="26"/>
                <w:rtl/>
              </w:rPr>
              <w:t>הנאשם:</w:t>
            </w:r>
          </w:p>
        </w:tc>
        <w:tc>
          <w:tcPr>
            <w:tcW w:w="5954" w:type="dxa"/>
            <w:shd w:val="clear" w:color="auto" w:fill="auto"/>
          </w:tcPr>
          <w:p w14:paraId="6AAFC80E" w14:textId="77777777" w:rsidR="00E5750E" w:rsidRPr="00256138" w:rsidRDefault="00E5750E">
            <w:pPr>
              <w:rPr>
                <w:rFonts w:ascii="Arial" w:hAnsi="Arial"/>
                <w:b/>
                <w:bCs/>
                <w:sz w:val="26"/>
                <w:szCs w:val="26"/>
                <w:rtl/>
              </w:rPr>
            </w:pPr>
          </w:p>
          <w:p w14:paraId="749AA077" w14:textId="77777777" w:rsidR="00E5750E" w:rsidRPr="00256138" w:rsidRDefault="00256138">
            <w:pPr>
              <w:rPr>
                <w:b/>
                <w:bCs/>
                <w:sz w:val="26"/>
                <w:szCs w:val="26"/>
                <w:rtl/>
              </w:rPr>
            </w:pPr>
            <w:r w:rsidRPr="00256138">
              <w:rPr>
                <w:rFonts w:hint="cs"/>
                <w:rtl/>
              </w:rPr>
              <w:t>אסמעיל בן כאיד אלאעסם</w:t>
            </w:r>
            <w:r w:rsidRPr="00256138">
              <w:rPr>
                <w:rFonts w:hint="cs"/>
                <w:rtl/>
              </w:rPr>
              <w:br/>
              <w:t xml:space="preserve">על ידי ב"כ עו"ד אורי בן-נתן </w:t>
            </w:r>
          </w:p>
        </w:tc>
      </w:tr>
    </w:tbl>
    <w:p w14:paraId="1FC6C5DE" w14:textId="77777777" w:rsidR="008F55C1" w:rsidRDefault="008F55C1">
      <w:pPr>
        <w:suppressLineNumbers/>
        <w:rPr>
          <w:rtl/>
        </w:rPr>
      </w:pPr>
      <w:bookmarkStart w:id="3" w:name="LawTable"/>
      <w:bookmarkEnd w:id="3"/>
    </w:p>
    <w:p w14:paraId="27A1994F" w14:textId="77777777" w:rsidR="008F55C1" w:rsidRPr="008F55C1" w:rsidRDefault="008F55C1" w:rsidP="008F55C1">
      <w:pPr>
        <w:suppressLineNumbers/>
        <w:spacing w:after="120" w:line="240" w:lineRule="exact"/>
        <w:ind w:left="283" w:hanging="283"/>
        <w:jc w:val="both"/>
        <w:rPr>
          <w:rFonts w:ascii="FrankRuehl" w:hAnsi="FrankRuehl" w:cs="FrankRuehl"/>
          <w:rtl/>
        </w:rPr>
      </w:pPr>
    </w:p>
    <w:p w14:paraId="7D83465C" w14:textId="77777777" w:rsidR="008F55C1" w:rsidRPr="008F55C1" w:rsidRDefault="008F55C1" w:rsidP="008F55C1">
      <w:pPr>
        <w:suppressLineNumbers/>
        <w:spacing w:after="120" w:line="240" w:lineRule="exact"/>
        <w:ind w:left="283" w:hanging="283"/>
        <w:jc w:val="both"/>
        <w:rPr>
          <w:rFonts w:ascii="FrankRuehl" w:hAnsi="FrankRuehl" w:cs="FrankRuehl"/>
          <w:rtl/>
        </w:rPr>
      </w:pPr>
      <w:r w:rsidRPr="008F55C1">
        <w:rPr>
          <w:rFonts w:ascii="FrankRuehl" w:hAnsi="FrankRuehl" w:cs="FrankRuehl"/>
          <w:rtl/>
        </w:rPr>
        <w:t xml:space="preserve">חקיקה שאוזכרה: </w:t>
      </w:r>
    </w:p>
    <w:p w14:paraId="302F2F62" w14:textId="77777777" w:rsidR="008F55C1" w:rsidRPr="008F55C1" w:rsidRDefault="008F55C1" w:rsidP="008F55C1">
      <w:pPr>
        <w:suppressLineNumbers/>
        <w:spacing w:after="120" w:line="240" w:lineRule="exact"/>
        <w:ind w:left="283" w:hanging="283"/>
        <w:jc w:val="both"/>
        <w:rPr>
          <w:rFonts w:ascii="FrankRuehl" w:hAnsi="FrankRuehl" w:cs="FrankRuehl"/>
          <w:rtl/>
        </w:rPr>
      </w:pPr>
      <w:hyperlink r:id="rId8" w:history="1">
        <w:r w:rsidRPr="008F55C1">
          <w:rPr>
            <w:rFonts w:ascii="FrankRuehl" w:hAnsi="FrankRuehl" w:cs="FrankRuehl"/>
            <w:color w:val="0000FF"/>
            <w:u w:val="single"/>
            <w:rtl/>
          </w:rPr>
          <w:t>חוק העונשין, תשל"ז-1977</w:t>
        </w:r>
      </w:hyperlink>
      <w:r w:rsidRPr="008F55C1">
        <w:rPr>
          <w:rFonts w:ascii="FrankRuehl" w:hAnsi="FrankRuehl" w:cs="FrankRuehl"/>
          <w:rtl/>
        </w:rPr>
        <w:t xml:space="preserve">: סע'  </w:t>
      </w:r>
      <w:hyperlink r:id="rId9" w:history="1">
        <w:r w:rsidRPr="008F55C1">
          <w:rPr>
            <w:rFonts w:ascii="FrankRuehl" w:hAnsi="FrankRuehl" w:cs="FrankRuehl"/>
            <w:color w:val="0000FF"/>
            <w:u w:val="single"/>
            <w:rtl/>
          </w:rPr>
          <w:t>144</w:t>
        </w:r>
      </w:hyperlink>
      <w:r w:rsidRPr="008F55C1">
        <w:rPr>
          <w:rFonts w:ascii="FrankRuehl" w:hAnsi="FrankRuehl" w:cs="FrankRuehl"/>
          <w:rtl/>
        </w:rPr>
        <w:t xml:space="preserve">, </w:t>
      </w:r>
      <w:hyperlink r:id="rId10" w:history="1">
        <w:r w:rsidRPr="008F55C1">
          <w:rPr>
            <w:rFonts w:ascii="FrankRuehl" w:hAnsi="FrankRuehl" w:cs="FrankRuehl"/>
            <w:color w:val="0000FF"/>
            <w:u w:val="single"/>
            <w:rtl/>
          </w:rPr>
          <w:t>144(א)</w:t>
        </w:r>
      </w:hyperlink>
      <w:r w:rsidRPr="008F55C1">
        <w:rPr>
          <w:rFonts w:ascii="FrankRuehl" w:hAnsi="FrankRuehl" w:cs="FrankRuehl"/>
          <w:rtl/>
        </w:rPr>
        <w:t xml:space="preserve">, </w:t>
      </w:r>
      <w:hyperlink r:id="rId11" w:history="1">
        <w:r w:rsidRPr="008F55C1">
          <w:rPr>
            <w:rFonts w:ascii="FrankRuehl" w:hAnsi="FrankRuehl" w:cs="FrankRuehl"/>
            <w:color w:val="0000FF"/>
            <w:u w:val="single"/>
            <w:rtl/>
          </w:rPr>
          <w:t>186</w:t>
        </w:r>
      </w:hyperlink>
      <w:r w:rsidRPr="008F55C1">
        <w:rPr>
          <w:rFonts w:ascii="FrankRuehl" w:hAnsi="FrankRuehl" w:cs="FrankRuehl"/>
          <w:rtl/>
        </w:rPr>
        <w:t xml:space="preserve">, </w:t>
      </w:r>
      <w:hyperlink r:id="rId12" w:history="1">
        <w:r w:rsidRPr="008F55C1">
          <w:rPr>
            <w:rFonts w:ascii="FrankRuehl" w:hAnsi="FrankRuehl" w:cs="FrankRuehl"/>
            <w:color w:val="0000FF"/>
            <w:u w:val="single"/>
            <w:rtl/>
          </w:rPr>
          <w:t>499(א)(2)</w:t>
        </w:r>
      </w:hyperlink>
    </w:p>
    <w:p w14:paraId="1D39951A" w14:textId="77777777" w:rsidR="008F55C1" w:rsidRPr="008F55C1" w:rsidRDefault="008F55C1" w:rsidP="008F55C1">
      <w:pPr>
        <w:suppressLineNumbers/>
        <w:spacing w:after="120" w:line="240" w:lineRule="exact"/>
        <w:ind w:left="283" w:hanging="283"/>
        <w:jc w:val="both"/>
        <w:rPr>
          <w:rFonts w:ascii="FrankRuehl" w:hAnsi="FrankRuehl" w:cs="FrankRuehl"/>
          <w:rtl/>
        </w:rPr>
      </w:pPr>
    </w:p>
    <w:p w14:paraId="4519B966" w14:textId="77777777" w:rsidR="00E5750E" w:rsidRPr="00256138" w:rsidRDefault="00E5750E">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E5750E" w14:paraId="7F5C0BC9" w14:textId="77777777">
        <w:trPr>
          <w:jc w:val="center"/>
        </w:trPr>
        <w:tc>
          <w:tcPr>
            <w:tcW w:w="8820" w:type="dxa"/>
            <w:shd w:val="clear" w:color="auto" w:fill="auto"/>
          </w:tcPr>
          <w:p w14:paraId="06EA4551" w14:textId="77777777" w:rsidR="00256138" w:rsidRPr="00256138" w:rsidRDefault="00256138" w:rsidP="00256138">
            <w:pPr>
              <w:bidi w:val="0"/>
              <w:jc w:val="center"/>
              <w:rPr>
                <w:rFonts w:ascii="Arial" w:hAnsi="Arial"/>
                <w:b/>
                <w:bCs/>
                <w:sz w:val="28"/>
                <w:szCs w:val="28"/>
                <w:u w:val="single"/>
                <w:rtl/>
              </w:rPr>
            </w:pPr>
            <w:bookmarkStart w:id="5" w:name="PsakDin" w:colFirst="0" w:colLast="0"/>
            <w:bookmarkEnd w:id="0"/>
            <w:bookmarkEnd w:id="1"/>
            <w:r w:rsidRPr="00256138">
              <w:rPr>
                <w:rFonts w:ascii="Arial" w:hAnsi="Arial"/>
                <w:b/>
                <w:bCs/>
                <w:sz w:val="28"/>
                <w:szCs w:val="28"/>
                <w:u w:val="single"/>
                <w:rtl/>
              </w:rPr>
              <w:t>גזר דין</w:t>
            </w:r>
          </w:p>
          <w:p w14:paraId="6471DDEF" w14:textId="77777777" w:rsidR="00E5750E" w:rsidRPr="00256138" w:rsidRDefault="00E5750E" w:rsidP="00256138">
            <w:pPr>
              <w:bidi w:val="0"/>
              <w:jc w:val="center"/>
              <w:rPr>
                <w:rFonts w:ascii="Arial" w:hAnsi="Arial"/>
                <w:b/>
                <w:bCs/>
                <w:sz w:val="28"/>
                <w:szCs w:val="28"/>
                <w:u w:val="single"/>
              </w:rPr>
            </w:pPr>
          </w:p>
        </w:tc>
      </w:tr>
      <w:bookmarkEnd w:id="5"/>
    </w:tbl>
    <w:p w14:paraId="093D28CA" w14:textId="77777777" w:rsidR="00E5750E" w:rsidRDefault="00E5750E">
      <w:pPr>
        <w:spacing w:line="360" w:lineRule="auto"/>
        <w:jc w:val="both"/>
        <w:rPr>
          <w:rFonts w:ascii="Arial" w:hAnsi="Arial"/>
          <w:rtl/>
        </w:rPr>
      </w:pPr>
    </w:p>
    <w:p w14:paraId="0A529026" w14:textId="77777777" w:rsidR="00E5750E" w:rsidRDefault="00256138">
      <w:pPr>
        <w:spacing w:line="360" w:lineRule="auto"/>
        <w:jc w:val="both"/>
        <w:rPr>
          <w:rFonts w:ascii="Arial" w:hAnsi="Arial"/>
          <w:b/>
          <w:bCs/>
          <w:rtl/>
        </w:rPr>
      </w:pPr>
      <w:r>
        <w:rPr>
          <w:rFonts w:ascii="Arial" w:hAnsi="Arial" w:hint="cs"/>
          <w:b/>
          <w:bCs/>
          <w:rtl/>
        </w:rPr>
        <w:t>כתב האישום והסדר הטיעון</w:t>
      </w:r>
    </w:p>
    <w:p w14:paraId="1C70AF37" w14:textId="77777777" w:rsidR="00E5750E" w:rsidRDefault="00256138">
      <w:pPr>
        <w:rPr>
          <w:rtl/>
        </w:rPr>
      </w:pPr>
      <w:bookmarkStart w:id="6" w:name="ABSTRACT_START"/>
      <w:bookmarkEnd w:id="6"/>
      <w:r>
        <w:rPr>
          <w:rFonts w:hint="cs"/>
          <w:rtl/>
        </w:rPr>
        <w:t>הנאשם שלפני נותן את הדין בגין עבירות כדלקמן:</w:t>
      </w:r>
    </w:p>
    <w:p w14:paraId="29FE874E" w14:textId="77777777" w:rsidR="00E5750E" w:rsidRDefault="00E5750E">
      <w:pPr>
        <w:rPr>
          <w:rtl/>
        </w:rPr>
      </w:pPr>
    </w:p>
    <w:p w14:paraId="24998943" w14:textId="77777777" w:rsidR="00E5750E" w:rsidRDefault="00256138">
      <w:pPr>
        <w:pStyle w:val="ListParagraph"/>
        <w:numPr>
          <w:ilvl w:val="0"/>
          <w:numId w:val="2"/>
        </w:numPr>
      </w:pPr>
      <w:r>
        <w:rPr>
          <w:rFonts w:hint="cs"/>
          <w:rtl/>
        </w:rPr>
        <w:t xml:space="preserve">קשירת קשר לעוון, בניגוד </w:t>
      </w:r>
      <w:hyperlink r:id="rId13" w:history="1">
        <w:r w:rsidR="008F55C1" w:rsidRPr="008F55C1">
          <w:rPr>
            <w:color w:val="0000FF"/>
            <w:u w:val="single"/>
            <w:rtl/>
          </w:rPr>
          <w:t>לסעיף 499(א)(2)</w:t>
        </w:r>
      </w:hyperlink>
      <w:r>
        <w:rPr>
          <w:rFonts w:hint="cs"/>
          <w:rtl/>
        </w:rPr>
        <w:t xml:space="preserve"> </w:t>
      </w:r>
      <w:r>
        <w:rPr>
          <w:rFonts w:ascii="Calibri" w:hAnsi="Calibri" w:hint="cs"/>
          <w:rtl/>
        </w:rPr>
        <w:t>ל</w:t>
      </w:r>
      <w:hyperlink r:id="rId14" w:history="1">
        <w:r w:rsidRPr="00256138">
          <w:rPr>
            <w:rFonts w:ascii="Calibri" w:hAnsi="Calibri" w:hint="eastAsia"/>
            <w:color w:val="0000FF"/>
            <w:u w:val="single"/>
            <w:rtl/>
          </w:rPr>
          <w:t>חוק</w:t>
        </w:r>
        <w:r w:rsidRPr="00256138">
          <w:rPr>
            <w:rFonts w:ascii="Calibri" w:hAnsi="Calibri"/>
            <w:color w:val="0000FF"/>
            <w:u w:val="single"/>
            <w:rtl/>
          </w:rPr>
          <w:t xml:space="preserve"> </w:t>
        </w:r>
        <w:r w:rsidRPr="00256138">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 xml:space="preserve"> 1977;</w:t>
      </w:r>
    </w:p>
    <w:p w14:paraId="3133A595" w14:textId="77777777" w:rsidR="00E5750E" w:rsidRDefault="00256138">
      <w:pPr>
        <w:pStyle w:val="ListParagraph"/>
        <w:numPr>
          <w:ilvl w:val="0"/>
          <w:numId w:val="1"/>
        </w:numPr>
      </w:pPr>
      <w:r>
        <w:rPr>
          <w:rFonts w:hint="cs"/>
          <w:rtl/>
        </w:rPr>
        <w:t xml:space="preserve">עבירות בנשק (החזקת תחמושת ורכישתה), בניגוד </w:t>
      </w:r>
      <w:hyperlink r:id="rId15" w:history="1">
        <w:r w:rsidR="008F55C1" w:rsidRPr="008F55C1">
          <w:rPr>
            <w:color w:val="0000FF"/>
            <w:u w:val="single"/>
            <w:rtl/>
          </w:rPr>
          <w:t>לסעיף 144(א)</w:t>
        </w:r>
      </w:hyperlink>
      <w:r>
        <w:rPr>
          <w:rFonts w:hint="cs"/>
          <w:rtl/>
        </w:rPr>
        <w:t xml:space="preserve"> סיפא לאותו חוק.</w:t>
      </w:r>
    </w:p>
    <w:p w14:paraId="25642198" w14:textId="77777777" w:rsidR="00E5750E" w:rsidRDefault="00E5750E">
      <w:pPr>
        <w:rPr>
          <w:rtl/>
        </w:rPr>
      </w:pPr>
    </w:p>
    <w:p w14:paraId="0D697D3E" w14:textId="77777777" w:rsidR="00E5750E" w:rsidRDefault="00256138">
      <w:pPr>
        <w:spacing w:line="360" w:lineRule="auto"/>
        <w:rPr>
          <w:rtl/>
        </w:rPr>
      </w:pPr>
      <w:bookmarkStart w:id="7" w:name="ABSTRACT_END"/>
      <w:bookmarkEnd w:id="7"/>
      <w:r>
        <w:rPr>
          <w:rFonts w:ascii="Calibri" w:hAnsi="Calibri" w:hint="eastAsia"/>
          <w:rtl/>
        </w:rPr>
        <w:t>בהתאם</w:t>
      </w:r>
      <w:r>
        <w:rPr>
          <w:rFonts w:ascii="Calibri" w:hAnsi="Calibri"/>
          <w:rtl/>
        </w:rPr>
        <w:t xml:space="preserve">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ת</w:t>
      </w:r>
      <w:r>
        <w:rPr>
          <w:rFonts w:ascii="Calibri" w:hAnsi="Calibri"/>
          <w:rtl/>
        </w:rPr>
        <w:t xml:space="preserve">/1,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w:t>
      </w:r>
      <w:r>
        <w:rPr>
          <w:rFonts w:hint="cs"/>
          <w:rtl/>
        </w:rPr>
        <w:t xml:space="preserve"> קשר הנאשם קשר עם אחר, חליל אבו כף, לרכוש ממנו שתי קופסאות כדורי תחמושת לרובה ציד, בתמורה לסך בן 300 ₪ בעבור כל קופסה. </w:t>
      </w:r>
    </w:p>
    <w:p w14:paraId="22F66FC5" w14:textId="77777777" w:rsidR="00E5750E" w:rsidRDefault="00E5750E">
      <w:pPr>
        <w:spacing w:line="360" w:lineRule="auto"/>
        <w:rPr>
          <w:rtl/>
        </w:rPr>
      </w:pPr>
    </w:p>
    <w:p w14:paraId="632A8D8A" w14:textId="77777777" w:rsidR="00E5750E" w:rsidRDefault="00256138">
      <w:pPr>
        <w:spacing w:line="360" w:lineRule="auto"/>
        <w:rPr>
          <w:rtl/>
        </w:rPr>
      </w:pPr>
      <w:r>
        <w:rPr>
          <w:rFonts w:hint="cs"/>
          <w:rtl/>
        </w:rPr>
        <w:t xml:space="preserve">במסגרת הקשר האמור, שוחחו השניים פעמיים בטלפון, בתאריכים 10.09.14 ו-02.10.14, וסיכמו את פרטי העסקה. בתאריך 03.10.14, בשעות הצהריים, נפגשו השניים, בסמוך למושב נבטים, ובמהלך הפגישה מסר האחר את קופסאות התחמושת לנאשם בתמורה לאתנן הכספי שסוכם, כמפורט לעיל.  </w:t>
      </w:r>
    </w:p>
    <w:p w14:paraId="7284D114" w14:textId="77777777" w:rsidR="00E5750E" w:rsidRDefault="00E5750E">
      <w:pPr>
        <w:spacing w:line="360" w:lineRule="auto"/>
        <w:rPr>
          <w:rtl/>
        </w:rPr>
      </w:pPr>
    </w:p>
    <w:p w14:paraId="6C55E652" w14:textId="77777777" w:rsidR="00E5750E" w:rsidRDefault="00256138">
      <w:pPr>
        <w:spacing w:line="360" w:lineRule="auto"/>
        <w:rPr>
          <w:rtl/>
        </w:rPr>
      </w:pPr>
      <w:r>
        <w:rPr>
          <w:rFonts w:hint="cs"/>
          <w:rtl/>
        </w:rPr>
        <w:t xml:space="preserve">בהמשך, בתאריך 13.10.14, שוחחו השניים פעם נוספת ובמהלך השיחה ביקש הנאשם לרכוש כמות נוספת, בת 1,000 כדורי תחמושת לרובה ציד. למחרת, בתאריך 14.10.14, הודיע האחר לנאשם, כי יש אדם שיוכל למכור את כדורי התחמושת בכמות המבוקשת במחיר בן 2,500 ₪. הצדדים שוחחו מספר פעמים נוספות בנוגע לעסקה הנוספת, אך זו לא יצאה אל הפועל, ובתאריך 20.10.14 נעצר הנאשם. </w:t>
      </w:r>
    </w:p>
    <w:p w14:paraId="3671D3F2" w14:textId="77777777" w:rsidR="00E5750E" w:rsidRDefault="00E5750E">
      <w:pPr>
        <w:spacing w:line="360" w:lineRule="auto"/>
        <w:rPr>
          <w:rtl/>
        </w:rPr>
      </w:pPr>
    </w:p>
    <w:p w14:paraId="47DCC401" w14:textId="77777777" w:rsidR="00E5750E" w:rsidRDefault="00256138">
      <w:pPr>
        <w:spacing w:line="360" w:lineRule="auto"/>
        <w:rPr>
          <w:rtl/>
        </w:rPr>
      </w:pPr>
      <w:r>
        <w:rPr>
          <w:rFonts w:hint="cs"/>
          <w:rtl/>
        </w:rPr>
        <w:t xml:space="preserve">בין הצדדים נקשר הסדר, במסגרתו תוקן כתב האישום, אשר בתחילה יחס לנאשם עבירה נוספת. במסגרת ההסדר, הופנה הנאשם לחקירת שירות המבחן למבוגרים. </w:t>
      </w:r>
    </w:p>
    <w:p w14:paraId="7B583313" w14:textId="77777777" w:rsidR="00E5750E" w:rsidRDefault="00E5750E">
      <w:pPr>
        <w:spacing w:line="360" w:lineRule="auto"/>
        <w:rPr>
          <w:rtl/>
        </w:rPr>
      </w:pPr>
    </w:p>
    <w:p w14:paraId="01AC6282" w14:textId="77777777" w:rsidR="00E5750E" w:rsidRDefault="00256138">
      <w:pPr>
        <w:spacing w:line="360" w:lineRule="auto"/>
        <w:rPr>
          <w:rtl/>
        </w:rPr>
      </w:pPr>
      <w:r>
        <w:rPr>
          <w:rFonts w:hint="cs"/>
          <w:rtl/>
        </w:rPr>
        <w:t xml:space="preserve">ההסדר לא כלל הסכמות ענשיות ונקבע, כי כל צד יהא רשאי לטעון כראות עיניו.  </w:t>
      </w:r>
    </w:p>
    <w:p w14:paraId="4D4BB96B" w14:textId="77777777" w:rsidR="00E5750E" w:rsidRDefault="00E5750E">
      <w:pPr>
        <w:spacing w:line="360" w:lineRule="auto"/>
        <w:rPr>
          <w:rtl/>
        </w:rPr>
      </w:pPr>
    </w:p>
    <w:p w14:paraId="6D150D72" w14:textId="77777777" w:rsidR="00E5750E" w:rsidRDefault="00256138">
      <w:pPr>
        <w:spacing w:line="360" w:lineRule="auto"/>
        <w:rPr>
          <w:b/>
          <w:bCs/>
          <w:rtl/>
        </w:rPr>
      </w:pPr>
      <w:r>
        <w:rPr>
          <w:rFonts w:hint="cs"/>
          <w:b/>
          <w:bCs/>
          <w:rtl/>
        </w:rPr>
        <w:t>ראיות לעונש</w:t>
      </w:r>
    </w:p>
    <w:p w14:paraId="5BB1BB82" w14:textId="77777777" w:rsidR="00E5750E" w:rsidRDefault="00256138">
      <w:pPr>
        <w:spacing w:line="360" w:lineRule="auto"/>
        <w:rPr>
          <w:rtl/>
        </w:rPr>
      </w:pPr>
      <w:r>
        <w:rPr>
          <w:rFonts w:hint="cs"/>
          <w:rtl/>
        </w:rPr>
        <w:t xml:space="preserve">מטעם </w:t>
      </w:r>
      <w:r>
        <w:rPr>
          <w:rFonts w:hint="cs"/>
          <w:u w:val="single"/>
          <w:rtl/>
        </w:rPr>
        <w:t>התביעה</w:t>
      </w:r>
      <w:r>
        <w:rPr>
          <w:rFonts w:hint="cs"/>
          <w:rtl/>
        </w:rPr>
        <w:t xml:space="preserve"> הוגש, לענין העונש, רישומו הפלילי של הנאשם (ת/2), ממנו עולה, כי הורשע בעבר בעבירות כנגד אנשי מרות; סמים; אלימות; איומים; הדחה בחקירה. </w:t>
      </w:r>
    </w:p>
    <w:p w14:paraId="4C73560C" w14:textId="77777777" w:rsidR="00E5750E" w:rsidRDefault="00E5750E">
      <w:pPr>
        <w:spacing w:line="360" w:lineRule="auto"/>
        <w:rPr>
          <w:rtl/>
        </w:rPr>
      </w:pPr>
    </w:p>
    <w:p w14:paraId="7FB8F2CE" w14:textId="77777777" w:rsidR="00E5750E" w:rsidRDefault="00256138">
      <w:pPr>
        <w:spacing w:line="360" w:lineRule="auto"/>
        <w:rPr>
          <w:rtl/>
        </w:rPr>
      </w:pPr>
      <w:r>
        <w:rPr>
          <w:rFonts w:hint="cs"/>
          <w:rtl/>
        </w:rPr>
        <w:t xml:space="preserve">עוד הוגשו החלטות נציב שב"ס, המלמדות על כך, כי שב"ס הורה על הפסקה מנהלית של עבודות שירות שהוטלו על הנאשם במסגרת הרשעתו האחרונה, וחלף אותן עבודות, ריצוי מאסר בין כתלי בית-האסורים, וזאת לאור אי-התיצבות הנאשם לריצוי העבודות ואף לשיחות בירור ושימוע.  שב"ס שב והורה על הפסקת העבודות גם לאחר שהוגשה עתירה מטעם הנאשם ונתבקש לערוך לו שימוע.  </w:t>
      </w:r>
    </w:p>
    <w:p w14:paraId="7547D0FA" w14:textId="77777777" w:rsidR="00E5750E" w:rsidRDefault="00E5750E">
      <w:pPr>
        <w:spacing w:line="360" w:lineRule="auto"/>
        <w:rPr>
          <w:rtl/>
        </w:rPr>
      </w:pPr>
    </w:p>
    <w:p w14:paraId="5F2908AB" w14:textId="77777777" w:rsidR="00E5750E" w:rsidRDefault="00256138">
      <w:pPr>
        <w:spacing w:line="360" w:lineRule="auto"/>
        <w:rPr>
          <w:rtl/>
        </w:rPr>
      </w:pPr>
      <w:r>
        <w:rPr>
          <w:rFonts w:hint="cs"/>
          <w:rtl/>
        </w:rPr>
        <w:t xml:space="preserve">מטעם </w:t>
      </w:r>
      <w:r>
        <w:rPr>
          <w:rFonts w:hint="cs"/>
          <w:u w:val="single"/>
          <w:rtl/>
        </w:rPr>
        <w:t>ההגנה</w:t>
      </w:r>
      <w:r>
        <w:rPr>
          <w:rFonts w:hint="cs"/>
          <w:rtl/>
        </w:rPr>
        <w:t xml:space="preserve"> לא הוגשו ראיות לעונש במעמד הדיון.</w:t>
      </w:r>
    </w:p>
    <w:p w14:paraId="443E8015" w14:textId="77777777" w:rsidR="00E5750E" w:rsidRDefault="00E5750E">
      <w:pPr>
        <w:spacing w:line="360" w:lineRule="auto"/>
        <w:rPr>
          <w:rtl/>
        </w:rPr>
      </w:pPr>
    </w:p>
    <w:p w14:paraId="2CC4780D" w14:textId="77777777" w:rsidR="00E5750E" w:rsidRDefault="00256138">
      <w:pPr>
        <w:spacing w:line="360" w:lineRule="auto"/>
        <w:rPr>
          <w:b/>
          <w:bCs/>
          <w:rtl/>
        </w:rPr>
      </w:pPr>
      <w:r>
        <w:rPr>
          <w:rFonts w:hint="cs"/>
          <w:b/>
          <w:bCs/>
          <w:rtl/>
        </w:rPr>
        <w:t>תסקיר שירות המבחן למבוגרים</w:t>
      </w:r>
    </w:p>
    <w:p w14:paraId="083E5D13" w14:textId="77777777" w:rsidR="00E5750E" w:rsidRDefault="00E5750E">
      <w:pPr>
        <w:spacing w:line="360" w:lineRule="auto"/>
        <w:rPr>
          <w:rtl/>
        </w:rPr>
      </w:pPr>
    </w:p>
    <w:p w14:paraId="5B8546EA" w14:textId="77777777" w:rsidR="00E5750E" w:rsidRDefault="00256138">
      <w:pPr>
        <w:spacing w:line="360" w:lineRule="auto"/>
        <w:rPr>
          <w:rtl/>
        </w:rPr>
      </w:pPr>
      <w:r>
        <w:rPr>
          <w:rFonts w:hint="cs"/>
          <w:rtl/>
        </w:rPr>
        <w:t xml:space="preserve">בענינו של הנאשם הוגש תסקיר המפרט את נסיבותיו האישיות, כבן 27 שנים, נשוי ואב לארבעה.  </w:t>
      </w:r>
    </w:p>
    <w:p w14:paraId="22FE74DF" w14:textId="77777777" w:rsidR="00E5750E" w:rsidRDefault="00E5750E">
      <w:pPr>
        <w:spacing w:line="360" w:lineRule="auto"/>
        <w:rPr>
          <w:rtl/>
        </w:rPr>
      </w:pPr>
    </w:p>
    <w:p w14:paraId="16D65E24" w14:textId="77777777" w:rsidR="00E5750E" w:rsidRDefault="00256138">
      <w:pPr>
        <w:spacing w:line="360" w:lineRule="auto"/>
        <w:rPr>
          <w:rtl/>
        </w:rPr>
      </w:pPr>
      <w:r>
        <w:rPr>
          <w:rFonts w:hint="cs"/>
          <w:rtl/>
        </w:rPr>
        <w:t xml:space="preserve">בשירות המבחן מסר הנאשם, כי מרצה עונש של מאסר בעבודות שירות ובמקביל, עובד במשלוחים מטעם אחת מרשתות השיווק. הפסיק את לימודיו התיכוניים בהיותו בן 15, לאחר שהפגין בעיות התנהגותיות ולא הגיע למסגרת הלימודית באופן סדיר. במשך השנים עבד בעבודות רבות, אך התקשה לשמור על יציבות תעסוקתית. </w:t>
      </w:r>
    </w:p>
    <w:p w14:paraId="38E6375D" w14:textId="77777777" w:rsidR="00E5750E" w:rsidRDefault="00E5750E">
      <w:pPr>
        <w:spacing w:line="360" w:lineRule="auto"/>
        <w:rPr>
          <w:rtl/>
        </w:rPr>
      </w:pPr>
    </w:p>
    <w:p w14:paraId="72E6ABAC" w14:textId="77777777" w:rsidR="00E5750E" w:rsidRDefault="00256138">
      <w:pPr>
        <w:spacing w:line="360" w:lineRule="auto"/>
        <w:rPr>
          <w:rtl/>
        </w:rPr>
      </w:pPr>
      <w:r>
        <w:rPr>
          <w:rFonts w:hint="cs"/>
          <w:rtl/>
        </w:rPr>
        <w:t xml:space="preserve">לדברי הנאשם, חבר לקבוצה שולית, במסגרתה החל לצרוך אלכוהול, סמים מסוכנים ממשפחת הקנבינואידים, לצד מעורבות בפלילים. לדבריו, בעקבות מעצרו, בשנת 2013, חדל לצרוך סמים </w:t>
      </w:r>
      <w:r>
        <w:rPr>
          <w:rFonts w:hint="cs"/>
          <w:rtl/>
        </w:rPr>
        <w:lastRenderedPageBreak/>
        <w:t xml:space="preserve">וצורך אלכוהול בכמות נמוכה, על רקע חברתי.  הנאשם אינו רואה בעיתיות בתחום השימוש בחמרים משני תודעה ואינו רואה צורך להשתלב בהליך טיפולי. </w:t>
      </w:r>
    </w:p>
    <w:p w14:paraId="1654CADD" w14:textId="77777777" w:rsidR="00E5750E" w:rsidRDefault="00E5750E">
      <w:pPr>
        <w:spacing w:line="360" w:lineRule="auto"/>
        <w:rPr>
          <w:rtl/>
        </w:rPr>
      </w:pPr>
    </w:p>
    <w:p w14:paraId="4DF750FB" w14:textId="77777777" w:rsidR="00E5750E" w:rsidRDefault="00256138">
      <w:pPr>
        <w:spacing w:line="360" w:lineRule="auto"/>
        <w:rPr>
          <w:rtl/>
        </w:rPr>
      </w:pPr>
      <w:r>
        <w:rPr>
          <w:rFonts w:hint="cs"/>
          <w:rtl/>
        </w:rPr>
        <w:t xml:space="preserve">שירות המבחן מצין, כי במסגרת חקירה שנערכה בענינו של הנאשם באחד התיקים בעברו, דיווח גם על צריכה שבועית קבועה, של סם מסוכן מסוג הרואין. </w:t>
      </w:r>
    </w:p>
    <w:p w14:paraId="23EA9F14" w14:textId="77777777" w:rsidR="00E5750E" w:rsidRDefault="00E5750E">
      <w:pPr>
        <w:spacing w:line="360" w:lineRule="auto"/>
        <w:rPr>
          <w:rtl/>
        </w:rPr>
      </w:pPr>
    </w:p>
    <w:p w14:paraId="7AE57956" w14:textId="77777777" w:rsidR="00E5750E" w:rsidRDefault="00256138">
      <w:pPr>
        <w:spacing w:line="360" w:lineRule="auto"/>
        <w:rPr>
          <w:rtl/>
        </w:rPr>
      </w:pPr>
      <w:r>
        <w:rPr>
          <w:rFonts w:hint="cs"/>
          <w:rtl/>
        </w:rPr>
        <w:t xml:space="preserve">לנוכח דבריו של הנאשם וכן עברו בנוגע לשימוש בסמים מסוכנים, זומן למתן בדיקות שתן, אך נמנע מלהגיע. בחלוף כחמישה שבועות מהזימון, הגיע לבדיקה נוספת, במסגרתה לא נמצאו שרידי סם. </w:t>
      </w:r>
    </w:p>
    <w:p w14:paraId="506CC57D" w14:textId="77777777" w:rsidR="00E5750E" w:rsidRDefault="00E5750E">
      <w:pPr>
        <w:spacing w:line="360" w:lineRule="auto"/>
        <w:rPr>
          <w:rtl/>
        </w:rPr>
      </w:pPr>
    </w:p>
    <w:p w14:paraId="77E11FF4" w14:textId="77777777" w:rsidR="00E5750E" w:rsidRDefault="00256138">
      <w:pPr>
        <w:spacing w:line="360" w:lineRule="auto"/>
        <w:rPr>
          <w:rtl/>
        </w:rPr>
      </w:pPr>
      <w:r>
        <w:rPr>
          <w:rFonts w:hint="cs"/>
          <w:rtl/>
        </w:rPr>
        <w:t xml:space="preserve">שירות המבחן מציין בתסקיר, כי לחובת הנאשם גם ארבעה תיקים הממתינים לבירור דין, בשניים מתוכם </w:t>
      </w:r>
      <w:r>
        <w:rPr>
          <w:rtl/>
        </w:rPr>
        <w:t>–</w:t>
      </w:r>
      <w:r>
        <w:rPr>
          <w:rFonts w:hint="cs"/>
          <w:rtl/>
        </w:rPr>
        <w:t xml:space="preserve"> הוגש כבר כתב אישום. משאין נתונים על הרשעתו של הנאשם בעבירות אלה </w:t>
      </w:r>
      <w:r>
        <w:rPr>
          <w:rtl/>
        </w:rPr>
        <w:t>–</w:t>
      </w:r>
      <w:r>
        <w:rPr>
          <w:rFonts w:hint="cs"/>
          <w:rtl/>
        </w:rPr>
        <w:t xml:space="preserve"> לא ינתן משקל לעובדות אלה במסגרת גזר-הדין דנן. </w:t>
      </w:r>
    </w:p>
    <w:p w14:paraId="1293C1CA" w14:textId="77777777" w:rsidR="00E5750E" w:rsidRDefault="00E5750E">
      <w:pPr>
        <w:spacing w:line="360" w:lineRule="auto"/>
        <w:rPr>
          <w:rtl/>
        </w:rPr>
      </w:pPr>
    </w:p>
    <w:p w14:paraId="497E1675" w14:textId="77777777" w:rsidR="00E5750E" w:rsidRDefault="00256138">
      <w:pPr>
        <w:spacing w:line="360" w:lineRule="auto"/>
        <w:rPr>
          <w:rtl/>
        </w:rPr>
      </w:pPr>
      <w:r>
        <w:rPr>
          <w:rFonts w:hint="cs"/>
          <w:rtl/>
        </w:rPr>
        <w:t>הנאשם יחס את מעורבותו בעבירה לכך שנדרש לרכוש את התחמושת על מנת להתנסות ב"ציד יונים". הנאשם מסר, מילולית, כי כיום הבין ששגה במעשיו.</w:t>
      </w:r>
    </w:p>
    <w:p w14:paraId="05306990" w14:textId="77777777" w:rsidR="00E5750E" w:rsidRDefault="00E5750E">
      <w:pPr>
        <w:spacing w:line="360" w:lineRule="auto"/>
        <w:rPr>
          <w:rtl/>
        </w:rPr>
      </w:pPr>
    </w:p>
    <w:p w14:paraId="2D4E71BC" w14:textId="77777777" w:rsidR="00E5750E" w:rsidRDefault="00256138">
      <w:pPr>
        <w:spacing w:line="360" w:lineRule="auto"/>
        <w:rPr>
          <w:rtl/>
        </w:rPr>
      </w:pPr>
      <w:r>
        <w:rPr>
          <w:rFonts w:hint="cs"/>
          <w:rtl/>
        </w:rPr>
        <w:t xml:space="preserve">שירות המבחן התרשם מנאשם אשר מתקשה לתפקד במסגרות והוא בעל דפוסי אישיות חלשים. שאיפותיו לנהל אורח חיים עצמאי ועמלני </w:t>
      </w:r>
      <w:r>
        <w:rPr>
          <w:rtl/>
        </w:rPr>
        <w:t>–</w:t>
      </w:r>
      <w:r>
        <w:rPr>
          <w:rFonts w:hint="cs"/>
          <w:rtl/>
        </w:rPr>
        <w:t xml:space="preserve"> מצומצמות. </w:t>
      </w:r>
    </w:p>
    <w:p w14:paraId="356E0A85" w14:textId="77777777" w:rsidR="00E5750E" w:rsidRDefault="00E5750E">
      <w:pPr>
        <w:spacing w:line="360" w:lineRule="auto"/>
        <w:rPr>
          <w:rtl/>
        </w:rPr>
      </w:pPr>
    </w:p>
    <w:p w14:paraId="59966642" w14:textId="77777777" w:rsidR="00E5750E" w:rsidRDefault="00256138">
      <w:pPr>
        <w:spacing w:line="360" w:lineRule="auto"/>
        <w:rPr>
          <w:rtl/>
        </w:rPr>
      </w:pPr>
      <w:r>
        <w:rPr>
          <w:rFonts w:hint="cs"/>
          <w:rtl/>
        </w:rPr>
        <w:t>עוד התרשם שירות המבחן, כי הנאשם חבר, מגיל צעיר, לחברה שולית ומנהל אורח חיים התמכרותי, אך נוטה לטשטש הבעיתיות בתחום זה.</w:t>
      </w:r>
    </w:p>
    <w:p w14:paraId="79DDD8ED" w14:textId="77777777" w:rsidR="00E5750E" w:rsidRDefault="00E5750E">
      <w:pPr>
        <w:spacing w:line="360" w:lineRule="auto"/>
        <w:rPr>
          <w:rtl/>
        </w:rPr>
      </w:pPr>
    </w:p>
    <w:p w14:paraId="4ED7EBF7" w14:textId="77777777" w:rsidR="00E5750E" w:rsidRDefault="00256138">
      <w:pPr>
        <w:spacing w:line="360" w:lineRule="auto"/>
        <w:rPr>
          <w:rtl/>
        </w:rPr>
      </w:pPr>
      <w:r>
        <w:rPr>
          <w:rFonts w:hint="cs"/>
          <w:rtl/>
        </w:rPr>
        <w:t xml:space="preserve">שירות המבחן מוצא לציין, במסגרת הגורמים המגבירים את רמת הסיכון מהנאשם, כי לא נרתע מלעבור העבירה בעת היותו מרצה מאסר בדרך של עבודות שירות, ואף נמצא בתנאים מגבילים, של מעצר בית לילי (אין טענה, כי הפר את תנאי השחרור, מלבד עצם ההסתבכות בעבירה נוספת). </w:t>
      </w:r>
    </w:p>
    <w:p w14:paraId="4C8443E9" w14:textId="77777777" w:rsidR="00E5750E" w:rsidRDefault="00E5750E">
      <w:pPr>
        <w:spacing w:line="360" w:lineRule="auto"/>
        <w:rPr>
          <w:rtl/>
        </w:rPr>
      </w:pPr>
    </w:p>
    <w:p w14:paraId="092E320A" w14:textId="77777777" w:rsidR="00E5750E" w:rsidRDefault="00256138">
      <w:pPr>
        <w:spacing w:line="360" w:lineRule="auto"/>
        <w:rPr>
          <w:rtl/>
        </w:rPr>
      </w:pPr>
      <w:r>
        <w:rPr>
          <w:rFonts w:hint="cs"/>
          <w:rtl/>
        </w:rPr>
        <w:t xml:space="preserve">שירות המבחן מצא, כי הנאשם אינו פנוי ואינו מתאים להשתלב בהליך טיפולי, וזאת משאינו מכיר בחלקים המכשילים באישיותו. </w:t>
      </w:r>
    </w:p>
    <w:p w14:paraId="4C426ECB" w14:textId="77777777" w:rsidR="00E5750E" w:rsidRDefault="00E5750E">
      <w:pPr>
        <w:spacing w:line="360" w:lineRule="auto"/>
        <w:rPr>
          <w:rtl/>
        </w:rPr>
      </w:pPr>
    </w:p>
    <w:p w14:paraId="2BA12E53" w14:textId="77777777" w:rsidR="00E5750E" w:rsidRDefault="00256138">
      <w:pPr>
        <w:spacing w:line="360" w:lineRule="auto"/>
        <w:rPr>
          <w:rtl/>
        </w:rPr>
      </w:pPr>
      <w:r>
        <w:rPr>
          <w:rFonts w:hint="cs"/>
          <w:rtl/>
        </w:rPr>
        <w:t xml:space="preserve">לנוכח התיחסותו השטחית לביצוע העבירה וקשייו לבחון התנהגותו כמפורט לעיל, התרשם שירות המבחן כי קיימת רמת סיכון בינונית לחזרה על התנהגות עוברת חוק. </w:t>
      </w:r>
    </w:p>
    <w:p w14:paraId="617AF20E" w14:textId="77777777" w:rsidR="00E5750E" w:rsidRDefault="00E5750E">
      <w:pPr>
        <w:spacing w:line="360" w:lineRule="auto"/>
        <w:rPr>
          <w:rtl/>
        </w:rPr>
      </w:pPr>
    </w:p>
    <w:p w14:paraId="44A4DD00" w14:textId="77777777" w:rsidR="00E5750E" w:rsidRDefault="00256138">
      <w:pPr>
        <w:spacing w:line="360" w:lineRule="auto"/>
        <w:rPr>
          <w:rtl/>
        </w:rPr>
      </w:pPr>
      <w:r>
        <w:rPr>
          <w:rFonts w:hint="cs"/>
          <w:rtl/>
        </w:rPr>
        <w:t xml:space="preserve">שירות המבחן המליץ על השתת עונש מאסר לריצוי בדרך של עבודות שירות, בצד עונש מאסר צופה פני עתיד, אשר ירתיעו הנאשם ממעורבות חוזרת וימחישו לו את חומרת מעשיו.  </w:t>
      </w:r>
    </w:p>
    <w:p w14:paraId="03BF21A5" w14:textId="77777777" w:rsidR="00E5750E" w:rsidRDefault="00E5750E">
      <w:pPr>
        <w:spacing w:line="360" w:lineRule="auto"/>
        <w:rPr>
          <w:rtl/>
        </w:rPr>
      </w:pPr>
    </w:p>
    <w:p w14:paraId="567A65D8" w14:textId="77777777" w:rsidR="00E5750E" w:rsidRDefault="00E5750E">
      <w:pPr>
        <w:spacing w:line="360" w:lineRule="auto"/>
        <w:rPr>
          <w:rtl/>
        </w:rPr>
      </w:pPr>
    </w:p>
    <w:p w14:paraId="30A2046F" w14:textId="77777777" w:rsidR="00E5750E" w:rsidRDefault="00256138">
      <w:pPr>
        <w:spacing w:line="360" w:lineRule="auto"/>
        <w:rPr>
          <w:b/>
          <w:bCs/>
          <w:rtl/>
        </w:rPr>
      </w:pPr>
      <w:r>
        <w:rPr>
          <w:rFonts w:hint="cs"/>
          <w:b/>
          <w:bCs/>
          <w:rtl/>
        </w:rPr>
        <w:t>טענות הצדדים</w:t>
      </w:r>
    </w:p>
    <w:p w14:paraId="5290DE8E" w14:textId="77777777" w:rsidR="00E5750E" w:rsidRDefault="00E5750E">
      <w:pPr>
        <w:spacing w:line="360" w:lineRule="auto"/>
        <w:rPr>
          <w:b/>
          <w:bCs/>
          <w:rtl/>
        </w:rPr>
      </w:pPr>
    </w:p>
    <w:p w14:paraId="1AB6CB53" w14:textId="77777777" w:rsidR="00E5750E" w:rsidRDefault="00256138">
      <w:pPr>
        <w:spacing w:line="360" w:lineRule="auto"/>
        <w:rPr>
          <w:rtl/>
        </w:rPr>
      </w:pPr>
      <w:r>
        <w:rPr>
          <w:rFonts w:hint="cs"/>
          <w:u w:val="single"/>
          <w:rtl/>
        </w:rPr>
        <w:t xml:space="preserve">התביעה </w:t>
      </w:r>
      <w:r>
        <w:rPr>
          <w:rFonts w:hint="cs"/>
          <w:rtl/>
        </w:rPr>
        <w:t xml:space="preserve">הגישה טיעוניה לעונש בכתב (ת/8) והשלימה אותם על-פה. התביעה מדגישה, כי החזקת נשק או תחמושת שלא כדין, עלולה לסכן את שלום הציבור ואת בטחונו. התביעה טוענת, שיש להחמיר בענישה בגין עבירות אלה. התביעה מפרטת ענשיהם של המעורבים הנוספים בפרשה. התביעה מצינת, כי הנאשם דנן תכנן את העבירה וניהל משא ומתן לענין מחיר התחמושת, מה שמלמד על מעורבותו בתחום. </w:t>
      </w:r>
    </w:p>
    <w:p w14:paraId="71A2EB8B" w14:textId="77777777" w:rsidR="00E5750E" w:rsidRDefault="00256138">
      <w:pPr>
        <w:spacing w:line="360" w:lineRule="auto"/>
        <w:rPr>
          <w:rtl/>
        </w:rPr>
      </w:pPr>
      <w:r>
        <w:rPr>
          <w:rFonts w:hint="cs"/>
          <w:rtl/>
        </w:rPr>
        <w:t xml:space="preserve">התביעה עותרת לגזור את עונשו של הנאשם דנן במתחם שינוע בין מספר חדשי מאסר בפועל לריצוי בדרך של עבודות שירות ועד ל- 20 חודשי מאסר בפועל. לנוכח הממצאים הנוגעים לנאשם כפי שפורטו בתסקיר שירות המבחן וכן לאור עברו הפלילי, עותרת התביעה למאסר בפועל שלא יהיה ברף התחתון של המתחם, ביחד עם מאסר מותנה ממושך ומרתיע וקנס משמעותי. </w:t>
      </w:r>
    </w:p>
    <w:p w14:paraId="12331CC6" w14:textId="77777777" w:rsidR="00E5750E" w:rsidRDefault="00256138">
      <w:pPr>
        <w:spacing w:line="360" w:lineRule="auto"/>
        <w:rPr>
          <w:rtl/>
        </w:rPr>
      </w:pPr>
      <w:r>
        <w:rPr>
          <w:rFonts w:hint="cs"/>
          <w:rtl/>
        </w:rPr>
        <w:t xml:space="preserve">עוד מדגישה התביעה, כי לנוכח המפורט בראיות שהוגשו מטעמה בנוגע להתנהגות הנאשם במהלך ריצוי מאסר בדרך של עבודות שירות שנגזר עליו בעבר, ואשר הביאה פעמיים להפסקה מנהלית של דרך ריצוי המאסר כאמור </w:t>
      </w:r>
      <w:r>
        <w:rPr>
          <w:rtl/>
        </w:rPr>
        <w:t>–</w:t>
      </w:r>
      <w:r>
        <w:rPr>
          <w:rFonts w:hint="cs"/>
          <w:rtl/>
        </w:rPr>
        <w:t xml:space="preserve"> אין מאסר בעבודות שירות יכול לבוא בגדר אפשרויות הענישה במקרה דנן. </w:t>
      </w:r>
    </w:p>
    <w:p w14:paraId="4DE39359" w14:textId="77777777" w:rsidR="00E5750E" w:rsidRDefault="00256138">
      <w:pPr>
        <w:spacing w:line="360" w:lineRule="auto"/>
        <w:rPr>
          <w:rtl/>
        </w:rPr>
      </w:pPr>
      <w:r>
        <w:rPr>
          <w:rFonts w:hint="cs"/>
          <w:rtl/>
        </w:rPr>
        <w:t xml:space="preserve">התביעה הגישה פסיקה לתמיכה בטענותיה וכן גזרי הדין הנוגעים למעורבים הנוספים בפרשה. </w:t>
      </w:r>
    </w:p>
    <w:p w14:paraId="2E9898BF" w14:textId="77777777" w:rsidR="00E5750E" w:rsidRDefault="00E5750E">
      <w:pPr>
        <w:spacing w:line="360" w:lineRule="auto"/>
        <w:rPr>
          <w:rtl/>
        </w:rPr>
      </w:pPr>
    </w:p>
    <w:p w14:paraId="2F28A1F1" w14:textId="77777777" w:rsidR="00E5750E" w:rsidRDefault="00256138">
      <w:pPr>
        <w:spacing w:line="360" w:lineRule="auto"/>
        <w:rPr>
          <w:rtl/>
        </w:rPr>
      </w:pPr>
      <w:r>
        <w:rPr>
          <w:rFonts w:hint="cs"/>
          <w:u w:val="single"/>
          <w:rtl/>
        </w:rPr>
        <w:t>ההגנה</w:t>
      </w:r>
      <w:r>
        <w:rPr>
          <w:rFonts w:hint="cs"/>
          <w:rtl/>
        </w:rPr>
        <w:t xml:space="preserve"> טוענת, כי הנאשם עבר העבירה למטרות "ציד ספורטיבי" בלבד. </w:t>
      </w:r>
    </w:p>
    <w:p w14:paraId="44D96A20" w14:textId="77777777" w:rsidR="00E5750E" w:rsidRDefault="00256138">
      <w:pPr>
        <w:spacing w:line="360" w:lineRule="auto"/>
        <w:rPr>
          <w:rtl/>
        </w:rPr>
      </w:pPr>
      <w:r>
        <w:rPr>
          <w:rFonts w:hint="cs"/>
          <w:rtl/>
        </w:rPr>
        <w:t xml:space="preserve">ההגנה טענה, כי בענין ההפסקה המנהלית של ריצוי עבודות שירות, כפי שקבע נציג מפקד המחוז בשב"ס בעבר </w:t>
      </w:r>
      <w:r>
        <w:rPr>
          <w:rtl/>
        </w:rPr>
        <w:t>–</w:t>
      </w:r>
      <w:r>
        <w:rPr>
          <w:rFonts w:hint="cs"/>
          <w:rtl/>
        </w:rPr>
        <w:t xml:space="preserve"> הוגשה עתירה שטרם נתבררה. </w:t>
      </w:r>
    </w:p>
    <w:p w14:paraId="63C923B7" w14:textId="77777777" w:rsidR="00E5750E" w:rsidRDefault="00256138">
      <w:pPr>
        <w:spacing w:line="360" w:lineRule="auto"/>
        <w:rPr>
          <w:rtl/>
        </w:rPr>
      </w:pPr>
      <w:r>
        <w:rPr>
          <w:rFonts w:hint="cs"/>
          <w:rtl/>
        </w:rPr>
        <w:t xml:space="preserve">ההגנה עותרת להתחשב בתקופה בה שהה הנאשם במעצר ממש וכן בתנאים מגבילים. </w:t>
      </w:r>
    </w:p>
    <w:p w14:paraId="366C185F" w14:textId="77777777" w:rsidR="00E5750E" w:rsidRDefault="00256138">
      <w:pPr>
        <w:spacing w:line="360" w:lineRule="auto"/>
        <w:rPr>
          <w:rtl/>
        </w:rPr>
      </w:pPr>
      <w:r>
        <w:rPr>
          <w:rFonts w:hint="cs"/>
          <w:rtl/>
        </w:rPr>
        <w:t xml:space="preserve">ההגנה עותרת לאמץ המלצתו הסופית של שירות המבחן ולהסתפק בעונש קצר של מאסר בפועל שירוצה בדרך של עבודות שירות. </w:t>
      </w:r>
    </w:p>
    <w:p w14:paraId="6BEFB5C6" w14:textId="77777777" w:rsidR="00E5750E" w:rsidRDefault="00E5750E">
      <w:pPr>
        <w:spacing w:line="360" w:lineRule="auto"/>
        <w:rPr>
          <w:rtl/>
        </w:rPr>
      </w:pPr>
    </w:p>
    <w:p w14:paraId="661D4EC9" w14:textId="77777777" w:rsidR="00E5750E" w:rsidRDefault="00256138">
      <w:pPr>
        <w:spacing w:line="360" w:lineRule="auto"/>
        <w:rPr>
          <w:rtl/>
        </w:rPr>
      </w:pPr>
      <w:r>
        <w:rPr>
          <w:rFonts w:hint="cs"/>
          <w:rtl/>
        </w:rPr>
        <w:t xml:space="preserve">לבקשת ההגנה, נתאפשר לה להגיש, בטרם מתן גזר הדין, מסמכים הנוגעים לתוצאות העתירה שהוגשה כנגד החלטת שב"ס להפקיע ריצוי המאסר בדרך של עבודות שירות במקרה הקודם. </w:t>
      </w:r>
    </w:p>
    <w:p w14:paraId="0D64578E" w14:textId="77777777" w:rsidR="00E5750E" w:rsidRDefault="00E5750E">
      <w:pPr>
        <w:spacing w:line="360" w:lineRule="auto"/>
        <w:rPr>
          <w:rtl/>
        </w:rPr>
      </w:pPr>
    </w:p>
    <w:p w14:paraId="5D7F9097" w14:textId="77777777" w:rsidR="00E5750E" w:rsidRDefault="00256138">
      <w:pPr>
        <w:spacing w:line="360" w:lineRule="auto"/>
        <w:rPr>
          <w:rtl/>
        </w:rPr>
      </w:pPr>
      <w:r>
        <w:rPr>
          <w:rFonts w:hint="cs"/>
          <w:rtl/>
        </w:rPr>
        <w:t xml:space="preserve">ביום 08.12.2015 הוגשה הודעה מטעם ההגנה, ממנה עולה, כי לאחר שנערך דיון בעתירה התקיים שימוע נוסף לנאשם, והממונה על עבודות השירות נעתר לבקשתו להעניק לו הזדמנות נוספת לרצות המאסר בדרך של עבודות שירות </w:t>
      </w:r>
      <w:r>
        <w:rPr>
          <w:rtl/>
        </w:rPr>
        <w:t>–</w:t>
      </w:r>
      <w:r>
        <w:rPr>
          <w:rFonts w:hint="cs"/>
          <w:rtl/>
        </w:rPr>
        <w:t xml:space="preserve"> בגין הסתבכותו הקודמת. ההגנה לא צירפה אסמכתא לטענתה זו. עם זאת, הודעת ההגנה הועברה לעיון התביעה, אשר לא מסרה עמדה חולקת על האמור בה.</w:t>
      </w:r>
    </w:p>
    <w:p w14:paraId="01DADEEE" w14:textId="77777777" w:rsidR="00E5750E" w:rsidRDefault="00E5750E">
      <w:pPr>
        <w:spacing w:line="360" w:lineRule="auto"/>
        <w:rPr>
          <w:rtl/>
        </w:rPr>
      </w:pPr>
    </w:p>
    <w:p w14:paraId="44A6FD6B" w14:textId="77777777" w:rsidR="00E5750E" w:rsidRDefault="00256138">
      <w:pPr>
        <w:spacing w:line="360" w:lineRule="auto"/>
        <w:rPr>
          <w:rtl/>
        </w:rPr>
      </w:pPr>
      <w:r>
        <w:rPr>
          <w:rFonts w:hint="cs"/>
          <w:u w:val="single"/>
          <w:rtl/>
        </w:rPr>
        <w:t>בדברו האחרון של הנאשם</w:t>
      </w:r>
      <w:r>
        <w:rPr>
          <w:rFonts w:hint="cs"/>
          <w:rtl/>
        </w:rPr>
        <w:t xml:space="preserve"> הביע צער על הסתבכותו ופירט את נסיבותיו האישיות. </w:t>
      </w:r>
    </w:p>
    <w:p w14:paraId="5554CB1D" w14:textId="77777777" w:rsidR="00E5750E" w:rsidRDefault="00E5750E">
      <w:pPr>
        <w:spacing w:line="360" w:lineRule="auto"/>
        <w:rPr>
          <w:rtl/>
        </w:rPr>
      </w:pPr>
    </w:p>
    <w:p w14:paraId="3100EED4" w14:textId="77777777" w:rsidR="00E5750E" w:rsidRDefault="00E5750E">
      <w:pPr>
        <w:spacing w:line="360" w:lineRule="auto"/>
        <w:rPr>
          <w:rtl/>
        </w:rPr>
      </w:pPr>
    </w:p>
    <w:p w14:paraId="0BD705F3" w14:textId="77777777" w:rsidR="00E5750E" w:rsidRDefault="00256138">
      <w:pPr>
        <w:spacing w:line="360" w:lineRule="auto"/>
        <w:rPr>
          <w:b/>
          <w:bCs/>
          <w:rtl/>
        </w:rPr>
      </w:pPr>
      <w:r>
        <w:rPr>
          <w:rFonts w:hint="cs"/>
          <w:b/>
          <w:bCs/>
          <w:rtl/>
        </w:rPr>
        <w:t>דיון והכרעה</w:t>
      </w:r>
    </w:p>
    <w:p w14:paraId="530BE0F7" w14:textId="77777777" w:rsidR="00E5750E" w:rsidRDefault="00E5750E">
      <w:pPr>
        <w:spacing w:line="360" w:lineRule="auto"/>
        <w:rPr>
          <w:b/>
          <w:bCs/>
          <w:rtl/>
        </w:rPr>
      </w:pPr>
    </w:p>
    <w:p w14:paraId="09C24B96" w14:textId="77777777" w:rsidR="00E5750E" w:rsidRDefault="00256138">
      <w:pPr>
        <w:spacing w:line="360" w:lineRule="auto"/>
        <w:rPr>
          <w:rtl/>
        </w:rPr>
      </w:pPr>
      <w:r>
        <w:rPr>
          <w:rFonts w:hint="cs"/>
          <w:rtl/>
        </w:rPr>
        <w:t xml:space="preserve">העבירות שעבר הנאשם חמורות. </w:t>
      </w:r>
    </w:p>
    <w:p w14:paraId="7DDA6386" w14:textId="77777777" w:rsidR="00E5750E" w:rsidRDefault="00E5750E">
      <w:pPr>
        <w:spacing w:line="360" w:lineRule="auto"/>
        <w:rPr>
          <w:rtl/>
        </w:rPr>
      </w:pPr>
    </w:p>
    <w:p w14:paraId="3E290810" w14:textId="77777777" w:rsidR="00E5750E" w:rsidRDefault="00256138">
      <w:pPr>
        <w:spacing w:line="360" w:lineRule="auto"/>
        <w:rPr>
          <w:rtl/>
        </w:rPr>
      </w:pPr>
      <w:r>
        <w:rPr>
          <w:rFonts w:hint="cs"/>
          <w:rtl/>
        </w:rPr>
        <w:t xml:space="preserve">אין צורך להכביר מילים בנוגע לסיכון העצום לשלום הציבור שעלול להגרם כתוצאה מהגעת תחמושת קטלנית אל מי שאינו מורשה להחזיק בה. </w:t>
      </w:r>
    </w:p>
    <w:p w14:paraId="4727155E" w14:textId="77777777" w:rsidR="00E5750E" w:rsidRDefault="00E5750E">
      <w:pPr>
        <w:spacing w:line="360" w:lineRule="auto"/>
        <w:rPr>
          <w:rtl/>
        </w:rPr>
      </w:pPr>
    </w:p>
    <w:p w14:paraId="416BA2E5" w14:textId="77777777" w:rsidR="00E5750E" w:rsidRDefault="00256138">
      <w:pPr>
        <w:spacing w:line="360" w:lineRule="auto"/>
        <w:rPr>
          <w:rtl/>
        </w:rPr>
      </w:pPr>
      <w:r>
        <w:rPr>
          <w:rFonts w:hint="cs"/>
          <w:rtl/>
        </w:rPr>
        <w:t xml:space="preserve">תחמושת כזו, עלולה למצוא את דרכה אל גורמים פליליים ואף אל גורמים עוינים, ולהביא לקיפוח חיי אדם. </w:t>
      </w:r>
    </w:p>
    <w:p w14:paraId="59550CAC" w14:textId="77777777" w:rsidR="00E5750E" w:rsidRDefault="00E5750E">
      <w:pPr>
        <w:spacing w:line="360" w:lineRule="auto"/>
        <w:rPr>
          <w:rtl/>
        </w:rPr>
      </w:pPr>
    </w:p>
    <w:p w14:paraId="2ED40863" w14:textId="77777777" w:rsidR="00E5750E" w:rsidRDefault="00256138">
      <w:pPr>
        <w:spacing w:line="360" w:lineRule="auto"/>
        <w:rPr>
          <w:rtl/>
        </w:rPr>
      </w:pPr>
      <w:r>
        <w:rPr>
          <w:rFonts w:hint="cs"/>
          <w:rtl/>
        </w:rPr>
        <w:t xml:space="preserve">בנדון זה, אין בית המשפט מוצא אבחנה לקולא כאשר המדובר בתחמושת לרובה ציד. אדרבא, תחמושת זו קטלנית יותר מתחמושת רגילה, היות שמכוונת לקטול ולהרוג החיה הנפגעת, שלעיתים היא גדולה במימדיה ובמשקלה, באבחה אחת. כמובן, באותה מידה עלולה היא להיות קטלנית אם תכוון כלפי בני אנוש. </w:t>
      </w:r>
    </w:p>
    <w:p w14:paraId="17529901" w14:textId="77777777" w:rsidR="00E5750E" w:rsidRDefault="00E5750E">
      <w:pPr>
        <w:spacing w:line="360" w:lineRule="auto"/>
        <w:rPr>
          <w:rtl/>
        </w:rPr>
      </w:pPr>
    </w:p>
    <w:p w14:paraId="56C48970" w14:textId="77777777" w:rsidR="00E5750E" w:rsidRDefault="00256138">
      <w:pPr>
        <w:spacing w:line="360" w:lineRule="auto"/>
        <w:rPr>
          <w:rtl/>
        </w:rPr>
      </w:pPr>
      <w:r>
        <w:rPr>
          <w:rFonts w:hint="cs"/>
          <w:rtl/>
        </w:rPr>
        <w:t xml:space="preserve">ודוק: לא נטען, במקרה דנן, כי הנאשם או מי מטעמו, היה מורשה להחזיק נשק או תחמושת לצורך ציד. </w:t>
      </w:r>
    </w:p>
    <w:p w14:paraId="4CD971DE" w14:textId="77777777" w:rsidR="00E5750E" w:rsidRDefault="00E5750E">
      <w:pPr>
        <w:spacing w:line="360" w:lineRule="auto"/>
        <w:rPr>
          <w:rtl/>
        </w:rPr>
      </w:pPr>
    </w:p>
    <w:p w14:paraId="4CF225DE" w14:textId="77777777" w:rsidR="00E5750E" w:rsidRDefault="00256138">
      <w:pPr>
        <w:spacing w:line="360" w:lineRule="auto"/>
        <w:rPr>
          <w:rtl/>
        </w:rPr>
      </w:pPr>
      <w:r>
        <w:rPr>
          <w:rFonts w:hint="cs"/>
          <w:rtl/>
        </w:rPr>
        <w:t xml:space="preserve">הטענה, כי התחמושת הוחזקה לצרכי ציד ספורטיבי, לא בוססה בראיות ואין לה זכר בכתב האישום, אשר מותיר הסיבות לנסיונותיו של הנאשם להשיג  התחמושת עלומות. מעבר לנדרש יצוין, כי כמות התחמושת אותה רכש הנאשם ואותה ביקש הנאשם להשיג בהמשך, היתה גדולה, כך שאם מטרתה היתה ציד ספורטיבי בלבד (וישנן דיעות שונות, האם מדובר כלל בספורט), ככל הנראה המדובר היה בציד להקות מרובות פרטים של בעלי חיים, אשר נשאלת השאלה, היכן קימות בארצנו. כאמור, נותרה מטרת השגת התחמושת לוטה בערפל. </w:t>
      </w:r>
    </w:p>
    <w:p w14:paraId="00A395C9" w14:textId="77777777" w:rsidR="00E5750E" w:rsidRDefault="00E5750E">
      <w:pPr>
        <w:spacing w:line="360" w:lineRule="auto"/>
        <w:rPr>
          <w:rtl/>
        </w:rPr>
      </w:pPr>
    </w:p>
    <w:p w14:paraId="1EB5F539" w14:textId="77777777" w:rsidR="00E5750E" w:rsidRDefault="00256138">
      <w:pPr>
        <w:spacing w:line="360" w:lineRule="auto"/>
        <w:rPr>
          <w:rtl/>
        </w:rPr>
      </w:pPr>
      <w:r>
        <w:rPr>
          <w:rFonts w:hint="cs"/>
          <w:rtl/>
        </w:rPr>
        <w:t xml:space="preserve">בית המשפט מעמיד את מתחם הענישה בגין עבירות של קשירת קשר לעוון - לרכישת תחמושת בהיקף של כמה מאות עד 1,000 פריטי תחמושת, וכן רכישת תחמושת שלא כדין, בפועל, בהיקף של קופסאות תחמושת בודדות - על מאסר בפועל שינוע בין מספר חודשים ועד  ל- 20 חודשים. </w:t>
      </w:r>
    </w:p>
    <w:p w14:paraId="458D3DD6" w14:textId="77777777" w:rsidR="00E5750E" w:rsidRDefault="00E5750E">
      <w:pPr>
        <w:spacing w:line="360" w:lineRule="auto"/>
        <w:rPr>
          <w:rtl/>
        </w:rPr>
      </w:pPr>
    </w:p>
    <w:p w14:paraId="568A0D93" w14:textId="77777777" w:rsidR="00E5750E" w:rsidRDefault="00256138">
      <w:pPr>
        <w:spacing w:line="360" w:lineRule="auto"/>
        <w:rPr>
          <w:rtl/>
        </w:rPr>
      </w:pPr>
      <w:r>
        <w:rPr>
          <w:rFonts w:hint="cs"/>
          <w:rtl/>
        </w:rPr>
        <w:t xml:space="preserve">קביעת הענישה הספציפית במסגרת המתחם, נעוצה בטיב התחמושת שסופקה; כמות התחמושת; קיומם של נתונים בנוגע למטרת רכישת התחמושת והחזקתה; מידת המעורבות של המחזיק בתחמושת בעולם העבריני או בפעילות שלילית אחרת; נסיבותיו האישיות של הנאשם ועברו הפלילי. </w:t>
      </w:r>
    </w:p>
    <w:p w14:paraId="0937A5DC" w14:textId="77777777" w:rsidR="00E5750E" w:rsidRDefault="00E5750E">
      <w:pPr>
        <w:spacing w:line="360" w:lineRule="auto"/>
        <w:rPr>
          <w:rtl/>
        </w:rPr>
      </w:pPr>
    </w:p>
    <w:p w14:paraId="36E29A27" w14:textId="77777777" w:rsidR="00E5750E" w:rsidRDefault="00256138">
      <w:pPr>
        <w:spacing w:line="360" w:lineRule="auto"/>
        <w:rPr>
          <w:rtl/>
        </w:rPr>
      </w:pPr>
      <w:r>
        <w:rPr>
          <w:rFonts w:hint="cs"/>
          <w:rtl/>
        </w:rPr>
        <w:t xml:space="preserve">במקרה דנן, המדובר ברכישת תחמושת בפועל בכמות של "שני קרטונים". לא פורטה בכתב האישום הכמות המדויקת של פריטי התחמושת בכל קרטון, אך מהשוואה למחיר שקבעו הצדדים בגין רכישת 1,000 פריטי תחמושת (בהתאם למפורט בכתב האישום </w:t>
      </w:r>
      <w:r>
        <w:rPr>
          <w:rtl/>
        </w:rPr>
        <w:t>–</w:t>
      </w:r>
      <w:r>
        <w:rPr>
          <w:rFonts w:hint="cs"/>
          <w:rtl/>
        </w:rPr>
        <w:t xml:space="preserve"> 2,500 ₪), לעלות שנקבעה לכל קופסת תחמושת (300 ₪) בהערכה גסה, ניתן להסיק כי אין המדובר בפריטים בודדים בכל קרטון. כן המדובר בסיכום לרכישת לא פחות מ- 1,000  פריטי תחמושת בעתיד. </w:t>
      </w:r>
    </w:p>
    <w:p w14:paraId="2E408A9C" w14:textId="77777777" w:rsidR="00E5750E" w:rsidRDefault="00E5750E">
      <w:pPr>
        <w:spacing w:line="360" w:lineRule="auto"/>
        <w:rPr>
          <w:rtl/>
        </w:rPr>
      </w:pPr>
    </w:p>
    <w:p w14:paraId="7D123E3D" w14:textId="77777777" w:rsidR="00E5750E" w:rsidRDefault="00256138">
      <w:pPr>
        <w:spacing w:line="360" w:lineRule="auto"/>
        <w:rPr>
          <w:b/>
          <w:bCs/>
          <w:u w:val="single"/>
          <w:rtl/>
        </w:rPr>
      </w:pPr>
      <w:r>
        <w:rPr>
          <w:rFonts w:hint="cs"/>
          <w:b/>
          <w:bCs/>
          <w:u w:val="single"/>
          <w:rtl/>
        </w:rPr>
        <w:t xml:space="preserve">כל אחד מפריטי התחמושת הללו, לבדו, עלול לקפד חיי אדם שהם עולם מלא. </w:t>
      </w:r>
    </w:p>
    <w:p w14:paraId="3FEA9382" w14:textId="77777777" w:rsidR="00E5750E" w:rsidRDefault="00E5750E">
      <w:pPr>
        <w:spacing w:line="360" w:lineRule="auto"/>
        <w:rPr>
          <w:rtl/>
        </w:rPr>
      </w:pPr>
    </w:p>
    <w:p w14:paraId="2529CB0E" w14:textId="77777777" w:rsidR="00E5750E" w:rsidRDefault="00256138">
      <w:pPr>
        <w:spacing w:line="360" w:lineRule="auto"/>
        <w:rPr>
          <w:rtl/>
        </w:rPr>
      </w:pPr>
      <w:r>
        <w:rPr>
          <w:rFonts w:hint="cs"/>
          <w:rtl/>
        </w:rPr>
        <w:t xml:space="preserve">כפי שנאמר לעיל, מטרת רכישת התחמושת, לא הוכחה בראיות ונותרה עלומה. </w:t>
      </w:r>
    </w:p>
    <w:p w14:paraId="4F5F8FFB" w14:textId="77777777" w:rsidR="00E5750E" w:rsidRDefault="00E5750E">
      <w:pPr>
        <w:spacing w:line="360" w:lineRule="auto"/>
        <w:rPr>
          <w:rtl/>
        </w:rPr>
      </w:pPr>
    </w:p>
    <w:p w14:paraId="20237D5B" w14:textId="77777777" w:rsidR="00E5750E" w:rsidRDefault="00256138">
      <w:pPr>
        <w:spacing w:line="360" w:lineRule="auto"/>
        <w:rPr>
          <w:rtl/>
        </w:rPr>
      </w:pPr>
      <w:r>
        <w:rPr>
          <w:rFonts w:hint="cs"/>
          <w:rtl/>
        </w:rPr>
        <w:t xml:space="preserve">העבירה בוצעה לאחר תכנון מראש, קשירת קשר וניהול משא ומתן להפחתת המחיר, כל אלה מלמדים על מעורבות של ממש בתחום. </w:t>
      </w:r>
    </w:p>
    <w:p w14:paraId="0C8CD87D" w14:textId="77777777" w:rsidR="00E5750E" w:rsidRDefault="00E5750E">
      <w:pPr>
        <w:spacing w:line="360" w:lineRule="auto"/>
        <w:rPr>
          <w:rtl/>
        </w:rPr>
      </w:pPr>
    </w:p>
    <w:p w14:paraId="1259F161" w14:textId="77777777" w:rsidR="00E5750E" w:rsidRDefault="00256138">
      <w:pPr>
        <w:spacing w:line="360" w:lineRule="auto"/>
        <w:rPr>
          <w:rtl/>
        </w:rPr>
      </w:pPr>
      <w:r>
        <w:rPr>
          <w:rFonts w:hint="cs"/>
          <w:rtl/>
        </w:rPr>
        <w:t xml:space="preserve">לחובת הנאשם עבר פלילי במגוון של עבירות, לרבות בתחומי הסמים; האלימות; ואף עבירה כנגד אנשי מרות. </w:t>
      </w:r>
    </w:p>
    <w:p w14:paraId="1F8DD209" w14:textId="77777777" w:rsidR="00E5750E" w:rsidRDefault="00E5750E">
      <w:pPr>
        <w:spacing w:line="360" w:lineRule="auto"/>
        <w:rPr>
          <w:rtl/>
        </w:rPr>
      </w:pPr>
    </w:p>
    <w:p w14:paraId="1EBF54CD" w14:textId="77777777" w:rsidR="00E5750E" w:rsidRDefault="00256138">
      <w:pPr>
        <w:spacing w:line="360" w:lineRule="auto"/>
        <w:rPr>
          <w:rtl/>
        </w:rPr>
      </w:pPr>
      <w:r>
        <w:rPr>
          <w:rFonts w:hint="cs"/>
          <w:rtl/>
        </w:rPr>
        <w:t xml:space="preserve">ממצאי הערכת שירות המבחן בענינו של הנאשם מדברים בעד עצמם. הנאשם אובחן כבעל דפוסי אישיות חלשים ונטיה להגרר אחרי אחרים; נוטה למעורבות שולית ולניהול אורח חיים התמכרותי; לא נרתע מלעבור עבירה גם בזמן היותו מרצה מאסר בפועל בדרך של עבודות שירות בגין עבירה קודמת וגם כאשר היה משוחרר בערובה בגין עבירה נוספת; סירב להשתלב בהליך טיפולי. </w:t>
      </w:r>
    </w:p>
    <w:p w14:paraId="2D24F26C" w14:textId="77777777" w:rsidR="00E5750E" w:rsidRDefault="00E5750E">
      <w:pPr>
        <w:spacing w:line="360" w:lineRule="auto"/>
        <w:rPr>
          <w:rtl/>
        </w:rPr>
      </w:pPr>
    </w:p>
    <w:p w14:paraId="7D74EAAE" w14:textId="77777777" w:rsidR="00E5750E" w:rsidRDefault="00256138">
      <w:pPr>
        <w:spacing w:line="360" w:lineRule="auto"/>
        <w:rPr>
          <w:rtl/>
        </w:rPr>
      </w:pPr>
      <w:r>
        <w:rPr>
          <w:rFonts w:hint="cs"/>
          <w:rtl/>
        </w:rPr>
        <w:t xml:space="preserve">כל הנתונים הללו מצביעים לכיוון החמרה של ממש במסגרת מתחם הענישה.  </w:t>
      </w:r>
    </w:p>
    <w:p w14:paraId="095C0010" w14:textId="77777777" w:rsidR="00E5750E" w:rsidRDefault="00E5750E">
      <w:pPr>
        <w:spacing w:line="360" w:lineRule="auto"/>
        <w:rPr>
          <w:rtl/>
        </w:rPr>
      </w:pPr>
    </w:p>
    <w:p w14:paraId="297B1A30" w14:textId="77777777" w:rsidR="00E5750E" w:rsidRDefault="00256138">
      <w:pPr>
        <w:spacing w:line="360" w:lineRule="auto"/>
        <w:rPr>
          <w:rtl/>
        </w:rPr>
      </w:pPr>
      <w:r>
        <w:rPr>
          <w:rFonts w:hint="cs"/>
          <w:rtl/>
        </w:rPr>
        <w:t xml:space="preserve">מנגד, הודה הנאשם בעבירות במסגרת הסדר טיעון ובכך היה כדי לחסוך בזמן שיפוטי. כן היה בכך משום נטילת אחריות מסוימת על מעשיו. </w:t>
      </w:r>
    </w:p>
    <w:p w14:paraId="72A87C00" w14:textId="77777777" w:rsidR="00E5750E" w:rsidRDefault="00E5750E">
      <w:pPr>
        <w:spacing w:line="360" w:lineRule="auto"/>
        <w:rPr>
          <w:rtl/>
        </w:rPr>
      </w:pPr>
    </w:p>
    <w:p w14:paraId="44AA00AA" w14:textId="77777777" w:rsidR="00E5750E" w:rsidRDefault="00256138">
      <w:pPr>
        <w:spacing w:line="360" w:lineRule="auto"/>
        <w:rPr>
          <w:rtl/>
        </w:rPr>
      </w:pPr>
      <w:r>
        <w:rPr>
          <w:rFonts w:hint="cs"/>
          <w:rtl/>
        </w:rPr>
        <w:t xml:space="preserve">הוסף לאמור, אין נתונים על פעילות פלילית או עוינת מצדו של הנאשם ביחס לתחמושת שהושגה על ידו ושביקש להשיג (אם כי, כאמור, קיימים נתונים על פעילות פלילית שלו בעבר). כמו כן, אין לנאשם עבירות קודמות בתחום החזקת נשק קר או חם. כן יקח בית המשפט בחשבון התקופה בה שהה הנאשם במעצר ולאחר מכן בתנאים מגבילים. שיקולים אלה מצביעים לכיוון הקלת-מה במסגרת מתחם הענישה. </w:t>
      </w:r>
    </w:p>
    <w:p w14:paraId="48E84C8E" w14:textId="77777777" w:rsidR="00E5750E" w:rsidRDefault="00E5750E">
      <w:pPr>
        <w:spacing w:line="360" w:lineRule="auto"/>
        <w:rPr>
          <w:rtl/>
        </w:rPr>
      </w:pPr>
    </w:p>
    <w:p w14:paraId="12CDB26A" w14:textId="77777777" w:rsidR="00E5750E" w:rsidRDefault="00256138">
      <w:pPr>
        <w:spacing w:line="360" w:lineRule="auto"/>
        <w:rPr>
          <w:rtl/>
        </w:rPr>
      </w:pPr>
      <w:r>
        <w:rPr>
          <w:rFonts w:hint="cs"/>
          <w:rtl/>
        </w:rPr>
        <w:t xml:space="preserve">לאחר שבית המשפט עיין בפסיקה ושקל את מכלול השיקולים והטענות של הצדדים, מוצא כי דינו של הנאשם להיענש במאסר בפועל ממש, על הצד הבינוני של מתחם הענישה. </w:t>
      </w:r>
    </w:p>
    <w:p w14:paraId="78424347" w14:textId="77777777" w:rsidR="00E5750E" w:rsidRDefault="00E5750E">
      <w:pPr>
        <w:spacing w:line="360" w:lineRule="auto"/>
        <w:rPr>
          <w:rtl/>
        </w:rPr>
      </w:pPr>
    </w:p>
    <w:p w14:paraId="211BF288" w14:textId="77777777" w:rsidR="00E5750E" w:rsidRDefault="00256138">
      <w:pPr>
        <w:spacing w:line="360" w:lineRule="auto"/>
        <w:rPr>
          <w:rtl/>
        </w:rPr>
      </w:pPr>
      <w:r>
        <w:rPr>
          <w:rFonts w:hint="cs"/>
          <w:rtl/>
        </w:rPr>
        <w:t>אמנם, בסופו של דבר, לאחר  שהממונה על עבודות השירות מצא להורות פעמיים על הפקעת צו ריצוי מאסר בדרך של עבודות שירות שהושת על הנאשם בתיק קודם, וזאת הן לנוכח כך שהנאשם נמנע מלהתיצב  לריצוי עבודות השירות, והן לאור כך שהסתבך בעבירה דנן במהלך ריצוין - הסכים לערוך נסיון נוסף לשלב הנאשם בעבודות שירות באותו תיק קודם. נסיון זה רק החל ואין ידוע כיצד יעלה.</w:t>
      </w:r>
    </w:p>
    <w:p w14:paraId="48340912" w14:textId="77777777" w:rsidR="00E5750E" w:rsidRDefault="00E5750E">
      <w:pPr>
        <w:spacing w:line="360" w:lineRule="auto"/>
        <w:rPr>
          <w:rtl/>
        </w:rPr>
      </w:pPr>
    </w:p>
    <w:p w14:paraId="0F4CE430" w14:textId="77777777" w:rsidR="00E5750E" w:rsidRDefault="00256138">
      <w:pPr>
        <w:spacing w:line="360" w:lineRule="auto"/>
        <w:rPr>
          <w:rtl/>
        </w:rPr>
      </w:pPr>
      <w:r>
        <w:rPr>
          <w:rFonts w:hint="cs"/>
          <w:rtl/>
        </w:rPr>
        <w:t xml:space="preserve">אלא, שלעובדה זו אין רלוונטיות כלשהי למקרה דנן, שכן שיקולי הענישה במקרה זה - עיקרון ההלימה והצורך בהרתעת הרבים על מנת למנוע זליגת תחמושת קטלנית בכמות גדולה למי שאינו רשאי להחזיק בה - גוברים על נסיבותיו האישיות של הנאשם, ומחיבים ענישה של ממש, במישור המעשה, בדמות מאסר בפועל בין כתלי בית האסורים. </w:t>
      </w:r>
    </w:p>
    <w:p w14:paraId="13DAC774" w14:textId="77777777" w:rsidR="00E5750E" w:rsidRDefault="00E5750E">
      <w:pPr>
        <w:spacing w:line="360" w:lineRule="auto"/>
        <w:rPr>
          <w:rtl/>
        </w:rPr>
      </w:pPr>
    </w:p>
    <w:p w14:paraId="4B226197" w14:textId="77777777" w:rsidR="00E5750E" w:rsidRDefault="00256138">
      <w:pPr>
        <w:spacing w:line="360" w:lineRule="auto"/>
        <w:rPr>
          <w:rtl/>
        </w:rPr>
      </w:pPr>
      <w:r>
        <w:rPr>
          <w:rFonts w:hint="cs"/>
          <w:rtl/>
        </w:rPr>
        <w:t xml:space="preserve">עוד מחיבים מעשיו של הנאשם השתת מאסר מותנה מרתיע צופה פני עתיד וכן עיצום כספי, וזאת לנוכח כך שהמדובר בעסקאות לרכישת תחמושת שהועברו בהם, וכן אמורים היו להיות מועברים בהם, סכומי כסף משמעותיים, ובהינתן כמות התחמושת הגדולה שהוזמנה במהלך קשירת הקשר, אשר קשה להניח, כי יועדה לשימוש פרטי בלבד. </w:t>
      </w:r>
    </w:p>
    <w:p w14:paraId="0106BD65" w14:textId="77777777" w:rsidR="00E5750E" w:rsidRDefault="00E5750E">
      <w:pPr>
        <w:spacing w:line="360" w:lineRule="auto"/>
        <w:rPr>
          <w:rtl/>
        </w:rPr>
      </w:pPr>
    </w:p>
    <w:p w14:paraId="7A9C6F81" w14:textId="77777777" w:rsidR="00E5750E" w:rsidRDefault="00E5750E">
      <w:pPr>
        <w:spacing w:line="360" w:lineRule="auto"/>
        <w:rPr>
          <w:rtl/>
        </w:rPr>
      </w:pPr>
    </w:p>
    <w:p w14:paraId="5E6EA152" w14:textId="77777777" w:rsidR="00E5750E" w:rsidRDefault="00256138">
      <w:pPr>
        <w:spacing w:line="360" w:lineRule="auto"/>
        <w:rPr>
          <w:b/>
          <w:bCs/>
          <w:rtl/>
        </w:rPr>
      </w:pPr>
      <w:r>
        <w:rPr>
          <w:rFonts w:hint="cs"/>
          <w:b/>
          <w:bCs/>
          <w:rtl/>
        </w:rPr>
        <w:t>אחידות הענישה</w:t>
      </w:r>
    </w:p>
    <w:p w14:paraId="552FBD1A" w14:textId="77777777" w:rsidR="00E5750E" w:rsidRDefault="00E5750E">
      <w:pPr>
        <w:spacing w:line="360" w:lineRule="auto"/>
        <w:rPr>
          <w:b/>
          <w:bCs/>
          <w:rtl/>
        </w:rPr>
      </w:pPr>
    </w:p>
    <w:p w14:paraId="23766105" w14:textId="77777777" w:rsidR="00E5750E" w:rsidRDefault="00256138">
      <w:pPr>
        <w:spacing w:line="360" w:lineRule="auto"/>
        <w:rPr>
          <w:rtl/>
        </w:rPr>
      </w:pPr>
      <w:r>
        <w:rPr>
          <w:rFonts w:hint="cs"/>
          <w:rtl/>
        </w:rPr>
        <w:t xml:space="preserve">לפני סיום, נותר עוד להתיחס לענשים שנגזרו על יתר המעורבים בפרשה, וזאת על מנת למנוע פער בלתי מוצדק בענישה שתגזר. </w:t>
      </w:r>
    </w:p>
    <w:p w14:paraId="0F74B6BD" w14:textId="77777777" w:rsidR="00E5750E" w:rsidRDefault="00256138">
      <w:pPr>
        <w:pStyle w:val="ListParagraph"/>
        <w:numPr>
          <w:ilvl w:val="0"/>
          <w:numId w:val="1"/>
        </w:numPr>
        <w:spacing w:line="360" w:lineRule="auto"/>
      </w:pPr>
      <w:r>
        <w:rPr>
          <w:rFonts w:hint="cs"/>
          <w:rtl/>
        </w:rPr>
        <w:t xml:space="preserve">בגזר הדין </w:t>
      </w:r>
      <w:hyperlink r:id="rId16" w:history="1">
        <w:r w:rsidRPr="00256138">
          <w:rPr>
            <w:color w:val="0000FF"/>
            <w:u w:val="single"/>
            <w:rtl/>
          </w:rPr>
          <w:t>ת.פ. 48061-10-14</w:t>
        </w:r>
      </w:hyperlink>
      <w:r>
        <w:rPr>
          <w:rFonts w:hint="cs"/>
          <w:rtl/>
        </w:rPr>
        <w:t xml:space="preserve">  נדון הנאשם רמזי אבו סריחאן לעונש מאסר צופה פני עתיד בלבד בגין עבירה של קשירת קשר לעוון במסגרתה ביקש מאותו "חליל אבו כף" (אשר מכר התחמושת גם לנאשם דנן) להשיג לו תחמושת לאקדח מבלי שצוינה הכמות המבוקשת ומבלי שנעשתה פעולה כלשהי לצורך קידום הקשר מעבר לשיחה אחת שנענתה בשלילה;</w:t>
      </w:r>
    </w:p>
    <w:p w14:paraId="0B9333CD" w14:textId="77777777" w:rsidR="00E5750E" w:rsidRDefault="00256138">
      <w:pPr>
        <w:pStyle w:val="ListParagraph"/>
        <w:numPr>
          <w:ilvl w:val="0"/>
          <w:numId w:val="1"/>
        </w:numPr>
        <w:spacing w:line="360" w:lineRule="auto"/>
      </w:pPr>
      <w:r>
        <w:rPr>
          <w:rFonts w:hint="cs"/>
          <w:rtl/>
        </w:rPr>
        <w:t xml:space="preserve">בגזר הדין </w:t>
      </w:r>
      <w:hyperlink r:id="rId17" w:history="1">
        <w:r w:rsidRPr="00256138">
          <w:rPr>
            <w:color w:val="0000FF"/>
            <w:u w:val="single"/>
            <w:rtl/>
          </w:rPr>
          <w:t>ת.פ. 1772-11-14</w:t>
        </w:r>
      </w:hyperlink>
      <w:r>
        <w:rPr>
          <w:rFonts w:hint="cs"/>
          <w:rtl/>
        </w:rPr>
        <w:t xml:space="preserve"> נדון הנאשם אחמד אבו בחירי בגין רכישת כדור תחמושת בודד מאותו "חליל אבו כף", לעונש מאסר צופה פני עתיד וכן קנס בסך 2,000 ₪; </w:t>
      </w:r>
    </w:p>
    <w:p w14:paraId="2936E95C" w14:textId="77777777" w:rsidR="00E5750E" w:rsidRDefault="00256138">
      <w:pPr>
        <w:pStyle w:val="ListParagraph"/>
        <w:numPr>
          <w:ilvl w:val="0"/>
          <w:numId w:val="1"/>
        </w:numPr>
        <w:spacing w:line="360" w:lineRule="auto"/>
      </w:pPr>
      <w:r>
        <w:rPr>
          <w:rFonts w:hint="cs"/>
          <w:rtl/>
        </w:rPr>
        <w:t xml:space="preserve">בגזר הדין </w:t>
      </w:r>
      <w:hyperlink r:id="rId18" w:history="1">
        <w:r w:rsidRPr="00256138">
          <w:rPr>
            <w:color w:val="0000FF"/>
            <w:u w:val="single"/>
            <w:rtl/>
          </w:rPr>
          <w:t>ת.פ. 1765-11-14</w:t>
        </w:r>
      </w:hyperlink>
      <w:r>
        <w:rPr>
          <w:rFonts w:hint="cs"/>
          <w:rtl/>
        </w:rPr>
        <w:t xml:space="preserve"> נדון הנאשם חמיד קרינאוי, נעדר עבר פלילי, בגין קשירת קשר לרכוש תחמושת לרובה ציד בכמות של 6 חפיסות וכן התענין בנוגע לרכישת אקדח, כאשר </w:t>
      </w:r>
      <w:r>
        <w:rPr>
          <w:rFonts w:hint="cs"/>
          <w:u w:val="single"/>
          <w:rtl/>
        </w:rPr>
        <w:t>לא בוצעה כל רכישה בפועל</w:t>
      </w:r>
      <w:r>
        <w:rPr>
          <w:rFonts w:hint="cs"/>
          <w:rtl/>
        </w:rPr>
        <w:t xml:space="preserve">, </w:t>
      </w:r>
      <w:r>
        <w:rPr>
          <w:rFonts w:hint="cs"/>
          <w:u w:val="single"/>
          <w:rtl/>
        </w:rPr>
        <w:t>והנאשם שם לא נתפס מחזיק תחמושת כלשהי</w:t>
      </w:r>
      <w:r>
        <w:rPr>
          <w:rFonts w:hint="cs"/>
          <w:rtl/>
        </w:rPr>
        <w:t>, לעונש מאסר בן 6 חודשים לריצוי בדרך של עבודות שירות וכן עונש מאסר מותנה;</w:t>
      </w:r>
    </w:p>
    <w:p w14:paraId="3AA33681" w14:textId="77777777" w:rsidR="00E5750E" w:rsidRDefault="00256138">
      <w:pPr>
        <w:pStyle w:val="ListParagraph"/>
        <w:numPr>
          <w:ilvl w:val="0"/>
          <w:numId w:val="1"/>
        </w:numPr>
        <w:spacing w:line="360" w:lineRule="auto"/>
      </w:pPr>
      <w:r>
        <w:rPr>
          <w:rFonts w:hint="cs"/>
          <w:rtl/>
        </w:rPr>
        <w:t xml:space="preserve">בגזר הדין </w:t>
      </w:r>
      <w:hyperlink r:id="rId19" w:history="1">
        <w:r w:rsidRPr="00256138">
          <w:rPr>
            <w:color w:val="0000FF"/>
            <w:u w:val="single"/>
            <w:rtl/>
          </w:rPr>
          <w:t>ת.פ. 10621-11-14</w:t>
        </w:r>
      </w:hyperlink>
      <w:r>
        <w:rPr>
          <w:rFonts w:hint="cs"/>
          <w:rtl/>
        </w:rPr>
        <w:t xml:space="preserve"> נדון הנאשם אשר סיפק את התחמושת, אותו חליל אבו כף, לעונש מאסר בפועל בן 15 חודשים בצירוף מאסר מותנה וקנס בסך 15,000 ₪ בגין מכירת התחמושת לנאשם דנן וכן קשירת הקשר עם יתר המעורבים הנזכרים לעיל. </w:t>
      </w:r>
    </w:p>
    <w:p w14:paraId="226EC2AA" w14:textId="77777777" w:rsidR="00E5750E" w:rsidRDefault="00E5750E">
      <w:pPr>
        <w:spacing w:line="360" w:lineRule="auto"/>
        <w:rPr>
          <w:rtl/>
        </w:rPr>
      </w:pPr>
    </w:p>
    <w:p w14:paraId="0E2EB865" w14:textId="77777777" w:rsidR="00E5750E" w:rsidRDefault="00256138">
      <w:pPr>
        <w:spacing w:line="360" w:lineRule="auto"/>
        <w:rPr>
          <w:rtl/>
        </w:rPr>
      </w:pPr>
      <w:r>
        <w:rPr>
          <w:rFonts w:hint="cs"/>
          <w:rtl/>
        </w:rPr>
        <w:t xml:space="preserve">מבחינת מדרג החומרה, ברי, כי מצבו של הנאשם דנן, חמור משל שלושת המעורבים הראשונים שנזכרו, שכן, המעורבים רמזי אבו סריחאן וחמיד קרינאוי, הורשעו בגין עבירה של קשירת קשר לעוון בלבד, שלא באה לידי ביטויה בעולם המעשה, ואילו המעורב אחמד אבו בחירי, רכש כדור תחמושת בודד. </w:t>
      </w:r>
    </w:p>
    <w:p w14:paraId="3164BCDB" w14:textId="77777777" w:rsidR="00E5750E" w:rsidRDefault="00E5750E">
      <w:pPr>
        <w:spacing w:line="360" w:lineRule="auto"/>
        <w:rPr>
          <w:rtl/>
        </w:rPr>
      </w:pPr>
    </w:p>
    <w:p w14:paraId="00ADDFF3" w14:textId="77777777" w:rsidR="00E5750E" w:rsidRDefault="00256138">
      <w:pPr>
        <w:spacing w:line="360" w:lineRule="auto"/>
        <w:rPr>
          <w:rtl/>
        </w:rPr>
      </w:pPr>
      <w:r>
        <w:rPr>
          <w:rFonts w:hint="cs"/>
          <w:rtl/>
        </w:rPr>
        <w:t xml:space="preserve">מנגד, החומרה המיוחסת למעשיו של הנאשם, פחותה מזו של ספק התחמושת חליל אבו כף, הן משום שהנאשם רכש התחמושת ולא נתפס מעביר אותה לאחרים; והן משום שאותו חליל אבו כף פעל אל מול מספר מעורבים שונים. אשר לכמות התחמושת שהוחזקה על ידי הנאשם </w:t>
      </w:r>
      <w:r>
        <w:rPr>
          <w:rtl/>
        </w:rPr>
        <w:t>–</w:t>
      </w:r>
      <w:r>
        <w:rPr>
          <w:rFonts w:hint="cs"/>
          <w:rtl/>
        </w:rPr>
        <w:t xml:space="preserve"> היא דומה לכמות לגביה הורשע הנאשם חליל אבו כף, שכן בסופו של דבר, בעולם המעשה, אספקת התחמושת המשמעותית היתה לנאשם דנן בלבד, כאשר קיים מעורב נוסף לו סופק כדור אחד בודד. </w:t>
      </w:r>
    </w:p>
    <w:p w14:paraId="29751E35" w14:textId="77777777" w:rsidR="00E5750E" w:rsidRDefault="00E5750E">
      <w:pPr>
        <w:spacing w:line="360" w:lineRule="auto"/>
        <w:rPr>
          <w:rtl/>
        </w:rPr>
      </w:pPr>
    </w:p>
    <w:p w14:paraId="0D14A230" w14:textId="77777777" w:rsidR="00E5750E" w:rsidRDefault="00256138">
      <w:pPr>
        <w:spacing w:line="360" w:lineRule="auto"/>
        <w:rPr>
          <w:rtl/>
        </w:rPr>
      </w:pPr>
      <w:r>
        <w:rPr>
          <w:rFonts w:hint="cs"/>
          <w:rtl/>
        </w:rPr>
        <w:t xml:space="preserve">עולה מכל האמור, כי דינו של הנאשם יחתך מעבר לרף שנקבע בנוגע לרוכשים הפוטנציאליים הנוספים שלא מימשו רכישתם בפועל, שהחמור שביניהם נדון לעונש מאסר בן ששה חדשים לריצוי בדרך של עבודות שירות; ופחות מזה שנקבע לספק התחמושת, אשר נדון לחמישה עשר חדשי מאסר בפועל. </w:t>
      </w:r>
    </w:p>
    <w:p w14:paraId="6B9EBCA0" w14:textId="77777777" w:rsidR="00E5750E" w:rsidRDefault="00256138">
      <w:pPr>
        <w:bidi w:val="0"/>
      </w:pPr>
      <w:r>
        <w:rPr>
          <w:rtl/>
        </w:rPr>
        <w:br w:type="page"/>
      </w:r>
    </w:p>
    <w:p w14:paraId="43B73CA0" w14:textId="77777777" w:rsidR="00E5750E" w:rsidRDefault="00E5750E">
      <w:pPr>
        <w:spacing w:line="360" w:lineRule="auto"/>
        <w:rPr>
          <w:rtl/>
        </w:rPr>
      </w:pPr>
    </w:p>
    <w:p w14:paraId="679D96F8" w14:textId="77777777" w:rsidR="00E5750E" w:rsidRDefault="00256138">
      <w:pPr>
        <w:spacing w:line="360" w:lineRule="auto"/>
        <w:rPr>
          <w:b/>
          <w:bCs/>
          <w:rtl/>
        </w:rPr>
      </w:pPr>
      <w:r>
        <w:rPr>
          <w:rFonts w:hint="cs"/>
          <w:b/>
          <w:bCs/>
          <w:rtl/>
        </w:rPr>
        <w:t>סיכום</w:t>
      </w:r>
    </w:p>
    <w:p w14:paraId="23B5A7EC" w14:textId="77777777" w:rsidR="00E5750E" w:rsidRDefault="00E5750E">
      <w:pPr>
        <w:spacing w:line="360" w:lineRule="auto"/>
        <w:rPr>
          <w:b/>
          <w:bCs/>
          <w:rtl/>
        </w:rPr>
      </w:pPr>
    </w:p>
    <w:p w14:paraId="0AF7DDEE" w14:textId="77777777" w:rsidR="00E5750E" w:rsidRDefault="00256138">
      <w:pPr>
        <w:spacing w:line="360" w:lineRule="auto"/>
      </w:pPr>
      <w:r>
        <w:rPr>
          <w:rFonts w:hint="cs"/>
          <w:rtl/>
        </w:rPr>
        <w:t xml:space="preserve">לאחר שבית המשפט בחן את מכלול הטענות והשיקולים לרבות מדרג הענישה בין המעורבים השונים, ותוך שימת הדגש על עקרונות ההלימה והרתעת הרבים, גוזר בית המשפט על הנאשם הענשים הבאים: </w:t>
      </w:r>
    </w:p>
    <w:p w14:paraId="6209BB17" w14:textId="77777777" w:rsidR="00E5750E" w:rsidRDefault="00E5750E">
      <w:pPr>
        <w:spacing w:line="360" w:lineRule="auto"/>
        <w:rPr>
          <w:rtl/>
        </w:rPr>
      </w:pPr>
    </w:p>
    <w:p w14:paraId="2A5B5413" w14:textId="77777777" w:rsidR="00E5750E" w:rsidRDefault="00256138">
      <w:pPr>
        <w:spacing w:line="360" w:lineRule="auto"/>
        <w:rPr>
          <w:rtl/>
        </w:rPr>
      </w:pPr>
      <w:r>
        <w:rPr>
          <w:rFonts w:hint="cs"/>
          <w:rtl/>
        </w:rPr>
        <w:t>א.</w:t>
      </w:r>
      <w:r>
        <w:rPr>
          <w:rFonts w:hint="cs"/>
          <w:rtl/>
        </w:rPr>
        <w:tab/>
        <w:t>10 חודשי מאסר לריצוי בפועל, בניכוי ימי מעצרו בגין תיק זה בהתאם לרישומי שב"ס;</w:t>
      </w:r>
    </w:p>
    <w:p w14:paraId="0CB513E7" w14:textId="77777777" w:rsidR="00E5750E" w:rsidRDefault="00256138">
      <w:pPr>
        <w:ind w:left="720" w:hanging="720"/>
        <w:rPr>
          <w:rtl/>
        </w:rPr>
      </w:pPr>
      <w:r>
        <w:rPr>
          <w:rFonts w:hint="cs"/>
          <w:rtl/>
        </w:rPr>
        <w:t>ב.</w:t>
      </w:r>
      <w:r>
        <w:rPr>
          <w:rFonts w:hint="cs"/>
          <w:rtl/>
        </w:rPr>
        <w:tab/>
        <w:t xml:space="preserve">12 חודשי מאסר על תנאי למשך 3 שנים מיום שחרורו של הנאשם ממאסרו, והתנאי </w:t>
      </w:r>
      <w:r>
        <w:rPr>
          <w:rtl/>
        </w:rPr>
        <w:t>–</w:t>
      </w:r>
      <w:r>
        <w:rPr>
          <w:rFonts w:hint="cs"/>
          <w:rtl/>
        </w:rPr>
        <w:t xml:space="preserve"> שהנאשם לא יעבור עבירה מסוג פשע בניגוד </w:t>
      </w:r>
      <w:r>
        <w:rPr>
          <w:rFonts w:ascii="Calibri" w:hAnsi="Calibri" w:hint="cs"/>
          <w:rtl/>
        </w:rPr>
        <w:t>ל</w:t>
      </w:r>
      <w:hyperlink r:id="rId20" w:history="1">
        <w:r w:rsidRPr="00256138">
          <w:rPr>
            <w:rFonts w:ascii="Calibri" w:hAnsi="Calibri" w:hint="eastAsia"/>
            <w:color w:val="0000FF"/>
            <w:u w:val="single"/>
            <w:rtl/>
          </w:rPr>
          <w:t>חוק</w:t>
        </w:r>
        <w:r w:rsidRPr="00256138">
          <w:rPr>
            <w:rFonts w:ascii="Calibri" w:hAnsi="Calibri"/>
            <w:color w:val="0000FF"/>
            <w:u w:val="single"/>
            <w:rtl/>
          </w:rPr>
          <w:t xml:space="preserve"> </w:t>
        </w:r>
        <w:r w:rsidRPr="00256138">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hint="cs"/>
          <w:rtl/>
        </w:rPr>
        <w:t xml:space="preserve"> </w:t>
      </w:r>
      <w:r>
        <w:rPr>
          <w:rFonts w:ascii="Calibri" w:hAnsi="Calibri"/>
          <w:rtl/>
        </w:rPr>
        <w:t>–</w:t>
      </w:r>
      <w:r>
        <w:rPr>
          <w:rFonts w:ascii="Calibri" w:hAnsi="Calibri" w:hint="cs"/>
          <w:rtl/>
        </w:rPr>
        <w:t xml:space="preserve"> </w:t>
      </w:r>
      <w:r>
        <w:rPr>
          <w:rFonts w:ascii="Calibri" w:hAnsi="Calibri"/>
          <w:rtl/>
        </w:rPr>
        <w:t>197</w:t>
      </w:r>
      <w:r>
        <w:rPr>
          <w:rFonts w:ascii="Calibri" w:hAnsi="Calibri" w:hint="cs"/>
          <w:rtl/>
        </w:rPr>
        <w:t xml:space="preserve">7, </w:t>
      </w:r>
      <w:hyperlink r:id="rId21" w:history="1">
        <w:r w:rsidR="008F55C1" w:rsidRPr="008F55C1">
          <w:rPr>
            <w:color w:val="0000FF"/>
            <w:u w:val="single"/>
            <w:rtl/>
          </w:rPr>
          <w:t>סעיף 144</w:t>
        </w:r>
      </w:hyperlink>
      <w:r>
        <w:rPr>
          <w:rFonts w:hint="cs"/>
          <w:rtl/>
        </w:rPr>
        <w:t>;</w:t>
      </w:r>
    </w:p>
    <w:p w14:paraId="19C944D6" w14:textId="77777777" w:rsidR="00E5750E" w:rsidRDefault="00E5750E">
      <w:pPr>
        <w:ind w:left="720" w:hanging="720"/>
        <w:rPr>
          <w:rtl/>
        </w:rPr>
      </w:pPr>
    </w:p>
    <w:p w14:paraId="596276E5" w14:textId="77777777" w:rsidR="00E5750E" w:rsidRDefault="00256138">
      <w:pPr>
        <w:ind w:left="720" w:hanging="720"/>
        <w:rPr>
          <w:rtl/>
        </w:rPr>
      </w:pPr>
      <w:r>
        <w:rPr>
          <w:rFonts w:hint="cs"/>
          <w:rtl/>
        </w:rPr>
        <w:t>ג.</w:t>
      </w:r>
      <w:r>
        <w:rPr>
          <w:rtl/>
        </w:rPr>
        <w:tab/>
      </w:r>
      <w:r>
        <w:rPr>
          <w:rFonts w:hint="cs"/>
          <w:rtl/>
        </w:rPr>
        <w:t xml:space="preserve">7 חודשי מאסר על תנאי למשך 3 שנים מיום שחרורו של הנאשם ממאסרו, והתנאי </w:t>
      </w:r>
      <w:r>
        <w:rPr>
          <w:rtl/>
        </w:rPr>
        <w:t>–</w:t>
      </w:r>
      <w:r>
        <w:rPr>
          <w:rFonts w:hint="cs"/>
          <w:rtl/>
        </w:rPr>
        <w:t xml:space="preserve"> שהנאשם לא יעבור עבירה מסוג עוון  בניגוד </w:t>
      </w:r>
      <w:r>
        <w:rPr>
          <w:rFonts w:ascii="Calibri" w:hAnsi="Calibri" w:hint="cs"/>
          <w:rtl/>
        </w:rPr>
        <w:t>ל</w:t>
      </w:r>
      <w:hyperlink r:id="rId22" w:history="1">
        <w:r w:rsidRPr="00256138">
          <w:rPr>
            <w:rFonts w:ascii="Calibri" w:hAnsi="Calibri" w:hint="eastAsia"/>
            <w:color w:val="0000FF"/>
            <w:u w:val="single"/>
            <w:rtl/>
          </w:rPr>
          <w:t>חוק</w:t>
        </w:r>
        <w:r w:rsidRPr="00256138">
          <w:rPr>
            <w:rFonts w:ascii="Calibri" w:hAnsi="Calibri"/>
            <w:color w:val="0000FF"/>
            <w:u w:val="single"/>
            <w:rtl/>
          </w:rPr>
          <w:t xml:space="preserve"> </w:t>
        </w:r>
        <w:r w:rsidRPr="00256138">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hint="cs"/>
          <w:rtl/>
        </w:rPr>
        <w:t xml:space="preserve"> </w:t>
      </w:r>
      <w:r>
        <w:rPr>
          <w:rFonts w:ascii="Calibri" w:hAnsi="Calibri"/>
          <w:rtl/>
        </w:rPr>
        <w:t>–</w:t>
      </w:r>
      <w:r>
        <w:rPr>
          <w:rFonts w:ascii="Calibri" w:hAnsi="Calibri" w:hint="cs"/>
          <w:rtl/>
        </w:rPr>
        <w:t xml:space="preserve"> </w:t>
      </w:r>
      <w:r>
        <w:rPr>
          <w:rFonts w:ascii="Calibri" w:hAnsi="Calibri"/>
          <w:rtl/>
        </w:rPr>
        <w:t>197</w:t>
      </w:r>
      <w:r>
        <w:rPr>
          <w:rFonts w:ascii="Calibri" w:hAnsi="Calibri" w:hint="cs"/>
          <w:rtl/>
        </w:rPr>
        <w:t xml:space="preserve">7, </w:t>
      </w:r>
      <w:hyperlink r:id="rId23" w:history="1">
        <w:r w:rsidR="008F55C1" w:rsidRPr="008F55C1">
          <w:rPr>
            <w:color w:val="0000FF"/>
            <w:u w:val="single"/>
            <w:rtl/>
          </w:rPr>
          <w:t>סעיף 144</w:t>
        </w:r>
      </w:hyperlink>
      <w:r>
        <w:rPr>
          <w:rFonts w:hint="cs"/>
          <w:rtl/>
        </w:rPr>
        <w:t xml:space="preserve">; או עבירה כלשהי בניגוד </w:t>
      </w:r>
      <w:hyperlink r:id="rId24" w:history="1">
        <w:r w:rsidR="008F55C1" w:rsidRPr="008F55C1">
          <w:rPr>
            <w:color w:val="0000FF"/>
            <w:u w:val="single"/>
            <w:rtl/>
          </w:rPr>
          <w:t>לסעיף 186</w:t>
        </w:r>
      </w:hyperlink>
      <w:r>
        <w:rPr>
          <w:rFonts w:hint="cs"/>
          <w:rtl/>
        </w:rPr>
        <w:t xml:space="preserve"> לאותו חוק;</w:t>
      </w:r>
    </w:p>
    <w:p w14:paraId="31780F07" w14:textId="77777777" w:rsidR="00E5750E" w:rsidRDefault="00E5750E">
      <w:pPr>
        <w:ind w:left="720" w:hanging="720"/>
        <w:rPr>
          <w:rtl/>
        </w:rPr>
      </w:pPr>
    </w:p>
    <w:p w14:paraId="65E53F3B" w14:textId="77777777" w:rsidR="00E5750E" w:rsidRDefault="00256138">
      <w:pPr>
        <w:ind w:left="720" w:hanging="720"/>
        <w:rPr>
          <w:rtl/>
        </w:rPr>
      </w:pPr>
      <w:r>
        <w:rPr>
          <w:rFonts w:hint="cs"/>
          <w:rtl/>
        </w:rPr>
        <w:t>ד.</w:t>
      </w:r>
      <w:r>
        <w:rPr>
          <w:rFonts w:hint="cs"/>
          <w:rtl/>
        </w:rPr>
        <w:tab/>
        <w:t>קנס בסך 10,000 ₪ או 90 ימי מאסר תמורתו.</w:t>
      </w:r>
    </w:p>
    <w:p w14:paraId="26B7A369" w14:textId="77777777" w:rsidR="00E5750E" w:rsidRDefault="00E5750E">
      <w:pPr>
        <w:ind w:left="720" w:hanging="720"/>
        <w:rPr>
          <w:rtl/>
        </w:rPr>
      </w:pPr>
    </w:p>
    <w:p w14:paraId="6E04B8FA" w14:textId="77777777" w:rsidR="00E5750E" w:rsidRDefault="00256138">
      <w:pPr>
        <w:ind w:left="720" w:hanging="720"/>
        <w:rPr>
          <w:rtl/>
        </w:rPr>
      </w:pPr>
      <w:r>
        <w:rPr>
          <w:rFonts w:hint="cs"/>
          <w:rtl/>
        </w:rPr>
        <w:t>הנאשם יאסר כעת.</w:t>
      </w:r>
    </w:p>
    <w:p w14:paraId="463933C0" w14:textId="77777777" w:rsidR="00E5750E" w:rsidRDefault="00E5750E">
      <w:pPr>
        <w:ind w:left="720" w:hanging="720"/>
        <w:rPr>
          <w:rtl/>
        </w:rPr>
      </w:pPr>
    </w:p>
    <w:p w14:paraId="1B831A01" w14:textId="77777777" w:rsidR="00E5750E" w:rsidRDefault="00256138">
      <w:pPr>
        <w:ind w:left="720" w:hanging="720"/>
        <w:rPr>
          <w:rtl/>
        </w:rPr>
      </w:pPr>
      <w:r w:rsidRPr="00256138">
        <w:rPr>
          <w:color w:val="FFFFFF"/>
          <w:sz w:val="2"/>
          <w:szCs w:val="2"/>
          <w:rtl/>
        </w:rPr>
        <w:t>5129371</w:t>
      </w:r>
      <w:r>
        <w:rPr>
          <w:rFonts w:hint="cs"/>
          <w:rtl/>
        </w:rPr>
        <w:t xml:space="preserve">הודעה זכות הערעור. </w:t>
      </w:r>
    </w:p>
    <w:p w14:paraId="0F895642" w14:textId="77777777" w:rsidR="00E5750E" w:rsidRPr="00256138" w:rsidRDefault="00256138">
      <w:pPr>
        <w:ind w:left="720" w:hanging="720"/>
        <w:rPr>
          <w:color w:val="FFFFFF"/>
          <w:sz w:val="2"/>
          <w:szCs w:val="2"/>
          <w:rtl/>
        </w:rPr>
      </w:pPr>
      <w:r w:rsidRPr="00256138">
        <w:rPr>
          <w:color w:val="FFFFFF"/>
          <w:sz w:val="2"/>
          <w:szCs w:val="2"/>
          <w:rtl/>
        </w:rPr>
        <w:t>54678313</w:t>
      </w:r>
    </w:p>
    <w:p w14:paraId="22BED6CE" w14:textId="77777777" w:rsidR="00E5750E" w:rsidRDefault="00E5750E">
      <w:pPr>
        <w:spacing w:line="360" w:lineRule="auto"/>
        <w:jc w:val="both"/>
        <w:rPr>
          <w:rFonts w:ascii="Arial" w:hAnsi="Arial"/>
          <w:rtl/>
        </w:rPr>
      </w:pPr>
    </w:p>
    <w:p w14:paraId="0E43527D" w14:textId="77777777" w:rsidR="00E5750E" w:rsidRDefault="00256138">
      <w:pPr>
        <w:spacing w:line="360" w:lineRule="auto"/>
        <w:jc w:val="both"/>
        <w:rPr>
          <w:rFonts w:ascii="Arial" w:hAnsi="Arial"/>
          <w:rtl/>
        </w:rPr>
      </w:pPr>
      <w:r>
        <w:rPr>
          <w:rFonts w:ascii="Arial" w:hAnsi="Arial"/>
          <w:b/>
          <w:bCs/>
          <w:rtl/>
        </w:rPr>
        <w:t xml:space="preserve">ניתן היום, ד' טבת תשע"ו, 16 דצמבר 2015, במעמד הצדדים. </w:t>
      </w:r>
    </w:p>
    <w:p w14:paraId="47C03AFC" w14:textId="77777777" w:rsidR="00E5750E" w:rsidRDefault="00E5750E">
      <w:pPr>
        <w:spacing w:line="360" w:lineRule="auto"/>
        <w:ind w:left="3600" w:firstLine="720"/>
        <w:jc w:val="center"/>
      </w:pPr>
    </w:p>
    <w:p w14:paraId="34A3AA84" w14:textId="77777777" w:rsidR="00E5750E" w:rsidRPr="008F55C1" w:rsidRDefault="008F55C1">
      <w:pPr>
        <w:spacing w:line="360" w:lineRule="auto"/>
        <w:ind w:left="3600" w:firstLine="720"/>
        <w:jc w:val="center"/>
        <w:rPr>
          <w:rFonts w:ascii="Arial" w:hAnsi="Arial"/>
          <w:color w:val="FFFFFF"/>
          <w:sz w:val="2"/>
          <w:szCs w:val="2"/>
          <w:rtl/>
        </w:rPr>
      </w:pPr>
      <w:r w:rsidRPr="008F55C1">
        <w:rPr>
          <w:rFonts w:ascii="Arial" w:hAnsi="Arial"/>
          <w:color w:val="FFFFFF"/>
          <w:sz w:val="2"/>
          <w:szCs w:val="2"/>
          <w:rtl/>
        </w:rPr>
        <w:t>5129371</w:t>
      </w:r>
    </w:p>
    <w:p w14:paraId="05D1630C" w14:textId="77777777" w:rsidR="00256138" w:rsidRPr="008F55C1" w:rsidRDefault="008F55C1" w:rsidP="00256138">
      <w:pPr>
        <w:keepNext/>
        <w:rPr>
          <w:rFonts w:ascii="David" w:hAnsi="David"/>
          <w:color w:val="FFFFFF"/>
          <w:sz w:val="2"/>
          <w:szCs w:val="2"/>
          <w:rtl/>
        </w:rPr>
      </w:pPr>
      <w:r w:rsidRPr="008F55C1">
        <w:rPr>
          <w:rFonts w:ascii="David" w:hAnsi="David"/>
          <w:color w:val="FFFFFF"/>
          <w:sz w:val="2"/>
          <w:szCs w:val="2"/>
          <w:rtl/>
        </w:rPr>
        <w:t>54678313</w:t>
      </w:r>
    </w:p>
    <w:p w14:paraId="4CD175B6" w14:textId="77777777" w:rsidR="00256138" w:rsidRDefault="00256138" w:rsidP="00256138">
      <w:r w:rsidRPr="00256138">
        <w:rPr>
          <w:color w:val="000000"/>
          <w:rtl/>
        </w:rPr>
        <w:t>נוסח מסמך זה כפוף לשינויי ניסוח ועריכה</w:t>
      </w:r>
    </w:p>
    <w:p w14:paraId="1A9DA35B" w14:textId="77777777" w:rsidR="00256138" w:rsidRDefault="00256138" w:rsidP="00256138">
      <w:pPr>
        <w:rPr>
          <w:rtl/>
        </w:rPr>
      </w:pPr>
    </w:p>
    <w:p w14:paraId="2C90A48A" w14:textId="77777777" w:rsidR="00256138" w:rsidRDefault="00256138" w:rsidP="00256138">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4050ABD" w14:textId="77777777" w:rsidR="008F55C1" w:rsidRPr="008F55C1" w:rsidRDefault="008F55C1" w:rsidP="008F55C1">
      <w:pPr>
        <w:keepNext/>
        <w:rPr>
          <w:rFonts w:ascii="David" w:hAnsi="David"/>
          <w:color w:val="000000"/>
          <w:sz w:val="22"/>
          <w:szCs w:val="22"/>
          <w:rtl/>
        </w:rPr>
      </w:pPr>
    </w:p>
    <w:p w14:paraId="1079CEE1" w14:textId="77777777" w:rsidR="008F55C1" w:rsidRDefault="008F55C1" w:rsidP="008F55C1">
      <w:pPr>
        <w:keepNext/>
        <w:rPr>
          <w:rFonts w:ascii="David" w:hAnsi="David" w:hint="cs"/>
          <w:color w:val="000000"/>
          <w:sz w:val="22"/>
          <w:szCs w:val="22"/>
          <w:rtl/>
        </w:rPr>
      </w:pPr>
      <w:r w:rsidRPr="008F55C1">
        <w:rPr>
          <w:rFonts w:ascii="David" w:hAnsi="David"/>
          <w:color w:val="000000"/>
          <w:sz w:val="22"/>
          <w:szCs w:val="22"/>
          <w:rtl/>
        </w:rPr>
        <w:t>רון סולקין 54678313-/</w:t>
      </w:r>
    </w:p>
    <w:p w14:paraId="2C023587" w14:textId="77777777" w:rsidR="005F4AB6" w:rsidRPr="008F55C1" w:rsidRDefault="005F4AB6" w:rsidP="008F55C1">
      <w:pPr>
        <w:keepNext/>
        <w:rPr>
          <w:rFonts w:ascii="David" w:hAnsi="David"/>
          <w:color w:val="000000"/>
          <w:sz w:val="22"/>
          <w:szCs w:val="22"/>
          <w:rtl/>
        </w:rPr>
      </w:pPr>
    </w:p>
    <w:sectPr w:rsidR="005F4AB6" w:rsidRPr="008F55C1" w:rsidSect="008F55C1">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24EBA" w14:textId="77777777" w:rsidR="000F79FD" w:rsidRDefault="000F79FD">
      <w:r>
        <w:separator/>
      </w:r>
    </w:p>
  </w:endnote>
  <w:endnote w:type="continuationSeparator" w:id="0">
    <w:p w14:paraId="47656A76" w14:textId="77777777" w:rsidR="000F79FD" w:rsidRDefault="000F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0C0AD" w14:textId="77777777" w:rsidR="00894B9C" w:rsidRDefault="00894B9C" w:rsidP="008F55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BC52D6" w14:textId="77777777" w:rsidR="00894B9C" w:rsidRPr="008F55C1" w:rsidRDefault="00894B9C" w:rsidP="008F55C1">
    <w:pPr>
      <w:pStyle w:val="a5"/>
      <w:pBdr>
        <w:top w:val="single" w:sz="4" w:space="1" w:color="auto"/>
        <w:between w:val="single" w:sz="4" w:space="0" w:color="auto"/>
      </w:pBdr>
      <w:spacing w:after="60"/>
      <w:jc w:val="center"/>
      <w:rPr>
        <w:rFonts w:ascii="FrankRuehl" w:hAnsi="FrankRuehl" w:cs="FrankRuehl"/>
        <w:color w:val="000000"/>
      </w:rPr>
    </w:pPr>
    <w:r w:rsidRPr="008F55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400B8" w14:textId="77777777" w:rsidR="00894B9C" w:rsidRDefault="00894B9C" w:rsidP="008F55C1">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8B2FA6">
      <w:rPr>
        <w:rStyle w:val="a6"/>
        <w:rFonts w:ascii="FrankRuehl" w:hAnsi="FrankRuehl" w:cs="FrankRuehl"/>
        <w:noProof/>
        <w:rtl/>
      </w:rPr>
      <w:t>1</w:t>
    </w:r>
    <w:r>
      <w:rPr>
        <w:rStyle w:val="a6"/>
        <w:rFonts w:ascii="FrankRuehl" w:hAnsi="FrankRuehl" w:cs="FrankRuehl"/>
        <w:rtl/>
      </w:rPr>
      <w:fldChar w:fldCharType="end"/>
    </w:r>
  </w:p>
  <w:p w14:paraId="7ADC90B8" w14:textId="77777777" w:rsidR="00894B9C" w:rsidRPr="008F55C1" w:rsidRDefault="00894B9C" w:rsidP="008F55C1">
    <w:pPr>
      <w:pStyle w:val="a5"/>
      <w:pBdr>
        <w:top w:val="single" w:sz="4" w:space="1" w:color="auto"/>
        <w:between w:val="single" w:sz="4" w:space="0" w:color="auto"/>
      </w:pBdr>
      <w:spacing w:after="60"/>
      <w:jc w:val="center"/>
      <w:rPr>
        <w:rStyle w:val="a6"/>
        <w:rFonts w:ascii="FrankRuehl" w:hAnsi="FrankRuehl" w:cs="FrankRuehl" w:hint="cs"/>
        <w:color w:val="000000"/>
      </w:rPr>
    </w:pPr>
    <w:r w:rsidRPr="008F55C1">
      <w:rPr>
        <w:rStyle w:val="a6"/>
        <w:rFonts w:ascii="FrankRuehl" w:hAnsi="FrankRuehl" w:cs="FrankRuehl" w:hint="cs"/>
        <w:color w:val="000000"/>
      </w:rPr>
      <w:pict w14:anchorId="6C06A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FD51E" w14:textId="77777777" w:rsidR="000F79FD" w:rsidRDefault="000F79FD">
      <w:r>
        <w:separator/>
      </w:r>
    </w:p>
  </w:footnote>
  <w:footnote w:type="continuationSeparator" w:id="0">
    <w:p w14:paraId="56C84FE8" w14:textId="77777777" w:rsidR="000F79FD" w:rsidRDefault="000F7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AF5B" w14:textId="77777777" w:rsidR="00894B9C" w:rsidRPr="008F55C1" w:rsidRDefault="00894B9C" w:rsidP="008F55C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1795-11-14</w:t>
    </w:r>
    <w:r>
      <w:rPr>
        <w:rFonts w:ascii="David" w:hAnsi="David"/>
        <w:color w:val="000000"/>
        <w:sz w:val="22"/>
        <w:szCs w:val="22"/>
        <w:rtl/>
      </w:rPr>
      <w:tab/>
      <w:t xml:space="preserve"> מדינת ישראל  נ' אסמעיל בן כאיד אלאעסם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02D69" w14:textId="77777777" w:rsidR="00894B9C" w:rsidRPr="008F55C1" w:rsidRDefault="00894B9C" w:rsidP="008F55C1">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1795-11-14</w:t>
    </w:r>
    <w:r>
      <w:rPr>
        <w:rFonts w:ascii="David" w:hAnsi="David"/>
        <w:color w:val="000000"/>
        <w:sz w:val="22"/>
        <w:szCs w:val="22"/>
        <w:rtl/>
      </w:rPr>
      <w:tab/>
      <w:t xml:space="preserve"> מדינת ישראל  נ' אסמעיל בן כאיד אלאעסם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A2BEB"/>
    <w:multiLevelType w:val="hybridMultilevel"/>
    <w:tmpl w:val="6A32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F721E"/>
    <w:multiLevelType w:val="hybridMultilevel"/>
    <w:tmpl w:val="CDAA9D24"/>
    <w:lvl w:ilvl="0" w:tplc="E96A0674">
      <w:start w:val="16"/>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861866">
    <w:abstractNumId w:val="0"/>
  </w:num>
  <w:num w:numId="2" w16cid:durableId="786897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750E"/>
    <w:rsid w:val="000F79FD"/>
    <w:rsid w:val="00220BE8"/>
    <w:rsid w:val="00256138"/>
    <w:rsid w:val="005F4AB6"/>
    <w:rsid w:val="00894B9C"/>
    <w:rsid w:val="008B2FA6"/>
    <w:rsid w:val="008F55C1"/>
    <w:rsid w:val="00A640CA"/>
    <w:rsid w:val="00A72974"/>
    <w:rsid w:val="00B32958"/>
    <w:rsid w:val="00BD2C14"/>
    <w:rsid w:val="00E575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E58742"/>
  <w15:chartTrackingRefBased/>
  <w15:docId w15:val="{83C63E7E-9ACB-4D4D-9FB8-E1A4A235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750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5750E"/>
  </w:style>
  <w:style w:type="paragraph" w:styleId="a4">
    <w:name w:val="header"/>
    <w:basedOn w:val="a"/>
    <w:rsid w:val="00E5750E"/>
    <w:pPr>
      <w:tabs>
        <w:tab w:val="center" w:pos="4153"/>
        <w:tab w:val="right" w:pos="8306"/>
      </w:tabs>
    </w:pPr>
  </w:style>
  <w:style w:type="paragraph" w:styleId="a5">
    <w:name w:val="footer"/>
    <w:basedOn w:val="a"/>
    <w:rsid w:val="00E5750E"/>
    <w:pPr>
      <w:tabs>
        <w:tab w:val="center" w:pos="4153"/>
        <w:tab w:val="right" w:pos="8306"/>
      </w:tabs>
    </w:pPr>
  </w:style>
  <w:style w:type="character" w:styleId="a6">
    <w:name w:val="page number"/>
    <w:rsid w:val="00E5750E"/>
    <w:rPr>
      <w:noProof w:val="0"/>
    </w:rPr>
  </w:style>
  <w:style w:type="paragraph" w:customStyle="1" w:styleId="ListParagraph">
    <w:name w:val="List Paragraph"/>
    <w:basedOn w:val="a"/>
    <w:rsid w:val="00E5750E"/>
    <w:pPr>
      <w:ind w:left="720"/>
      <w:contextualSpacing/>
    </w:pPr>
  </w:style>
  <w:style w:type="character" w:styleId="Hyperlink">
    <w:name w:val="Hyperlink"/>
    <w:rsid w:val="00256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499.a.2" TargetMode="External"/><Relationship Id="rId18" Type="http://schemas.openxmlformats.org/officeDocument/2006/relationships/hyperlink" Target="http://www.nevo.co.il/case/18122151"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144" TargetMode="External"/><Relationship Id="rId7" Type="http://schemas.openxmlformats.org/officeDocument/2006/relationships/hyperlink" Target="http://www.nevo.co.il/case/18122191" TargetMode="External"/><Relationship Id="rId12" Type="http://schemas.openxmlformats.org/officeDocument/2006/relationships/hyperlink" Target="http://www.nevo.co.il/law/70301/499.a.2" TargetMode="External"/><Relationship Id="rId17" Type="http://schemas.openxmlformats.org/officeDocument/2006/relationships/hyperlink" Target="http://www.nevo.co.il/case/18122167"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18665839" TargetMode="External"/><Relationship Id="rId20" Type="http://schemas.openxmlformats.org/officeDocument/2006/relationships/hyperlink" Target="http://www.nevo.co.il/law/70301"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186" TargetMode="Externa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144" TargetMode="External"/><Relationship Id="rId28"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1813297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2411</Words>
  <Characters>12055</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14438</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7143524</vt:i4>
      </vt:variant>
      <vt:variant>
        <vt:i4>51</vt:i4>
      </vt:variant>
      <vt:variant>
        <vt:i4>0</vt:i4>
      </vt:variant>
      <vt:variant>
        <vt:i4>5</vt:i4>
      </vt:variant>
      <vt:variant>
        <vt:lpwstr>http://www.nevo.co.il/law/70301/186</vt:lpwstr>
      </vt:variant>
      <vt:variant>
        <vt:lpwstr/>
      </vt:variant>
      <vt:variant>
        <vt:i4>6357092</vt:i4>
      </vt:variant>
      <vt:variant>
        <vt:i4>48</vt:i4>
      </vt:variant>
      <vt:variant>
        <vt:i4>0</vt:i4>
      </vt:variant>
      <vt:variant>
        <vt:i4>5</vt:i4>
      </vt:variant>
      <vt:variant>
        <vt:lpwstr>http://www.nevo.co.il/law/70301/144</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3473526</vt:i4>
      </vt:variant>
      <vt:variant>
        <vt:i4>36</vt:i4>
      </vt:variant>
      <vt:variant>
        <vt:i4>0</vt:i4>
      </vt:variant>
      <vt:variant>
        <vt:i4>5</vt:i4>
      </vt:variant>
      <vt:variant>
        <vt:lpwstr>http://www.nevo.co.il/case/18132970</vt:lpwstr>
      </vt:variant>
      <vt:variant>
        <vt:lpwstr/>
      </vt:variant>
      <vt:variant>
        <vt:i4>3604607</vt:i4>
      </vt:variant>
      <vt:variant>
        <vt:i4>33</vt:i4>
      </vt:variant>
      <vt:variant>
        <vt:i4>0</vt:i4>
      </vt:variant>
      <vt:variant>
        <vt:i4>5</vt:i4>
      </vt:variant>
      <vt:variant>
        <vt:lpwstr>http://www.nevo.co.il/case/18122151</vt:lpwstr>
      </vt:variant>
      <vt:variant>
        <vt:lpwstr/>
      </vt:variant>
      <vt:variant>
        <vt:i4>3407999</vt:i4>
      </vt:variant>
      <vt:variant>
        <vt:i4>30</vt:i4>
      </vt:variant>
      <vt:variant>
        <vt:i4>0</vt:i4>
      </vt:variant>
      <vt:variant>
        <vt:i4>5</vt:i4>
      </vt:variant>
      <vt:variant>
        <vt:lpwstr>http://www.nevo.co.il/case/18122167</vt:lpwstr>
      </vt:variant>
      <vt:variant>
        <vt:lpwstr/>
      </vt:variant>
      <vt:variant>
        <vt:i4>3211378</vt:i4>
      </vt:variant>
      <vt:variant>
        <vt:i4>27</vt:i4>
      </vt:variant>
      <vt:variant>
        <vt:i4>0</vt:i4>
      </vt:variant>
      <vt:variant>
        <vt:i4>5</vt:i4>
      </vt:variant>
      <vt:variant>
        <vt:lpwstr>http://www.nevo.co.il/case/18665839</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7077945</vt:i4>
      </vt:variant>
      <vt:variant>
        <vt:i4>18</vt:i4>
      </vt:variant>
      <vt:variant>
        <vt:i4>0</vt:i4>
      </vt:variant>
      <vt:variant>
        <vt:i4>5</vt:i4>
      </vt:variant>
      <vt:variant>
        <vt:lpwstr>http://www.nevo.co.il/law/70301/499.a.2</vt:lpwstr>
      </vt:variant>
      <vt:variant>
        <vt:lpwstr/>
      </vt:variant>
      <vt:variant>
        <vt:i4>7077945</vt:i4>
      </vt:variant>
      <vt:variant>
        <vt:i4>15</vt:i4>
      </vt:variant>
      <vt:variant>
        <vt:i4>0</vt:i4>
      </vt:variant>
      <vt:variant>
        <vt:i4>5</vt:i4>
      </vt:variant>
      <vt:variant>
        <vt:lpwstr>http://www.nevo.co.il/law/70301/499.a.2</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3866751</vt:i4>
      </vt:variant>
      <vt:variant>
        <vt:i4>0</vt:i4>
      </vt:variant>
      <vt:variant>
        <vt:i4>0</vt:i4>
      </vt:variant>
      <vt:variant>
        <vt:i4>5</vt:i4>
      </vt:variant>
      <vt:variant>
        <vt:lpwstr>http://www.nevo.co.il/case/18122191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1795</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אסמעיל בן כאיד אלאעסם</vt:lpwstr>
  </property>
  <property fmtid="{D5CDD505-2E9C-101B-9397-08002B2CF9AE}" pid="10" name="LAWYER">
    <vt:lpwstr>אורי בן נתן;ענבל ברסאנו; מרואן מנסור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20151216</vt:lpwstr>
  </property>
  <property fmtid="{D5CDD505-2E9C-101B-9397-08002B2CF9AE}" pid="14" name="TYPE_N_DATE">
    <vt:lpwstr>38020151216</vt:lpwstr>
  </property>
  <property fmtid="{D5CDD505-2E9C-101B-9397-08002B2CF9AE}" pid="15" name="CASESLISTTMP1">
    <vt:lpwstr>18122191;18665839;18122167;18122151;18132970</vt:lpwstr>
  </property>
  <property fmtid="{D5CDD505-2E9C-101B-9397-08002B2CF9AE}" pid="16" name="WORDNUMPAGES">
    <vt:lpwstr>9</vt:lpwstr>
  </property>
  <property fmtid="{D5CDD505-2E9C-101B-9397-08002B2CF9AE}" pid="17" name="TYPE_ABS_DATE">
    <vt:lpwstr>380020151216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70301/499.a.2;144.a;144:2;186</vt:lpwstr>
  </property>
</Properties>
</file>