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E5EA7" w:rsidRPr="008D748B" w14:paraId="650F48B8" w14:textId="77777777">
        <w:trPr>
          <w:trHeight w:hRule="exact" w:val="418"/>
          <w:jc w:val="center"/>
        </w:trPr>
        <w:tc>
          <w:tcPr>
            <w:tcW w:w="8720" w:type="dxa"/>
            <w:gridSpan w:val="3"/>
          </w:tcPr>
          <w:p w14:paraId="356E5713" w14:textId="77777777" w:rsidR="001E5EA7" w:rsidRPr="008D748B" w:rsidRDefault="008D748B">
            <w:pPr>
              <w:pStyle w:val="a3"/>
              <w:tabs>
                <w:tab w:val="clear" w:pos="8306"/>
              </w:tabs>
              <w:jc w:val="center"/>
              <w:rPr>
                <w:rFonts w:ascii="Tahoma" w:hAnsi="Tahoma" w:cs="Tahoma"/>
                <w:b/>
                <w:bCs/>
                <w:color w:val="000080"/>
                <w:sz w:val="20"/>
                <w:szCs w:val="20"/>
                <w:rtl/>
              </w:rPr>
            </w:pPr>
            <w:bookmarkStart w:id="0" w:name="LastJudge"/>
            <w:r w:rsidRPr="008D748B">
              <w:rPr>
                <w:rFonts w:ascii="Tahoma" w:hAnsi="Tahoma" w:cs="Tahoma"/>
                <w:b/>
                <w:bCs/>
                <w:color w:val="000080"/>
                <w:sz w:val="20"/>
                <w:szCs w:val="20"/>
                <w:rtl/>
              </w:rPr>
              <w:t>בית משפט השלום בירושלים</w:t>
            </w:r>
          </w:p>
        </w:tc>
      </w:tr>
      <w:tr w:rsidR="001E5EA7" w:rsidRPr="008D748B" w14:paraId="4BFEF32C" w14:textId="77777777">
        <w:trPr>
          <w:trHeight w:val="337"/>
          <w:jc w:val="center"/>
        </w:trPr>
        <w:tc>
          <w:tcPr>
            <w:tcW w:w="6396" w:type="dxa"/>
          </w:tcPr>
          <w:p w14:paraId="1665AC5D" w14:textId="77777777" w:rsidR="001E5EA7" w:rsidRPr="008D748B" w:rsidRDefault="008D748B" w:rsidP="002C177D">
            <w:pPr>
              <w:rPr>
                <w:rFonts w:hint="cs"/>
                <w:b/>
                <w:bCs/>
                <w:sz w:val="26"/>
                <w:szCs w:val="26"/>
                <w:rtl/>
              </w:rPr>
            </w:pPr>
            <w:r w:rsidRPr="008D748B">
              <w:rPr>
                <w:b/>
                <w:bCs/>
                <w:sz w:val="26"/>
                <w:szCs w:val="26"/>
                <w:rtl/>
              </w:rPr>
              <w:t>ת"פ</w:t>
            </w:r>
            <w:r w:rsidRPr="008D748B">
              <w:rPr>
                <w:rFonts w:hint="cs"/>
                <w:b/>
                <w:bCs/>
                <w:sz w:val="26"/>
                <w:szCs w:val="26"/>
                <w:rtl/>
              </w:rPr>
              <w:t xml:space="preserve"> </w:t>
            </w:r>
            <w:r w:rsidRPr="008D748B">
              <w:rPr>
                <w:b/>
                <w:bCs/>
                <w:sz w:val="26"/>
                <w:szCs w:val="26"/>
                <w:rtl/>
              </w:rPr>
              <w:t>27128-11-14</w:t>
            </w:r>
            <w:r w:rsidRPr="008D748B">
              <w:rPr>
                <w:rFonts w:hint="cs"/>
                <w:b/>
                <w:bCs/>
                <w:sz w:val="26"/>
                <w:szCs w:val="26"/>
                <w:rtl/>
              </w:rPr>
              <w:t xml:space="preserve"> </w:t>
            </w:r>
            <w:r w:rsidR="002C177D">
              <w:rPr>
                <w:b/>
                <w:bCs/>
                <w:sz w:val="26"/>
                <w:szCs w:val="26"/>
                <w:rtl/>
              </w:rPr>
              <w:t>מדינת ישראל נ' גולאני</w:t>
            </w:r>
          </w:p>
          <w:p w14:paraId="55922661" w14:textId="77777777" w:rsidR="001E5EA7" w:rsidRPr="008D748B" w:rsidRDefault="001E5EA7">
            <w:pPr>
              <w:rPr>
                <w:b/>
                <w:bCs/>
                <w:sz w:val="26"/>
                <w:szCs w:val="26"/>
                <w:rtl/>
              </w:rPr>
            </w:pPr>
          </w:p>
        </w:tc>
        <w:tc>
          <w:tcPr>
            <w:tcW w:w="236" w:type="dxa"/>
          </w:tcPr>
          <w:p w14:paraId="62D732B9" w14:textId="77777777" w:rsidR="001E5EA7" w:rsidRPr="008D748B" w:rsidRDefault="001E5EA7">
            <w:pPr>
              <w:pStyle w:val="a3"/>
              <w:jc w:val="right"/>
              <w:rPr>
                <w:b/>
                <w:bCs/>
                <w:sz w:val="26"/>
                <w:szCs w:val="26"/>
                <w:rtl/>
              </w:rPr>
            </w:pPr>
          </w:p>
        </w:tc>
        <w:tc>
          <w:tcPr>
            <w:tcW w:w="2088" w:type="dxa"/>
          </w:tcPr>
          <w:p w14:paraId="74C1DB17" w14:textId="77777777" w:rsidR="001E5EA7" w:rsidRPr="008D748B" w:rsidRDefault="008D748B">
            <w:pPr>
              <w:pStyle w:val="a3"/>
              <w:tabs>
                <w:tab w:val="clear" w:pos="4153"/>
              </w:tabs>
              <w:jc w:val="right"/>
              <w:rPr>
                <w:b/>
                <w:bCs/>
                <w:sz w:val="26"/>
                <w:szCs w:val="26"/>
                <w:rtl/>
              </w:rPr>
            </w:pPr>
            <w:r w:rsidRPr="008D748B">
              <w:rPr>
                <w:b/>
                <w:bCs/>
                <w:sz w:val="26"/>
                <w:szCs w:val="26"/>
                <w:rtl/>
              </w:rPr>
              <w:t>20 מאי 2015</w:t>
            </w:r>
          </w:p>
        </w:tc>
      </w:tr>
    </w:tbl>
    <w:p w14:paraId="0EC3B588" w14:textId="77777777" w:rsidR="001E5EA7" w:rsidRPr="008D748B" w:rsidRDefault="001E5EA7">
      <w:pPr>
        <w:pStyle w:val="a3"/>
        <w:jc w:val="center"/>
        <w:rPr>
          <w:rFonts w:ascii="Tahoma" w:hAnsi="Tahoma" w:cs="Tahoma"/>
          <w:b/>
          <w:bCs/>
          <w:color w:val="000080"/>
          <w:sz w:val="20"/>
          <w:szCs w:val="20"/>
          <w:rtl/>
        </w:rPr>
      </w:pPr>
    </w:p>
    <w:p w14:paraId="0517CE05" w14:textId="77777777" w:rsidR="001E5EA7" w:rsidRPr="008D748B" w:rsidRDefault="001E5EA7">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1E5EA7" w:rsidRPr="008D748B" w14:paraId="15B613BA" w14:textId="77777777">
        <w:trPr>
          <w:trHeight w:val="337"/>
          <w:jc w:val="center"/>
        </w:trPr>
        <w:tc>
          <w:tcPr>
            <w:tcW w:w="1592" w:type="dxa"/>
          </w:tcPr>
          <w:p w14:paraId="7D473E59" w14:textId="77777777" w:rsidR="001E5EA7" w:rsidRPr="008D748B" w:rsidRDefault="008D748B">
            <w:pPr>
              <w:pStyle w:val="a3"/>
              <w:bidi w:val="0"/>
              <w:spacing w:line="360" w:lineRule="auto"/>
              <w:jc w:val="both"/>
              <w:rPr>
                <w:rFonts w:ascii="Times New Roman" w:hAnsi="Times New Roman"/>
              </w:rPr>
            </w:pPr>
            <w:r w:rsidRPr="008D748B">
              <w:rPr>
                <w:rFonts w:ascii="Times New Roman" w:hAnsi="Times New Roman"/>
              </w:rPr>
              <w:t xml:space="preserve">  </w:t>
            </w:r>
          </w:p>
        </w:tc>
        <w:tc>
          <w:tcPr>
            <w:tcW w:w="7128" w:type="dxa"/>
          </w:tcPr>
          <w:p w14:paraId="312FE6CD" w14:textId="77777777" w:rsidR="001E5EA7" w:rsidRPr="008D748B" w:rsidRDefault="008D748B">
            <w:pPr>
              <w:pStyle w:val="a3"/>
              <w:jc w:val="right"/>
              <w:rPr>
                <w:b/>
                <w:bCs/>
                <w:sz w:val="26"/>
                <w:szCs w:val="26"/>
                <w:rtl/>
              </w:rPr>
            </w:pPr>
            <w:r w:rsidRPr="008D748B">
              <w:rPr>
                <w:rFonts w:hint="cs"/>
                <w:rtl/>
              </w:rPr>
              <w:t xml:space="preserve"> 27145-11-14</w:t>
            </w:r>
          </w:p>
        </w:tc>
      </w:tr>
    </w:tbl>
    <w:p w14:paraId="051F8477" w14:textId="77777777" w:rsidR="001E5EA7" w:rsidRPr="008D748B" w:rsidRDefault="001E5EA7">
      <w:pPr>
        <w:spacing w:line="360" w:lineRule="auto"/>
        <w:jc w:val="both"/>
        <w:rPr>
          <w:rFonts w:ascii="Arial" w:hAnsi="Arial"/>
          <w:rtl/>
        </w:rPr>
      </w:pPr>
    </w:p>
    <w:p w14:paraId="25297E0F" w14:textId="77777777" w:rsidR="001E5EA7" w:rsidRPr="008D748B" w:rsidRDefault="001E5EA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E5EA7" w:rsidRPr="008D748B" w14:paraId="79778A04" w14:textId="77777777">
        <w:trPr>
          <w:gridAfter w:val="1"/>
          <w:wAfter w:w="55" w:type="dxa"/>
        </w:trPr>
        <w:tc>
          <w:tcPr>
            <w:tcW w:w="8719" w:type="dxa"/>
            <w:gridSpan w:val="2"/>
            <w:shd w:val="clear" w:color="auto" w:fill="auto"/>
          </w:tcPr>
          <w:p w14:paraId="43D5BB19" w14:textId="77777777" w:rsidR="001E5EA7" w:rsidRPr="008D748B" w:rsidRDefault="008D748B">
            <w:pPr>
              <w:spacing w:line="360" w:lineRule="auto"/>
              <w:rPr>
                <w:rFonts w:ascii="Times New Roman" w:eastAsia="Times New Roman" w:hAnsi="Times New Roman"/>
                <w:b/>
                <w:bCs/>
                <w:sz w:val="26"/>
                <w:szCs w:val="26"/>
                <w:rtl/>
              </w:rPr>
            </w:pPr>
            <w:r w:rsidRPr="008D748B">
              <w:rPr>
                <w:rFonts w:ascii="Times New Roman" w:eastAsia="Times New Roman" w:hAnsi="Times New Roman" w:hint="cs"/>
                <w:b/>
                <w:bCs/>
                <w:sz w:val="26"/>
                <w:szCs w:val="26"/>
                <w:rtl/>
              </w:rPr>
              <w:t>בפני כב' ה</w:t>
            </w:r>
            <w:r w:rsidRPr="008D748B">
              <w:rPr>
                <w:rFonts w:ascii="Times New Roman" w:eastAsia="Times New Roman" w:hAnsi="Times New Roman" w:hint="cs"/>
                <w:rtl/>
              </w:rPr>
              <w:t>שופט שמואל הרבסט</w:t>
            </w:r>
            <w:r w:rsidRPr="008D748B">
              <w:rPr>
                <w:rStyle w:val="TimesNewRomanTimesNewRoman"/>
                <w:rFonts w:eastAsia="Times New Roman"/>
                <w:rtl/>
              </w:rPr>
              <w:t xml:space="preserve"> </w:t>
            </w:r>
          </w:p>
        </w:tc>
      </w:tr>
      <w:tr w:rsidR="001E5EA7" w:rsidRPr="008D748B" w14:paraId="0C417C5B" w14:textId="77777777">
        <w:tc>
          <w:tcPr>
            <w:tcW w:w="2880" w:type="dxa"/>
            <w:shd w:val="clear" w:color="auto" w:fill="auto"/>
          </w:tcPr>
          <w:p w14:paraId="79F6B6C8" w14:textId="77777777" w:rsidR="001E5EA7" w:rsidRPr="008D748B" w:rsidRDefault="008D748B">
            <w:pPr>
              <w:ind w:left="26"/>
              <w:rPr>
                <w:rFonts w:ascii="Times New Roman" w:eastAsia="Times New Roman" w:hAnsi="Times New Roman"/>
                <w:b/>
                <w:bCs/>
                <w:sz w:val="26"/>
                <w:szCs w:val="26"/>
                <w:rtl/>
              </w:rPr>
            </w:pPr>
            <w:bookmarkStart w:id="1" w:name="FirstAppellant"/>
            <w:r w:rsidRPr="008D748B">
              <w:rPr>
                <w:rFonts w:ascii="Times New Roman" w:eastAsia="Times New Roman" w:hAnsi="Times New Roman" w:hint="cs"/>
                <w:b/>
                <w:bCs/>
                <w:sz w:val="26"/>
                <w:szCs w:val="26"/>
                <w:rtl/>
              </w:rPr>
              <w:t>ה</w:t>
            </w:r>
            <w:r w:rsidRPr="008D748B">
              <w:rPr>
                <w:rFonts w:ascii="Times New Roman" w:eastAsia="Times New Roman" w:hAnsi="Times New Roman" w:hint="cs"/>
                <w:rtl/>
              </w:rPr>
              <w:t>מאשימה</w:t>
            </w:r>
          </w:p>
        </w:tc>
        <w:tc>
          <w:tcPr>
            <w:tcW w:w="5922" w:type="dxa"/>
            <w:gridSpan w:val="2"/>
            <w:shd w:val="clear" w:color="auto" w:fill="auto"/>
          </w:tcPr>
          <w:p w14:paraId="08CF1643" w14:textId="77777777" w:rsidR="001E5EA7" w:rsidRPr="008D748B" w:rsidRDefault="008D748B">
            <w:pPr>
              <w:rPr>
                <w:rFonts w:ascii="Times New Roman" w:eastAsia="Times New Roman" w:hAnsi="Times New Roman"/>
                <w:b/>
                <w:bCs/>
                <w:sz w:val="26"/>
                <w:szCs w:val="26"/>
                <w:rtl/>
              </w:rPr>
            </w:pPr>
            <w:r w:rsidRPr="008D748B">
              <w:rPr>
                <w:rFonts w:ascii="Times New Roman" w:eastAsia="Times New Roman" w:hAnsi="Times New Roman" w:hint="cs"/>
                <w:rtl/>
              </w:rPr>
              <w:t>מדינת ישראל</w:t>
            </w:r>
          </w:p>
          <w:p w14:paraId="0B95C8B5" w14:textId="77777777" w:rsidR="001E5EA7" w:rsidRPr="008D748B" w:rsidRDefault="001E5EA7">
            <w:pPr>
              <w:rPr>
                <w:rFonts w:ascii="Times New Roman" w:eastAsia="Times New Roman" w:hAnsi="Times New Roman"/>
                <w:b/>
                <w:bCs/>
                <w:sz w:val="26"/>
                <w:szCs w:val="26"/>
                <w:rtl/>
              </w:rPr>
            </w:pPr>
          </w:p>
        </w:tc>
      </w:tr>
      <w:bookmarkEnd w:id="1"/>
      <w:tr w:rsidR="001E5EA7" w:rsidRPr="008D748B" w14:paraId="42D46ECB" w14:textId="77777777">
        <w:tc>
          <w:tcPr>
            <w:tcW w:w="8802" w:type="dxa"/>
            <w:gridSpan w:val="3"/>
            <w:shd w:val="clear" w:color="auto" w:fill="auto"/>
          </w:tcPr>
          <w:p w14:paraId="474C762A" w14:textId="77777777" w:rsidR="001E5EA7" w:rsidRPr="008D748B" w:rsidRDefault="008D748B">
            <w:pPr>
              <w:jc w:val="center"/>
              <w:rPr>
                <w:rFonts w:ascii="Arial" w:eastAsia="Times New Roman" w:hAnsi="Arial"/>
                <w:b/>
                <w:bCs/>
                <w:sz w:val="26"/>
                <w:szCs w:val="26"/>
                <w:rtl/>
              </w:rPr>
            </w:pPr>
            <w:r w:rsidRPr="008D748B">
              <w:rPr>
                <w:rFonts w:ascii="Arial" w:eastAsia="Times New Roman" w:hAnsi="Arial"/>
                <w:b/>
                <w:bCs/>
                <w:sz w:val="26"/>
                <w:szCs w:val="26"/>
                <w:rtl/>
              </w:rPr>
              <w:t>נגד</w:t>
            </w:r>
          </w:p>
          <w:p w14:paraId="5B5E118F" w14:textId="77777777" w:rsidR="001E5EA7" w:rsidRPr="008D748B" w:rsidRDefault="001E5EA7">
            <w:pPr>
              <w:jc w:val="center"/>
              <w:rPr>
                <w:rFonts w:ascii="Arial" w:eastAsia="Times New Roman" w:hAnsi="Arial"/>
                <w:b/>
                <w:bCs/>
                <w:sz w:val="26"/>
                <w:szCs w:val="26"/>
              </w:rPr>
            </w:pPr>
          </w:p>
        </w:tc>
      </w:tr>
      <w:tr w:rsidR="001E5EA7" w:rsidRPr="008D748B" w14:paraId="06C1A019" w14:textId="77777777">
        <w:tc>
          <w:tcPr>
            <w:tcW w:w="2880" w:type="dxa"/>
            <w:shd w:val="clear" w:color="auto" w:fill="auto"/>
          </w:tcPr>
          <w:p w14:paraId="6AAB4566" w14:textId="77777777" w:rsidR="001E5EA7" w:rsidRPr="008D748B" w:rsidRDefault="008D748B">
            <w:pPr>
              <w:ind w:left="26"/>
              <w:rPr>
                <w:rFonts w:ascii="Times New Roman" w:eastAsia="Times New Roman" w:hAnsi="Times New Roman"/>
                <w:b/>
                <w:bCs/>
                <w:sz w:val="26"/>
                <w:szCs w:val="26"/>
                <w:rtl/>
              </w:rPr>
            </w:pPr>
            <w:r w:rsidRPr="008D748B">
              <w:rPr>
                <w:rFonts w:ascii="Times New Roman" w:eastAsia="Times New Roman" w:hAnsi="Times New Roman" w:hint="cs"/>
                <w:b/>
                <w:bCs/>
                <w:sz w:val="26"/>
                <w:szCs w:val="26"/>
                <w:rtl/>
              </w:rPr>
              <w:t>ה</w:t>
            </w:r>
            <w:r w:rsidRPr="008D748B">
              <w:rPr>
                <w:rFonts w:ascii="Times New Roman" w:eastAsia="Times New Roman" w:hAnsi="Times New Roman" w:hint="cs"/>
                <w:rtl/>
              </w:rPr>
              <w:t>נאשם</w:t>
            </w:r>
          </w:p>
        </w:tc>
        <w:tc>
          <w:tcPr>
            <w:tcW w:w="5922" w:type="dxa"/>
            <w:gridSpan w:val="2"/>
            <w:shd w:val="clear" w:color="auto" w:fill="auto"/>
          </w:tcPr>
          <w:p w14:paraId="47924A39" w14:textId="77777777" w:rsidR="001E5EA7" w:rsidRPr="008D748B" w:rsidRDefault="008D748B" w:rsidP="002C177D">
            <w:pPr>
              <w:rPr>
                <w:rFonts w:ascii="Times New Roman" w:eastAsia="Times New Roman" w:hAnsi="Times New Roman"/>
                <w:b/>
                <w:bCs/>
                <w:sz w:val="26"/>
                <w:szCs w:val="26"/>
                <w:rtl/>
              </w:rPr>
            </w:pPr>
            <w:r w:rsidRPr="008D748B">
              <w:rPr>
                <w:rFonts w:ascii="Times New Roman" w:eastAsia="Times New Roman" w:hAnsi="Times New Roman" w:hint="cs"/>
                <w:rtl/>
              </w:rPr>
              <w:t xml:space="preserve">מחמד גולאני </w:t>
            </w:r>
          </w:p>
          <w:p w14:paraId="52364353" w14:textId="77777777" w:rsidR="001E5EA7" w:rsidRPr="008D748B" w:rsidRDefault="001E5EA7">
            <w:pPr>
              <w:rPr>
                <w:rFonts w:ascii="Times New Roman" w:eastAsia="Times New Roman" w:hAnsi="Times New Roman"/>
                <w:b/>
                <w:bCs/>
                <w:sz w:val="26"/>
                <w:szCs w:val="26"/>
                <w:rtl/>
              </w:rPr>
            </w:pPr>
          </w:p>
        </w:tc>
      </w:tr>
    </w:tbl>
    <w:p w14:paraId="4D27837F" w14:textId="77777777" w:rsidR="001E5EA7" w:rsidRPr="008D748B" w:rsidRDefault="008D748B">
      <w:pPr>
        <w:spacing w:line="360" w:lineRule="auto"/>
        <w:jc w:val="both"/>
        <w:rPr>
          <w:sz w:val="6"/>
          <w:szCs w:val="6"/>
          <w:rtl/>
        </w:rPr>
      </w:pPr>
      <w:r w:rsidRPr="008D748B">
        <w:rPr>
          <w:sz w:val="6"/>
          <w:szCs w:val="6"/>
          <w:rtl/>
        </w:rPr>
        <w:t>&lt;#2#&gt;</w:t>
      </w:r>
    </w:p>
    <w:p w14:paraId="7FEC839D" w14:textId="77777777" w:rsidR="001E5EA7" w:rsidRPr="008D748B" w:rsidRDefault="008D748B">
      <w:pPr>
        <w:pStyle w:val="12"/>
        <w:rPr>
          <w:u w:val="none"/>
          <w:rtl/>
        </w:rPr>
      </w:pPr>
      <w:r w:rsidRPr="008D748B">
        <w:rPr>
          <w:rFonts w:hint="cs"/>
          <w:u w:val="none"/>
          <w:rtl/>
        </w:rPr>
        <w:t>נוכחים:</w:t>
      </w:r>
    </w:p>
    <w:p w14:paraId="2F820E21" w14:textId="77777777" w:rsidR="001E5EA7" w:rsidRPr="008D748B" w:rsidRDefault="008D748B">
      <w:pPr>
        <w:pStyle w:val="12"/>
        <w:rPr>
          <w:sz w:val="4"/>
          <w:szCs w:val="4"/>
          <w:u w:val="none"/>
          <w:rtl/>
        </w:rPr>
      </w:pPr>
      <w:r w:rsidRPr="008D748B">
        <w:rPr>
          <w:rFonts w:hint="cs"/>
          <w:b w:val="0"/>
          <w:bCs w:val="0"/>
          <w:sz w:val="4"/>
          <w:szCs w:val="4"/>
          <w:u w:val="none"/>
          <w:rtl/>
        </w:rPr>
        <w:t xml:space="preserve"> </w:t>
      </w:r>
    </w:p>
    <w:p w14:paraId="2B64D7A3" w14:textId="77777777" w:rsidR="001E5EA7" w:rsidRPr="008D748B" w:rsidRDefault="008D748B">
      <w:pPr>
        <w:pStyle w:val="12"/>
        <w:rPr>
          <w:b w:val="0"/>
          <w:bCs w:val="0"/>
          <w:u w:val="none"/>
          <w:rtl/>
        </w:rPr>
      </w:pPr>
      <w:r w:rsidRPr="008D748B">
        <w:rPr>
          <w:rFonts w:hint="cs"/>
          <w:u w:val="none"/>
          <w:rtl/>
        </w:rPr>
        <w:t>בא כוח המאשימה עו"ד נתי בן חמו</w:t>
      </w:r>
      <w:r w:rsidRPr="008D748B">
        <w:rPr>
          <w:rFonts w:hint="cs"/>
          <w:u w:val="none"/>
          <w:rtl/>
        </w:rPr>
        <w:br/>
        <w:t>בא כוח נאשמים</w:t>
      </w:r>
      <w:r w:rsidRPr="008D748B">
        <w:rPr>
          <w:rFonts w:hint="cs"/>
          <w:b w:val="0"/>
          <w:bCs w:val="0"/>
          <w:u w:val="none"/>
          <w:rtl/>
        </w:rPr>
        <w:t xml:space="preserve"> עו"ד </w:t>
      </w:r>
      <w:r w:rsidRPr="008D748B">
        <w:rPr>
          <w:rFonts w:hint="cs"/>
          <w:u w:val="none"/>
          <w:rtl/>
        </w:rPr>
        <w:t>מוחמד</w:t>
      </w:r>
      <w:r w:rsidRPr="008D748B">
        <w:rPr>
          <w:rFonts w:hint="cs"/>
          <w:b w:val="0"/>
          <w:bCs w:val="0"/>
          <w:u w:val="none"/>
          <w:rtl/>
        </w:rPr>
        <w:t xml:space="preserve"> </w:t>
      </w:r>
      <w:r w:rsidRPr="008D748B">
        <w:rPr>
          <w:rFonts w:hint="cs"/>
          <w:u w:val="none"/>
          <w:rtl/>
        </w:rPr>
        <w:t>מחמוד</w:t>
      </w:r>
      <w:r w:rsidRPr="008D748B">
        <w:rPr>
          <w:rFonts w:hint="cs"/>
          <w:b w:val="0"/>
          <w:bCs w:val="0"/>
          <w:u w:val="none"/>
          <w:rtl/>
        </w:rPr>
        <w:t xml:space="preserve">  </w:t>
      </w:r>
    </w:p>
    <w:p w14:paraId="56B16546" w14:textId="77777777" w:rsidR="001E5EA7" w:rsidRPr="008D748B" w:rsidRDefault="008D748B">
      <w:pPr>
        <w:pStyle w:val="12"/>
        <w:rPr>
          <w:u w:val="none"/>
          <w:rtl/>
        </w:rPr>
      </w:pPr>
      <w:r w:rsidRPr="008D748B">
        <w:rPr>
          <w:rFonts w:hint="cs"/>
          <w:b w:val="0"/>
          <w:bCs w:val="0"/>
          <w:u w:val="none"/>
          <w:rtl/>
        </w:rPr>
        <w:t>הנאשם בעצמו</w:t>
      </w:r>
    </w:p>
    <w:p w14:paraId="6E871F32" w14:textId="77777777" w:rsidR="002C177D" w:rsidRDefault="008D748B">
      <w:pPr>
        <w:spacing w:line="360" w:lineRule="auto"/>
        <w:jc w:val="center"/>
        <w:rPr>
          <w:rFonts w:ascii="Arial" w:hAnsi="Arial"/>
          <w:b/>
          <w:color w:val="FF0000"/>
          <w:sz w:val="28"/>
          <w:rtl/>
        </w:rPr>
      </w:pPr>
      <w:r w:rsidRPr="008D748B">
        <w:rPr>
          <w:rFonts w:ascii="Arial" w:hAnsi="Arial"/>
          <w:b/>
          <w:color w:val="FF0000"/>
          <w:sz w:val="28"/>
          <w:rtl/>
        </w:rPr>
        <w:t>במסמך זה הושמטו פרוטוקולים</w:t>
      </w:r>
      <w:bookmarkStart w:id="2" w:name="LawTable"/>
      <w:bookmarkEnd w:id="2"/>
    </w:p>
    <w:p w14:paraId="50C4A92A" w14:textId="77777777" w:rsidR="002C177D" w:rsidRPr="002C177D" w:rsidRDefault="002C177D" w:rsidP="002C177D">
      <w:pPr>
        <w:spacing w:after="120" w:line="240" w:lineRule="exact"/>
        <w:ind w:left="283" w:hanging="283"/>
        <w:jc w:val="both"/>
        <w:rPr>
          <w:rFonts w:ascii="FrankRuehl" w:hAnsi="FrankRuehl" w:cs="FrankRuehl"/>
          <w:color w:val="FF0000"/>
          <w:rtl/>
        </w:rPr>
      </w:pPr>
    </w:p>
    <w:p w14:paraId="239A8E98" w14:textId="77777777" w:rsidR="002C177D" w:rsidRPr="002C177D" w:rsidRDefault="002C177D" w:rsidP="002C177D">
      <w:pPr>
        <w:spacing w:after="120" w:line="240" w:lineRule="exact"/>
        <w:ind w:left="283" w:hanging="283"/>
        <w:jc w:val="both"/>
        <w:rPr>
          <w:rFonts w:ascii="FrankRuehl" w:hAnsi="FrankRuehl" w:cs="FrankRuehl"/>
          <w:rtl/>
        </w:rPr>
      </w:pPr>
      <w:r w:rsidRPr="002C177D">
        <w:rPr>
          <w:rFonts w:ascii="FrankRuehl" w:hAnsi="FrankRuehl" w:cs="FrankRuehl"/>
          <w:rtl/>
        </w:rPr>
        <w:t xml:space="preserve">חקיקה שאוזכרה: </w:t>
      </w:r>
    </w:p>
    <w:p w14:paraId="7B5D2AFE" w14:textId="77777777" w:rsidR="002C177D" w:rsidRPr="002C177D" w:rsidRDefault="002C177D" w:rsidP="002C177D">
      <w:pPr>
        <w:spacing w:after="120" w:line="240" w:lineRule="exact"/>
        <w:ind w:left="283" w:hanging="283"/>
        <w:jc w:val="both"/>
        <w:rPr>
          <w:rFonts w:ascii="FrankRuehl" w:hAnsi="FrankRuehl" w:cs="FrankRuehl"/>
          <w:color w:val="0000FF"/>
          <w:u w:val="single"/>
          <w:rtl/>
        </w:rPr>
      </w:pPr>
      <w:hyperlink r:id="rId7" w:history="1">
        <w:r w:rsidRPr="002C177D">
          <w:rPr>
            <w:rStyle w:val="Hyperlink"/>
            <w:rFonts w:ascii="FrankRuehl" w:hAnsi="FrankRuehl" w:cs="FrankRuehl"/>
            <w:rtl/>
          </w:rPr>
          <w:t>חוק העונשין, תשל"ז-1977</w:t>
        </w:r>
      </w:hyperlink>
      <w:r w:rsidRPr="002C177D">
        <w:rPr>
          <w:rFonts w:ascii="FrankRuehl" w:hAnsi="FrankRuehl" w:cs="FrankRuehl"/>
          <w:color w:val="0000FF"/>
          <w:u w:val="single"/>
          <w:rtl/>
        </w:rPr>
        <w:t xml:space="preserve">: סע'  </w:t>
      </w:r>
      <w:hyperlink r:id="rId8" w:history="1">
        <w:r w:rsidRPr="002C177D">
          <w:rPr>
            <w:rStyle w:val="Hyperlink"/>
            <w:rFonts w:ascii="FrankRuehl" w:hAnsi="FrankRuehl" w:cs="FrankRuehl"/>
          </w:rPr>
          <w:t>25</w:t>
        </w:r>
      </w:hyperlink>
      <w:r w:rsidRPr="002C177D">
        <w:rPr>
          <w:rFonts w:ascii="FrankRuehl" w:hAnsi="FrankRuehl" w:cs="FrankRuehl"/>
          <w:color w:val="0000FF"/>
          <w:u w:val="single"/>
          <w:rtl/>
        </w:rPr>
        <w:t xml:space="preserve">, </w:t>
      </w:r>
      <w:hyperlink r:id="rId9" w:history="1">
        <w:r w:rsidRPr="002C177D">
          <w:rPr>
            <w:rStyle w:val="Hyperlink"/>
            <w:rFonts w:ascii="FrankRuehl" w:hAnsi="FrankRuehl" w:cs="FrankRuehl"/>
          </w:rPr>
          <w:t>144(</w:t>
        </w:r>
        <w:r w:rsidRPr="002C177D">
          <w:rPr>
            <w:rStyle w:val="Hyperlink"/>
            <w:rFonts w:ascii="FrankRuehl" w:hAnsi="FrankRuehl" w:cs="FrankRuehl"/>
            <w:rtl/>
          </w:rPr>
          <w:t>א</w:t>
        </w:r>
        <w:r w:rsidRPr="002C177D">
          <w:rPr>
            <w:rStyle w:val="Hyperlink"/>
            <w:rFonts w:ascii="FrankRuehl" w:hAnsi="FrankRuehl" w:cs="FrankRuehl"/>
          </w:rPr>
          <w:t>)</w:t>
        </w:r>
      </w:hyperlink>
      <w:r w:rsidRPr="002C177D">
        <w:rPr>
          <w:rFonts w:ascii="FrankRuehl" w:hAnsi="FrankRuehl" w:cs="FrankRuehl"/>
          <w:color w:val="0000FF"/>
          <w:u w:val="single"/>
          <w:rtl/>
        </w:rPr>
        <w:t xml:space="preserve">, </w:t>
      </w:r>
      <w:hyperlink r:id="rId10" w:history="1">
        <w:r w:rsidRPr="002C177D">
          <w:rPr>
            <w:rStyle w:val="Hyperlink"/>
            <w:rFonts w:ascii="FrankRuehl" w:hAnsi="FrankRuehl" w:cs="FrankRuehl"/>
          </w:rPr>
          <w:t>274 (1)</w:t>
        </w:r>
      </w:hyperlink>
      <w:r w:rsidRPr="002C177D">
        <w:rPr>
          <w:rFonts w:ascii="FrankRuehl" w:hAnsi="FrankRuehl" w:cs="FrankRuehl"/>
          <w:color w:val="0000FF"/>
          <w:u w:val="single"/>
          <w:rtl/>
        </w:rPr>
        <w:t xml:space="preserve">, </w:t>
      </w:r>
      <w:hyperlink r:id="rId11" w:history="1">
        <w:r w:rsidRPr="002C177D">
          <w:rPr>
            <w:rStyle w:val="Hyperlink"/>
            <w:rFonts w:ascii="FrankRuehl" w:hAnsi="FrankRuehl" w:cs="FrankRuehl"/>
          </w:rPr>
          <w:t>(2)</w:t>
        </w:r>
      </w:hyperlink>
      <w:r w:rsidRPr="002C177D">
        <w:rPr>
          <w:rFonts w:ascii="FrankRuehl" w:hAnsi="FrankRuehl" w:cs="FrankRuehl"/>
          <w:color w:val="0000FF"/>
          <w:u w:val="single"/>
          <w:rtl/>
        </w:rPr>
        <w:t xml:space="preserve">, </w:t>
      </w:r>
      <w:hyperlink r:id="rId12" w:history="1">
        <w:r w:rsidRPr="002C177D">
          <w:rPr>
            <w:rStyle w:val="Hyperlink"/>
            <w:rFonts w:ascii="FrankRuehl" w:hAnsi="FrankRuehl" w:cs="FrankRuehl"/>
          </w:rPr>
          <w:t>-(3)</w:t>
        </w:r>
      </w:hyperlink>
      <w:r w:rsidRPr="002C177D">
        <w:rPr>
          <w:rFonts w:ascii="FrankRuehl" w:hAnsi="FrankRuehl" w:cs="FrankRuehl"/>
          <w:color w:val="0000FF"/>
          <w:u w:val="single"/>
          <w:rtl/>
        </w:rPr>
        <w:t xml:space="preserve">, </w:t>
      </w:r>
      <w:hyperlink r:id="rId13" w:history="1">
        <w:r w:rsidRPr="002C177D">
          <w:rPr>
            <w:rStyle w:val="Hyperlink"/>
            <w:rFonts w:ascii="FrankRuehl" w:hAnsi="FrankRuehl" w:cs="FrankRuehl"/>
          </w:rPr>
          <w:t>340</w:t>
        </w:r>
        <w:r w:rsidRPr="002C177D">
          <w:rPr>
            <w:rStyle w:val="Hyperlink"/>
            <w:rFonts w:ascii="FrankRuehl" w:hAnsi="FrankRuehl" w:cs="FrankRuehl"/>
            <w:rtl/>
          </w:rPr>
          <w:t>א</w:t>
        </w:r>
      </w:hyperlink>
    </w:p>
    <w:p w14:paraId="404740F1" w14:textId="77777777" w:rsidR="002C177D" w:rsidRPr="002C177D" w:rsidRDefault="002C177D" w:rsidP="002C177D">
      <w:pPr>
        <w:spacing w:after="120" w:line="240" w:lineRule="exact"/>
        <w:ind w:left="283" w:hanging="283"/>
        <w:jc w:val="both"/>
        <w:rPr>
          <w:rFonts w:ascii="FrankRuehl" w:hAnsi="FrankRuehl" w:cs="FrankRuehl"/>
          <w:rtl/>
        </w:rPr>
      </w:pPr>
    </w:p>
    <w:p w14:paraId="08934255" w14:textId="77777777" w:rsidR="008D748B" w:rsidRPr="008D748B" w:rsidRDefault="008D748B">
      <w:pPr>
        <w:spacing w:line="360" w:lineRule="auto"/>
        <w:jc w:val="center"/>
        <w:rPr>
          <w:rFonts w:ascii="Arial" w:hAnsi="Arial"/>
          <w:b/>
          <w:bCs/>
          <w:sz w:val="28"/>
          <w:szCs w:val="28"/>
          <w:rtl/>
        </w:rPr>
      </w:pPr>
      <w:bookmarkStart w:id="3" w:name="LawTable_End"/>
      <w:bookmarkEnd w:id="3"/>
    </w:p>
    <w:p w14:paraId="1464761F" w14:textId="77777777" w:rsidR="008D748B" w:rsidRPr="008D748B" w:rsidRDefault="008D748B" w:rsidP="008D748B">
      <w:pPr>
        <w:spacing w:line="360" w:lineRule="auto"/>
        <w:jc w:val="center"/>
        <w:rPr>
          <w:rFonts w:ascii="Arial" w:hAnsi="Arial"/>
          <w:b/>
          <w:bCs/>
          <w:sz w:val="28"/>
          <w:szCs w:val="28"/>
          <w:u w:val="single"/>
          <w:rtl/>
        </w:rPr>
      </w:pPr>
      <w:bookmarkStart w:id="4" w:name="PsakDin"/>
      <w:bookmarkEnd w:id="0"/>
      <w:r w:rsidRPr="008D748B">
        <w:rPr>
          <w:rFonts w:ascii="Arial" w:hAnsi="Arial"/>
          <w:b/>
          <w:bCs/>
          <w:sz w:val="28"/>
          <w:szCs w:val="28"/>
          <w:u w:val="single"/>
          <w:rtl/>
        </w:rPr>
        <w:t>גזר דין</w:t>
      </w:r>
    </w:p>
    <w:bookmarkEnd w:id="4"/>
    <w:p w14:paraId="6D14426D" w14:textId="77777777" w:rsidR="001E5EA7" w:rsidRDefault="001E5EA7">
      <w:pPr>
        <w:spacing w:line="360" w:lineRule="auto"/>
        <w:jc w:val="center"/>
        <w:rPr>
          <w:rtl/>
        </w:rPr>
      </w:pPr>
    </w:p>
    <w:p w14:paraId="3D452E28" w14:textId="77777777" w:rsidR="001E5EA7" w:rsidRDefault="008D748B">
      <w:pPr>
        <w:spacing w:after="200" w:line="360" w:lineRule="auto"/>
        <w:rPr>
          <w:rFonts w:ascii="Calibri" w:eastAsia="Calibri" w:hAnsi="Calibri"/>
        </w:rPr>
      </w:pPr>
      <w:r>
        <w:rPr>
          <w:rtl/>
        </w:rPr>
        <w:t xml:space="preserve"> </w:t>
      </w:r>
      <w:r>
        <w:rPr>
          <w:rFonts w:ascii="Calibri" w:eastAsia="Calibri" w:hAnsi="Calibri" w:hint="cs"/>
          <w:rtl/>
        </w:rPr>
        <w:t>על פי עובדות כתב האישום אשר בהן הורשע הנאשם בכפוף להודאתו במסגרת הסדר טיעון, רכש הנאשם בתחילת חודש מאי 2014 , תת מקלע מאולתר (להלן:"הנשק") תמורת 5,400 ₪  ללא רישיון להחזקתו</w:t>
      </w:r>
      <w:r>
        <w:rPr>
          <w:rFonts w:ascii="Calibri" w:eastAsia="Calibri" w:hAnsi="Calibri"/>
        </w:rPr>
        <w:t xml:space="preserve"> </w:t>
      </w:r>
      <w:r>
        <w:rPr>
          <w:rFonts w:ascii="Calibri" w:eastAsia="Calibri" w:hAnsi="Calibri" w:hint="cs"/>
          <w:rtl/>
        </w:rPr>
        <w:t xml:space="preserve">, וכן 20 כדורים תואמים בקוטר </w:t>
      </w:r>
      <w:smartTag w:uri="urn:schemas-microsoft-com:office:smarttags" w:element="metricconverter">
        <w:smartTagPr>
          <w:attr w:name="ProductID" w:val="9 מ&quot;מ"/>
        </w:smartTagPr>
        <w:r>
          <w:rPr>
            <w:rFonts w:ascii="Calibri" w:eastAsia="Calibri" w:hAnsi="Calibri" w:hint="cs"/>
            <w:rtl/>
          </w:rPr>
          <w:t>9 מ"מ</w:t>
        </w:r>
      </w:smartTag>
      <w:r>
        <w:rPr>
          <w:rFonts w:ascii="Calibri" w:eastAsia="Calibri" w:hAnsi="Calibri" w:hint="cs"/>
          <w:rtl/>
        </w:rPr>
        <w:t xml:space="preserve">. </w:t>
      </w:r>
    </w:p>
    <w:p w14:paraId="2208975D" w14:textId="77777777" w:rsidR="001E5EA7" w:rsidRDefault="008D748B">
      <w:pPr>
        <w:spacing w:after="200" w:line="360" w:lineRule="auto"/>
        <w:rPr>
          <w:rFonts w:ascii="Calibri" w:eastAsia="Calibri" w:hAnsi="Calibri"/>
          <w:rtl/>
        </w:rPr>
      </w:pPr>
      <w:r>
        <w:rPr>
          <w:rFonts w:ascii="Calibri" w:eastAsia="Calibri" w:hAnsi="Calibri" w:hint="cs"/>
          <w:rtl/>
        </w:rPr>
        <w:t>הנאשם הסתיר את הנשק בביתו, וירה בו ממרפסתו פעם אחת.</w:t>
      </w:r>
    </w:p>
    <w:p w14:paraId="3EA394AA" w14:textId="77777777" w:rsidR="001E5EA7" w:rsidRDefault="008D748B">
      <w:pPr>
        <w:spacing w:after="200" w:line="360" w:lineRule="auto"/>
        <w:rPr>
          <w:rFonts w:ascii="Calibri" w:eastAsia="Calibri" w:hAnsi="Calibri"/>
          <w:rtl/>
        </w:rPr>
      </w:pPr>
      <w:r>
        <w:rPr>
          <w:rFonts w:ascii="Calibri" w:eastAsia="Calibri" w:hAnsi="Calibri" w:hint="cs"/>
          <w:rtl/>
        </w:rPr>
        <w:t>נוסף על כך,  ביום 2.7.14, בעת הלוויתו של הנער מוחמד אבו חדיר, יידה הנאשם עם אחרים שהיו רעולי פנים, אבנים לעבר כוחות הביטחון.</w:t>
      </w:r>
    </w:p>
    <w:p w14:paraId="248B1B58" w14:textId="77777777" w:rsidR="001E5EA7" w:rsidRDefault="008D748B">
      <w:pPr>
        <w:spacing w:line="360" w:lineRule="auto"/>
        <w:rPr>
          <w:rFonts w:ascii="Times New Roman" w:eastAsia="Times New Roman" w:hAnsi="Times New Roman"/>
          <w:rtl/>
        </w:rPr>
      </w:pPr>
      <w:r>
        <w:rPr>
          <w:rFonts w:hint="cs"/>
          <w:rtl/>
        </w:rPr>
        <w:t xml:space="preserve">בשל כל אלו, כאמור, הורשע הנאשם בעבירות של רכישת נשק והחזקתו, ירי בשטח מגורים וניסיון לתקיפת שוטר בנסיבות מחמירות, על פי </w:t>
      </w:r>
      <w:hyperlink r:id="rId14" w:history="1">
        <w:r w:rsidR="002C177D" w:rsidRPr="002C177D">
          <w:rPr>
            <w:rStyle w:val="Hyperlink"/>
            <w:rFonts w:hint="eastAsia"/>
            <w:rtl/>
          </w:rPr>
          <w:t>סעיפים</w:t>
        </w:r>
        <w:r w:rsidR="002C177D" w:rsidRPr="002C177D">
          <w:rPr>
            <w:rStyle w:val="Hyperlink"/>
            <w:rtl/>
          </w:rPr>
          <w:t xml:space="preserve"> 144(א)</w:t>
        </w:r>
      </w:hyperlink>
      <w:r>
        <w:rPr>
          <w:rFonts w:hint="cs"/>
          <w:rtl/>
        </w:rPr>
        <w:t xml:space="preserve">, </w:t>
      </w:r>
      <w:hyperlink r:id="rId15" w:history="1">
        <w:r w:rsidR="002C177D" w:rsidRPr="002C177D">
          <w:rPr>
            <w:rStyle w:val="Hyperlink"/>
            <w:rtl/>
          </w:rPr>
          <w:t>340א</w:t>
        </w:r>
      </w:hyperlink>
      <w:r>
        <w:rPr>
          <w:rFonts w:hint="cs"/>
          <w:rtl/>
        </w:rPr>
        <w:t xml:space="preserve"> ו- </w:t>
      </w:r>
      <w:hyperlink r:id="rId16" w:history="1">
        <w:r w:rsidR="002C177D" w:rsidRPr="002C177D">
          <w:rPr>
            <w:rStyle w:val="Hyperlink"/>
            <w:rtl/>
          </w:rPr>
          <w:t>274 (1),</w:t>
        </w:r>
      </w:hyperlink>
      <w:r>
        <w:rPr>
          <w:rFonts w:hint="cs"/>
          <w:rtl/>
        </w:rPr>
        <w:t xml:space="preserve"> </w:t>
      </w:r>
      <w:hyperlink r:id="rId17" w:history="1">
        <w:r w:rsidR="002C177D" w:rsidRPr="002C177D">
          <w:rPr>
            <w:rStyle w:val="Hyperlink"/>
            <w:rtl/>
          </w:rPr>
          <w:t>(2)</w:t>
        </w:r>
      </w:hyperlink>
      <w:r>
        <w:rPr>
          <w:rFonts w:hint="cs"/>
          <w:rtl/>
        </w:rPr>
        <w:t xml:space="preserve"> ו</w:t>
      </w:r>
      <w:hyperlink r:id="rId18" w:history="1">
        <w:r w:rsidR="002C177D" w:rsidRPr="002C177D">
          <w:rPr>
            <w:rStyle w:val="Hyperlink"/>
            <w:rtl/>
          </w:rPr>
          <w:t>-(3)</w:t>
        </w:r>
      </w:hyperlink>
      <w:r>
        <w:rPr>
          <w:rFonts w:hint="cs"/>
          <w:rtl/>
        </w:rPr>
        <w:t xml:space="preserve"> יחד עם </w:t>
      </w:r>
      <w:hyperlink r:id="rId19" w:history="1">
        <w:r w:rsidR="002C177D" w:rsidRPr="002C177D">
          <w:rPr>
            <w:rStyle w:val="Hyperlink"/>
            <w:rFonts w:hint="eastAsia"/>
            <w:rtl/>
          </w:rPr>
          <w:t>סעיף</w:t>
        </w:r>
        <w:r w:rsidR="002C177D" w:rsidRPr="002C177D">
          <w:rPr>
            <w:rStyle w:val="Hyperlink"/>
            <w:rtl/>
          </w:rPr>
          <w:t xml:space="preserve"> 25</w:t>
        </w:r>
      </w:hyperlink>
      <w:r>
        <w:rPr>
          <w:rFonts w:hint="cs"/>
          <w:rtl/>
        </w:rPr>
        <w:t xml:space="preserve"> ל</w:t>
      </w:r>
      <w:hyperlink r:id="rId20" w:history="1">
        <w:r w:rsidRPr="008D748B">
          <w:rPr>
            <w:color w:val="0000FF"/>
            <w:u w:val="single"/>
            <w:rtl/>
          </w:rPr>
          <w:t>חוק העונשין</w:t>
        </w:r>
      </w:hyperlink>
      <w:r>
        <w:rPr>
          <w:rFonts w:hint="cs"/>
          <w:rtl/>
        </w:rPr>
        <w:t>, התשל"ז – 1977.</w:t>
      </w:r>
    </w:p>
    <w:p w14:paraId="07A4D3CB" w14:textId="77777777" w:rsidR="001E5EA7" w:rsidRDefault="001E5EA7">
      <w:pPr>
        <w:spacing w:line="360" w:lineRule="auto"/>
        <w:rPr>
          <w:rtl/>
        </w:rPr>
      </w:pPr>
    </w:p>
    <w:p w14:paraId="595DB789" w14:textId="77777777" w:rsidR="001E5EA7" w:rsidRDefault="008D748B">
      <w:pPr>
        <w:spacing w:line="360" w:lineRule="auto"/>
        <w:rPr>
          <w:rtl/>
        </w:rPr>
      </w:pPr>
      <w:r>
        <w:rPr>
          <w:rFonts w:hint="cs"/>
          <w:rtl/>
        </w:rPr>
        <w:t>מהו העונש הראוי למסכת עבירות מעין זו?</w:t>
      </w:r>
    </w:p>
    <w:p w14:paraId="7B56E3B9" w14:textId="77777777" w:rsidR="001E5EA7" w:rsidRDefault="001E5EA7">
      <w:pPr>
        <w:spacing w:line="360" w:lineRule="auto"/>
        <w:rPr>
          <w:rtl/>
        </w:rPr>
      </w:pPr>
    </w:p>
    <w:p w14:paraId="4F6B320F" w14:textId="77777777" w:rsidR="001E5EA7" w:rsidRDefault="008D748B">
      <w:pPr>
        <w:spacing w:line="360" w:lineRule="auto"/>
        <w:rPr>
          <w:rtl/>
        </w:rPr>
      </w:pPr>
      <w:r>
        <w:rPr>
          <w:rFonts w:hint="cs"/>
          <w:b/>
          <w:bCs/>
          <w:u w:val="single"/>
          <w:rtl/>
        </w:rPr>
        <w:lastRenderedPageBreak/>
        <w:t>בא כוח המאשימה</w:t>
      </w:r>
      <w:r>
        <w:rPr>
          <w:rFonts w:hint="cs"/>
          <w:rtl/>
        </w:rPr>
        <w:t xml:space="preserve"> סבור כי מתחם הענישה ההולם בגין עבירת הנשק צריך שיעמוד על </w:t>
      </w:r>
      <w:r>
        <w:rPr>
          <w:rFonts w:hint="cs"/>
          <w:b/>
          <w:bCs/>
          <w:rtl/>
        </w:rPr>
        <w:t xml:space="preserve">12-24 </w:t>
      </w:r>
      <w:r>
        <w:rPr>
          <w:rFonts w:hint="cs"/>
          <w:rtl/>
        </w:rPr>
        <w:t xml:space="preserve">חודשי מאסר בפועל, ומתחם הענישה בשל יידוי האבנים צריך שיעמוד על </w:t>
      </w:r>
      <w:r>
        <w:rPr>
          <w:rFonts w:hint="cs"/>
          <w:b/>
          <w:bCs/>
          <w:rtl/>
        </w:rPr>
        <w:t xml:space="preserve">6-15 </w:t>
      </w:r>
      <w:r>
        <w:rPr>
          <w:rFonts w:hint="cs"/>
          <w:rtl/>
        </w:rPr>
        <w:t>חודשי מאסר בפועל ממש,  אך לאור נסיבותיו האישיות ועברו הנקי ונטול ההרשעות, יש לקבוע, כך לדבריו,  כי העונש המתאים צריך שיעמוד על  חלקו התחתון  של המתחם העונשי אך לא בתחתיתו, היינו, עשרים חודשי מאסר, מאסר מותנה, וכן קנס מרתיע.</w:t>
      </w:r>
    </w:p>
    <w:p w14:paraId="5E6C3B0B" w14:textId="77777777" w:rsidR="001E5EA7" w:rsidRDefault="001E5EA7">
      <w:pPr>
        <w:spacing w:line="360" w:lineRule="auto"/>
        <w:rPr>
          <w:rtl/>
        </w:rPr>
      </w:pPr>
    </w:p>
    <w:p w14:paraId="79220DC7" w14:textId="77777777" w:rsidR="001E5EA7" w:rsidRDefault="008D748B">
      <w:pPr>
        <w:spacing w:line="360" w:lineRule="auto"/>
        <w:rPr>
          <w:rtl/>
        </w:rPr>
      </w:pPr>
      <w:r>
        <w:rPr>
          <w:rFonts w:hint="cs"/>
          <w:rtl/>
        </w:rPr>
        <w:t>לטעמו, מדובר בעבירות חמורות ואין להקל עימה ראש, בשל העובדה כי נשק הינו חפץ מסוכן ויש להחזיקו רק בכפוף לרישיון מתאים, וכי תקיפת השוטרים הינה עבירה חמורה ונפוצה שיש להלחם בה ככל שניתן באמצעות ענישה מחמירה.</w:t>
      </w:r>
    </w:p>
    <w:p w14:paraId="2A778401" w14:textId="77777777" w:rsidR="001E5EA7" w:rsidRDefault="001E5EA7">
      <w:pPr>
        <w:spacing w:line="360" w:lineRule="auto"/>
        <w:rPr>
          <w:rtl/>
        </w:rPr>
      </w:pPr>
    </w:p>
    <w:p w14:paraId="460FE5D1" w14:textId="77777777" w:rsidR="001E5EA7" w:rsidRDefault="008D748B">
      <w:pPr>
        <w:spacing w:line="360" w:lineRule="auto"/>
        <w:rPr>
          <w:rtl/>
        </w:rPr>
      </w:pPr>
      <w:r>
        <w:rPr>
          <w:rFonts w:hint="cs"/>
          <w:rtl/>
        </w:rPr>
        <w:t xml:space="preserve">לעומתו, הדגיש </w:t>
      </w:r>
      <w:r>
        <w:rPr>
          <w:rFonts w:hint="cs"/>
          <w:b/>
          <w:bCs/>
          <w:u w:val="single"/>
          <w:rtl/>
        </w:rPr>
        <w:t>בא כוח הנאשם</w:t>
      </w:r>
      <w:r>
        <w:rPr>
          <w:rFonts w:hint="cs"/>
          <w:rtl/>
        </w:rPr>
        <w:t xml:space="preserve"> את רקעו האישי והמשפחתי של הנאשם, ואת חרטתו המוצהרת בגין מעשיו אלה, כמו גם את נסיבותיהן של העבירות כפי שהובאו לעיל ותוך שהוא מדגיש את מצבה הבריאותי הרעוע של אם הנאשם הנזקקת לטיפול רפואי מסיבי.</w:t>
      </w:r>
    </w:p>
    <w:p w14:paraId="6AF05964" w14:textId="77777777" w:rsidR="001E5EA7" w:rsidRDefault="001E5EA7">
      <w:pPr>
        <w:spacing w:line="360" w:lineRule="auto"/>
        <w:rPr>
          <w:rtl/>
        </w:rPr>
      </w:pPr>
    </w:p>
    <w:p w14:paraId="21A242B2" w14:textId="77777777" w:rsidR="001E5EA7" w:rsidRDefault="008D748B">
      <w:pPr>
        <w:spacing w:line="360" w:lineRule="auto"/>
        <w:rPr>
          <w:rtl/>
        </w:rPr>
      </w:pPr>
      <w:r>
        <w:rPr>
          <w:rFonts w:hint="cs"/>
          <w:rtl/>
        </w:rPr>
        <w:t>לשיטתו, יש להסתפק בעונש מקל בהרבה מזו שדורשת המאשימה, עד כדי שהמתחם הראוי בעבירת הנשק צריך שיעמוד על מספר חודשי מאסר בפועל ועד לעשרה חודשי מאסר, ובשל עבירת תקיפת השוטרים העונש המתאים צריך שיעמוד על שלושה חודשי מאסר ויום אחד, אשר משקף את רמת הענישה בעבירות מעין אלו.</w:t>
      </w:r>
    </w:p>
    <w:p w14:paraId="68E579C2" w14:textId="77777777" w:rsidR="001E5EA7" w:rsidRDefault="001E5EA7">
      <w:pPr>
        <w:spacing w:line="360" w:lineRule="auto"/>
        <w:rPr>
          <w:rtl/>
        </w:rPr>
      </w:pPr>
    </w:p>
    <w:p w14:paraId="467CF22D" w14:textId="77777777" w:rsidR="001E5EA7" w:rsidRDefault="008D748B">
      <w:pPr>
        <w:spacing w:line="360" w:lineRule="auto"/>
        <w:rPr>
          <w:rtl/>
        </w:rPr>
      </w:pPr>
      <w:r>
        <w:rPr>
          <w:rFonts w:hint="cs"/>
          <w:b/>
          <w:bCs/>
          <w:rtl/>
        </w:rPr>
        <w:t>תסקיר שירות המבחן</w:t>
      </w:r>
      <w:r>
        <w:rPr>
          <w:rFonts w:hint="cs"/>
          <w:rtl/>
        </w:rPr>
        <w:t xml:space="preserve"> מלמדנו, כי הנאשם בן 20 שנים, יליד הארץ ותושב שועפט.</w:t>
      </w:r>
    </w:p>
    <w:p w14:paraId="42637500" w14:textId="77777777" w:rsidR="001E5EA7" w:rsidRDefault="008D748B">
      <w:pPr>
        <w:spacing w:line="360" w:lineRule="auto"/>
        <w:rPr>
          <w:rtl/>
        </w:rPr>
      </w:pPr>
      <w:r>
        <w:rPr>
          <w:rFonts w:hint="cs"/>
          <w:rtl/>
        </w:rPr>
        <w:t>ילדותו ונערותו תקינים ונורמטיביים, כמו גם משפחת מוצאו, אולם מאז היותו בן 18 שנים הוא משתמש בחשיש על בסיס מזדמן.</w:t>
      </w:r>
    </w:p>
    <w:p w14:paraId="7C8C53DE" w14:textId="77777777" w:rsidR="001E5EA7" w:rsidRDefault="008D748B">
      <w:pPr>
        <w:spacing w:line="360" w:lineRule="auto"/>
        <w:rPr>
          <w:rtl/>
        </w:rPr>
      </w:pPr>
      <w:r>
        <w:rPr>
          <w:rFonts w:hint="cs"/>
          <w:rtl/>
        </w:rPr>
        <w:t>הנאשם נוטל אחריות על מעשיו, מבין את חומרתם, אך קצינת המבחן מתרשמת כי "</w:t>
      </w:r>
      <w:r>
        <w:rPr>
          <w:rFonts w:hint="cs"/>
          <w:b/>
          <w:bCs/>
          <w:rtl/>
        </w:rPr>
        <w:t>ביצע את העבירות הנדונות מתוך מניע אידאולוגי ומתוך השתייכות חברתית וקושי להפר את הקוד החברתי הנהוג בסביבתו...</w:t>
      </w:r>
      <w:r>
        <w:rPr>
          <w:rFonts w:hint="cs"/>
          <w:rtl/>
        </w:rPr>
        <w:t>".</w:t>
      </w:r>
    </w:p>
    <w:p w14:paraId="2E7A67CE" w14:textId="77777777" w:rsidR="001E5EA7" w:rsidRDefault="008D748B">
      <w:pPr>
        <w:spacing w:line="360" w:lineRule="auto"/>
        <w:rPr>
          <w:rtl/>
        </w:rPr>
      </w:pPr>
      <w:r>
        <w:rPr>
          <w:rFonts w:hint="cs"/>
          <w:rtl/>
        </w:rPr>
        <w:t>לאור כל אלו, ממליץ קצין המבחן על "</w:t>
      </w:r>
      <w:r>
        <w:rPr>
          <w:rFonts w:hint="cs"/>
          <w:b/>
          <w:bCs/>
          <w:rtl/>
        </w:rPr>
        <w:t>ענישה מוחשית ומרתיעה של מאסר בפועל</w:t>
      </w:r>
      <w:r>
        <w:rPr>
          <w:rFonts w:hint="cs"/>
          <w:rtl/>
        </w:rPr>
        <w:t>".</w:t>
      </w:r>
    </w:p>
    <w:p w14:paraId="28ED22ED" w14:textId="77777777" w:rsidR="001E5EA7" w:rsidRDefault="001E5EA7">
      <w:pPr>
        <w:spacing w:line="360" w:lineRule="auto"/>
        <w:rPr>
          <w:rtl/>
        </w:rPr>
      </w:pPr>
    </w:p>
    <w:p w14:paraId="2C61B6D0" w14:textId="77777777" w:rsidR="001E5EA7" w:rsidRDefault="008D748B">
      <w:pPr>
        <w:spacing w:line="360" w:lineRule="auto"/>
        <w:rPr>
          <w:rtl/>
        </w:rPr>
      </w:pPr>
      <w:r>
        <w:rPr>
          <w:rFonts w:hint="cs"/>
          <w:b/>
          <w:bCs/>
          <w:rtl/>
        </w:rPr>
        <w:t>הנאשם</w:t>
      </w:r>
      <w:r>
        <w:rPr>
          <w:rFonts w:hint="cs"/>
          <w:rtl/>
        </w:rPr>
        <w:t xml:space="preserve"> , בדברו האחרון, ביקש לתמוך בדברי בא כוחו ולא הוסיף דבר.</w:t>
      </w:r>
    </w:p>
    <w:p w14:paraId="3BAF25CD" w14:textId="77777777" w:rsidR="001E5EA7" w:rsidRDefault="001E5EA7">
      <w:pPr>
        <w:spacing w:line="360" w:lineRule="auto"/>
        <w:rPr>
          <w:b/>
          <w:bCs/>
          <w:u w:val="single"/>
          <w:rtl/>
        </w:rPr>
      </w:pPr>
    </w:p>
    <w:p w14:paraId="4949F3F3" w14:textId="77777777" w:rsidR="001E5EA7" w:rsidRDefault="008D748B">
      <w:pPr>
        <w:spacing w:line="360" w:lineRule="auto"/>
        <w:rPr>
          <w:b/>
          <w:bCs/>
          <w:u w:val="single"/>
          <w:rtl/>
        </w:rPr>
      </w:pPr>
      <w:r>
        <w:rPr>
          <w:rFonts w:hint="cs"/>
          <w:b/>
          <w:bCs/>
          <w:u w:val="single"/>
          <w:rtl/>
        </w:rPr>
        <w:t>דיון והכרעה</w:t>
      </w:r>
    </w:p>
    <w:p w14:paraId="3520A03F" w14:textId="77777777" w:rsidR="001E5EA7" w:rsidRDefault="008D748B">
      <w:pPr>
        <w:spacing w:line="360" w:lineRule="auto"/>
        <w:rPr>
          <w:b/>
          <w:bCs/>
          <w:u w:val="single"/>
          <w:rtl/>
        </w:rPr>
      </w:pPr>
      <w:r>
        <w:rPr>
          <w:rFonts w:hint="cs"/>
          <w:b/>
          <w:bCs/>
          <w:u w:val="single"/>
          <w:rtl/>
        </w:rPr>
        <w:t>מתחם הענישה ההולם</w:t>
      </w:r>
    </w:p>
    <w:p w14:paraId="3FB06B1A" w14:textId="77777777" w:rsidR="001E5EA7" w:rsidRDefault="001E5EA7">
      <w:pPr>
        <w:spacing w:line="360" w:lineRule="auto"/>
        <w:rPr>
          <w:rtl/>
        </w:rPr>
      </w:pPr>
    </w:p>
    <w:p w14:paraId="6E099298" w14:textId="77777777" w:rsidR="001E5EA7" w:rsidRDefault="008D748B">
      <w:pPr>
        <w:spacing w:line="360" w:lineRule="auto"/>
        <w:rPr>
          <w:rtl/>
        </w:rPr>
      </w:pPr>
      <w:r>
        <w:rPr>
          <w:rFonts w:hint="cs"/>
          <w:rtl/>
        </w:rPr>
        <w:t>תת מקלע, כמו גם כלי נשק בכלל הינם חפצים שפגיעתם רעה ופוטנציאל הנזק הטמון בהם הינו גבוה ומשמעותי.</w:t>
      </w:r>
    </w:p>
    <w:p w14:paraId="0049BC5F" w14:textId="77777777" w:rsidR="001E5EA7" w:rsidRDefault="008D748B">
      <w:pPr>
        <w:spacing w:line="360" w:lineRule="auto"/>
        <w:rPr>
          <w:rtl/>
        </w:rPr>
      </w:pPr>
      <w:r>
        <w:rPr>
          <w:rFonts w:hint="cs"/>
          <w:rtl/>
        </w:rPr>
        <w:t>עם זאת, בצוק העיתים קבע המחוקק תבחינים ברורים ומדודים, אשר העומד בהם זכאי להגיש בקשה לקבלת רישיון לנשק, אשר תישקל ותיענה בהתאם. זו הדרך בה בחר במחוקק לאזן בין צרכי הביטחון, האישי והלאומי, לבין הסכנה הטמונה בכלי הנשק מטבע בריאתם.</w:t>
      </w:r>
    </w:p>
    <w:p w14:paraId="27CC3266" w14:textId="77777777" w:rsidR="001E5EA7" w:rsidRDefault="008D748B">
      <w:pPr>
        <w:spacing w:line="360" w:lineRule="auto"/>
        <w:rPr>
          <w:rtl/>
        </w:rPr>
      </w:pPr>
      <w:r>
        <w:rPr>
          <w:rFonts w:hint="cs"/>
          <w:rtl/>
        </w:rPr>
        <w:lastRenderedPageBreak/>
        <w:t>הנאשם פעל באופן אקטיבי, רכש את כלי הנשק המאולתר ותחמושת מתאימה, ואף השתמש בו מספר פעמים, כפי שתואר לעיל. אני מתקשה לראות בטענתו כאילו הנשק נרכש לצורך "סכסוך חמולות" כטענה שיש בה להקל בעונשו.</w:t>
      </w:r>
    </w:p>
    <w:p w14:paraId="5FB63B23" w14:textId="77777777" w:rsidR="001E5EA7" w:rsidRDefault="008D748B">
      <w:pPr>
        <w:spacing w:line="360" w:lineRule="auto"/>
        <w:rPr>
          <w:rtl/>
        </w:rPr>
      </w:pPr>
      <w:r>
        <w:rPr>
          <w:rFonts w:hint="cs"/>
          <w:rtl/>
        </w:rPr>
        <w:t>סכסוכים אין פותרים בשימוש בנשק מאולתר. סכסוכים פותרים בהידברות או באמצעות המשטרה.</w:t>
      </w:r>
    </w:p>
    <w:p w14:paraId="6D078BE6" w14:textId="77777777" w:rsidR="001E5EA7" w:rsidRDefault="001E5EA7">
      <w:pPr>
        <w:spacing w:line="360" w:lineRule="auto"/>
        <w:rPr>
          <w:rtl/>
        </w:rPr>
      </w:pPr>
    </w:p>
    <w:p w14:paraId="558EDCC2" w14:textId="77777777" w:rsidR="001E5EA7" w:rsidRDefault="008D748B">
      <w:pPr>
        <w:spacing w:line="360" w:lineRule="auto"/>
        <w:rPr>
          <w:b/>
          <w:bCs/>
          <w:rtl/>
        </w:rPr>
      </w:pPr>
      <w:r>
        <w:rPr>
          <w:rFonts w:hint="cs"/>
          <w:rtl/>
        </w:rPr>
        <w:t xml:space="preserve">שקלתי את טיעוני הצדדים, את מידת אשמו של הנאשם ואת הפגיעה בערך המוגן, ונדמה כי מתחם הענישה ההולם על עבירת הנשק המתוארת לעיל הינה </w:t>
      </w:r>
      <w:r>
        <w:rPr>
          <w:rFonts w:hint="cs"/>
          <w:b/>
          <w:bCs/>
          <w:rtl/>
        </w:rPr>
        <w:t>מאסר בן מספר חודשים ועד לשנת מאסר  בפועל.</w:t>
      </w:r>
    </w:p>
    <w:p w14:paraId="64B7CF06" w14:textId="77777777" w:rsidR="001E5EA7" w:rsidRDefault="001E5EA7">
      <w:pPr>
        <w:spacing w:line="360" w:lineRule="auto"/>
        <w:rPr>
          <w:b/>
          <w:bCs/>
          <w:rtl/>
        </w:rPr>
      </w:pPr>
    </w:p>
    <w:p w14:paraId="7A8DFD21" w14:textId="77777777" w:rsidR="001E5EA7" w:rsidRDefault="008D748B">
      <w:pPr>
        <w:spacing w:line="360" w:lineRule="auto"/>
        <w:rPr>
          <w:rtl/>
        </w:rPr>
      </w:pPr>
      <w:r>
        <w:rPr>
          <w:rFonts w:hint="cs"/>
          <w:b/>
          <w:bCs/>
          <w:rtl/>
        </w:rPr>
        <w:t xml:space="preserve">ובאשר לעבירת תקיפת השוטרים - </w:t>
      </w:r>
      <w:r>
        <w:rPr>
          <w:rFonts w:hint="cs"/>
          <w:rtl/>
        </w:rPr>
        <w:t>תמים דעים אני עם גישתו של ב"כ המאשימה לפיה התפרעות בכלל, והתפרעות בירושלים הבירה בפרט, היא עבירה נפוצה שיש למנוע את התרחשותה ככל שניתן.</w:t>
      </w:r>
    </w:p>
    <w:p w14:paraId="3434E708" w14:textId="77777777" w:rsidR="001E5EA7" w:rsidRDefault="001E5EA7">
      <w:pPr>
        <w:spacing w:line="360" w:lineRule="auto"/>
        <w:rPr>
          <w:rtl/>
        </w:rPr>
      </w:pPr>
    </w:p>
    <w:p w14:paraId="6C8FE41D" w14:textId="77777777" w:rsidR="001E5EA7" w:rsidRDefault="008D748B">
      <w:pPr>
        <w:spacing w:line="360" w:lineRule="auto"/>
        <w:rPr>
          <w:rtl/>
        </w:rPr>
      </w:pPr>
      <w:r>
        <w:rPr>
          <w:rFonts w:hint="cs"/>
          <w:rtl/>
        </w:rPr>
        <w:t xml:space="preserve">הערך המוגן הוא ברור ומובהק. במקום ציבורי לא תהא התפרעות. נסיבות ביצוע העבירות בה נטל הנאשם חלק, אף הן מחמירות. הנאשם לא הסתפק בעמידה במקום, אלא אף יידה אבנים לעבר השוטרים, כפי שפורט לעיל. </w:t>
      </w:r>
    </w:p>
    <w:p w14:paraId="672F0DF1" w14:textId="77777777" w:rsidR="001E5EA7" w:rsidRDefault="008D748B">
      <w:pPr>
        <w:spacing w:line="360" w:lineRule="auto"/>
        <w:rPr>
          <w:rtl/>
        </w:rPr>
      </w:pPr>
      <w:r>
        <w:rPr>
          <w:rFonts w:hint="cs"/>
          <w:rtl/>
        </w:rPr>
        <w:t>השוטרים הינם שליחים העושים את מלאכתם הקשה באופן נאמן ורציני, ואין לתת יד לכל ניסיון פגיעה בהם, מילוי או פיזי, גם בנסיבות בהם נראה כי פעולתם אינה מוצדקת או אינה ראוייה.</w:t>
      </w:r>
    </w:p>
    <w:p w14:paraId="1336B57D" w14:textId="77777777" w:rsidR="001E5EA7" w:rsidRDefault="008D748B">
      <w:pPr>
        <w:spacing w:line="360" w:lineRule="auto"/>
        <w:rPr>
          <w:rtl/>
        </w:rPr>
      </w:pPr>
      <w:r>
        <w:rPr>
          <w:rFonts w:hint="cs"/>
          <w:rtl/>
        </w:rPr>
        <w:t xml:space="preserve">בשל כל אלו, נדמה כי מתחם הענישה ההולם על כל "חבילת" העבירות צריך שיעמוד על </w:t>
      </w:r>
      <w:r>
        <w:rPr>
          <w:rFonts w:hint="cs"/>
          <w:b/>
          <w:bCs/>
          <w:rtl/>
        </w:rPr>
        <w:t>מאסר בפועל בן שלושה חודשים (יחד עם מאסר מותנה מרתיע) ועד 12 חודשי מאסר בפועל ממש</w:t>
      </w:r>
      <w:r>
        <w:rPr>
          <w:rFonts w:hint="cs"/>
          <w:rtl/>
        </w:rPr>
        <w:t>.</w:t>
      </w:r>
    </w:p>
    <w:p w14:paraId="34DD3535" w14:textId="77777777" w:rsidR="001E5EA7" w:rsidRDefault="001E5EA7">
      <w:pPr>
        <w:spacing w:line="360" w:lineRule="auto"/>
        <w:rPr>
          <w:rtl/>
        </w:rPr>
      </w:pPr>
    </w:p>
    <w:p w14:paraId="254EFFF5" w14:textId="77777777" w:rsidR="001E5EA7" w:rsidRDefault="008D748B">
      <w:pPr>
        <w:spacing w:line="360" w:lineRule="auto"/>
        <w:rPr>
          <w:rtl/>
        </w:rPr>
      </w:pPr>
      <w:r>
        <w:rPr>
          <w:rFonts w:hint="cs"/>
          <w:rtl/>
        </w:rPr>
        <w:t>נדמה לי, כי על אף שאין מדובר בעבירה כלכלית, הרי שענישה כלכלית יש בה כדי ליצור ממד נוסף של הרתעה וכן להביע את שאט הנפש מתופעות אלו הקורות חדשות לבקרים בירושלים. בשל כך, אני סבור כי יש להוסיף למתחם הענישה ההולם נדבך נוסף בצורתו של קנס, וכך אעשה.</w:t>
      </w:r>
    </w:p>
    <w:p w14:paraId="62BE1B57" w14:textId="77777777" w:rsidR="001E5EA7" w:rsidRDefault="001E5EA7">
      <w:pPr>
        <w:spacing w:line="360" w:lineRule="auto"/>
        <w:rPr>
          <w:rtl/>
        </w:rPr>
      </w:pPr>
    </w:p>
    <w:p w14:paraId="322BC16E" w14:textId="77777777" w:rsidR="001E5EA7" w:rsidRDefault="008D748B">
      <w:pPr>
        <w:spacing w:line="360" w:lineRule="auto"/>
        <w:rPr>
          <w:b/>
          <w:bCs/>
          <w:rtl/>
        </w:rPr>
      </w:pPr>
      <w:r>
        <w:rPr>
          <w:rFonts w:hint="cs"/>
          <w:b/>
          <w:bCs/>
          <w:rtl/>
        </w:rPr>
        <w:t>עד כאן ה"מעשה", ומכאן ואילך – ה"עושה".</w:t>
      </w:r>
    </w:p>
    <w:p w14:paraId="53A87738" w14:textId="77777777" w:rsidR="001E5EA7" w:rsidRDefault="001E5EA7">
      <w:pPr>
        <w:spacing w:line="360" w:lineRule="auto"/>
        <w:rPr>
          <w:rtl/>
        </w:rPr>
      </w:pPr>
    </w:p>
    <w:p w14:paraId="00F28C85" w14:textId="77777777" w:rsidR="001E5EA7" w:rsidRDefault="008D748B">
      <w:pPr>
        <w:spacing w:line="360" w:lineRule="auto"/>
        <w:rPr>
          <w:b/>
          <w:bCs/>
          <w:u w:val="single"/>
          <w:rtl/>
        </w:rPr>
      </w:pPr>
      <w:r>
        <w:rPr>
          <w:rFonts w:hint="cs"/>
          <w:b/>
          <w:bCs/>
          <w:u w:val="single"/>
          <w:rtl/>
        </w:rPr>
        <w:t>העונש המתאים</w:t>
      </w:r>
    </w:p>
    <w:p w14:paraId="74057061" w14:textId="77777777" w:rsidR="001E5EA7" w:rsidRDefault="001E5EA7">
      <w:pPr>
        <w:spacing w:line="360" w:lineRule="auto"/>
        <w:rPr>
          <w:b/>
          <w:bCs/>
          <w:u w:val="single"/>
          <w:rtl/>
        </w:rPr>
      </w:pPr>
    </w:p>
    <w:p w14:paraId="0FB51D92" w14:textId="77777777" w:rsidR="001E5EA7" w:rsidRDefault="008D748B">
      <w:pPr>
        <w:spacing w:line="360" w:lineRule="auto"/>
        <w:rPr>
          <w:rtl/>
        </w:rPr>
      </w:pPr>
      <w:r>
        <w:rPr>
          <w:rFonts w:hint="cs"/>
          <w:rtl/>
        </w:rPr>
        <w:t>הנאשם יליד שנת 1994, בן 21 שנים, ועברו נקי ונטול הרשעות קודמות. אורח חייו נורמטיבי ויצרני, והמניע לבצוע העבירות המיוחסות לו הוא אידאולוגי.</w:t>
      </w:r>
    </w:p>
    <w:p w14:paraId="323C3172" w14:textId="77777777" w:rsidR="001E5EA7" w:rsidRDefault="001E5EA7">
      <w:pPr>
        <w:spacing w:line="360" w:lineRule="auto"/>
        <w:rPr>
          <w:rtl/>
        </w:rPr>
      </w:pPr>
    </w:p>
    <w:p w14:paraId="4A41C039" w14:textId="77777777" w:rsidR="001E5EA7" w:rsidRDefault="008D748B">
      <w:pPr>
        <w:spacing w:line="360" w:lineRule="auto"/>
        <w:rPr>
          <w:rtl/>
        </w:rPr>
      </w:pPr>
      <w:r>
        <w:rPr>
          <w:rFonts w:hint="cs"/>
          <w:rtl/>
        </w:rPr>
        <w:t xml:space="preserve">לחומרא, אזקוף את עברו הפלילי של הנאשם, את סדרתיותן של העבירות שביצע ואת אופיין ה"מעין בטחוני". </w:t>
      </w:r>
    </w:p>
    <w:p w14:paraId="5778346E" w14:textId="77777777" w:rsidR="001E5EA7" w:rsidRDefault="001E5EA7">
      <w:pPr>
        <w:spacing w:line="360" w:lineRule="auto"/>
        <w:rPr>
          <w:rtl/>
        </w:rPr>
      </w:pPr>
    </w:p>
    <w:p w14:paraId="3980451D" w14:textId="77777777" w:rsidR="001E5EA7" w:rsidRDefault="008D748B">
      <w:pPr>
        <w:spacing w:line="360" w:lineRule="auto"/>
        <w:rPr>
          <w:rtl/>
        </w:rPr>
      </w:pPr>
      <w:r>
        <w:rPr>
          <w:rFonts w:hint="cs"/>
          <w:rtl/>
        </w:rPr>
        <w:t xml:space="preserve">לקולא, אשקול את מצבו הכללי והמשפחתי של הנאשם, וכן את עברו הנקי כמו גם הודאתו במעשיו ולקיחת האחריות הכרוכה בהם,  כאמור. </w:t>
      </w:r>
    </w:p>
    <w:p w14:paraId="08E84B9F" w14:textId="77777777" w:rsidR="001E5EA7" w:rsidRDefault="001E5EA7">
      <w:pPr>
        <w:spacing w:line="360" w:lineRule="auto"/>
        <w:rPr>
          <w:rtl/>
        </w:rPr>
      </w:pPr>
    </w:p>
    <w:p w14:paraId="52A9BD52" w14:textId="77777777" w:rsidR="001E5EA7" w:rsidRDefault="008D748B">
      <w:pPr>
        <w:spacing w:line="360" w:lineRule="auto"/>
        <w:rPr>
          <w:rtl/>
        </w:rPr>
      </w:pPr>
      <w:r>
        <w:rPr>
          <w:rFonts w:hint="cs"/>
          <w:rtl/>
        </w:rPr>
        <w:t xml:space="preserve">לאור נתוניו האישיים, עברו , חרטתו הכנה שהובעה בפניי, והרקע לביצוע העבירות, הגעתי לכלל מסקנה כי העונש המתאים מצוי בחלקו </w:t>
      </w:r>
      <w:r>
        <w:rPr>
          <w:rFonts w:hint="cs"/>
          <w:b/>
          <w:bCs/>
          <w:rtl/>
        </w:rPr>
        <w:t>התחתון</w:t>
      </w:r>
      <w:r>
        <w:rPr>
          <w:rFonts w:hint="cs"/>
          <w:rtl/>
        </w:rPr>
        <w:t xml:space="preserve"> של המתחמים שצוינו לעיל תוך צבירתם כפי שיתואר לעיל.</w:t>
      </w:r>
    </w:p>
    <w:p w14:paraId="54D0D339" w14:textId="77777777" w:rsidR="001E5EA7" w:rsidRDefault="001E5EA7">
      <w:pPr>
        <w:spacing w:line="360" w:lineRule="auto"/>
        <w:rPr>
          <w:rtl/>
        </w:rPr>
      </w:pPr>
    </w:p>
    <w:p w14:paraId="6A4402C7" w14:textId="77777777" w:rsidR="001E5EA7" w:rsidRDefault="008D748B">
      <w:pPr>
        <w:spacing w:line="360" w:lineRule="auto"/>
        <w:rPr>
          <w:rtl/>
        </w:rPr>
      </w:pPr>
      <w:r>
        <w:rPr>
          <w:rFonts w:hint="cs"/>
          <w:rtl/>
        </w:rPr>
        <w:t>אשר על כן אני גוזר על הנאשם את העונשים הבאים:</w:t>
      </w:r>
    </w:p>
    <w:p w14:paraId="4E2B7AA9" w14:textId="77777777" w:rsidR="001E5EA7" w:rsidRDefault="001E5EA7">
      <w:pPr>
        <w:spacing w:line="360" w:lineRule="auto"/>
        <w:rPr>
          <w:rtl/>
        </w:rPr>
      </w:pPr>
    </w:p>
    <w:p w14:paraId="750D9496" w14:textId="77777777" w:rsidR="001E5EA7" w:rsidRDefault="008D748B">
      <w:pPr>
        <w:numPr>
          <w:ilvl w:val="0"/>
          <w:numId w:val="1"/>
        </w:numPr>
        <w:spacing w:line="360" w:lineRule="auto"/>
        <w:rPr>
          <w:b/>
          <w:bCs/>
          <w:rtl/>
        </w:rPr>
      </w:pPr>
      <w:r>
        <w:rPr>
          <w:rFonts w:hint="cs"/>
          <w:b/>
          <w:bCs/>
          <w:rtl/>
        </w:rPr>
        <w:t xml:space="preserve"> שנים עשר (12) חודשי מאסר בפועל לריצוי ממש בניכוי ימי מעצרו. </w:t>
      </w:r>
    </w:p>
    <w:p w14:paraId="250A2D9D" w14:textId="77777777" w:rsidR="001E5EA7" w:rsidRDefault="008D748B">
      <w:pPr>
        <w:numPr>
          <w:ilvl w:val="0"/>
          <w:numId w:val="1"/>
        </w:numPr>
        <w:spacing w:line="360" w:lineRule="auto"/>
        <w:rPr>
          <w:b/>
          <w:bCs/>
        </w:rPr>
      </w:pPr>
      <w:r>
        <w:rPr>
          <w:rFonts w:hint="cs"/>
          <w:b/>
          <w:bCs/>
          <w:rtl/>
        </w:rPr>
        <w:t xml:space="preserve">חמישה (5) חודשי מאסר אשר לא ירוצו אלא אם יעבור הנאשם על העבירות בהן הורשע תוך שלוש שנים מיום שחרורו ממאסרו. </w:t>
      </w:r>
    </w:p>
    <w:p w14:paraId="1284A1E6" w14:textId="77777777" w:rsidR="001E5EA7" w:rsidRDefault="008D748B">
      <w:pPr>
        <w:numPr>
          <w:ilvl w:val="0"/>
          <w:numId w:val="1"/>
        </w:numPr>
        <w:spacing w:line="360" w:lineRule="auto"/>
        <w:rPr>
          <w:b/>
          <w:bCs/>
        </w:rPr>
      </w:pPr>
      <w:r>
        <w:rPr>
          <w:rFonts w:hint="cs"/>
          <w:b/>
          <w:bCs/>
          <w:rtl/>
        </w:rPr>
        <w:t>קנס בסך 3,000 ₪ או 30 ימי מאסר תמורתו. הקנס ישולם עד ליום 1.3.16.</w:t>
      </w:r>
    </w:p>
    <w:p w14:paraId="0543C16F" w14:textId="77777777" w:rsidR="001E5EA7" w:rsidRDefault="008D748B">
      <w:pPr>
        <w:numPr>
          <w:ilvl w:val="0"/>
          <w:numId w:val="1"/>
        </w:numPr>
        <w:spacing w:line="360" w:lineRule="auto"/>
        <w:rPr>
          <w:b/>
          <w:bCs/>
        </w:rPr>
      </w:pPr>
      <w:r>
        <w:rPr>
          <w:rFonts w:hint="cs"/>
          <w:b/>
          <w:bCs/>
          <w:rtl/>
        </w:rPr>
        <w:t>התחייבות בסך 3,000 ₪ שלא לעבור על העבירות בהן הורשע תוך שנתיים מיום מתן גזר הדין. לא יחתום הנאשם על התחייבות זו – ייאסר למשך 15 ימים.</w:t>
      </w:r>
    </w:p>
    <w:p w14:paraId="136080BD" w14:textId="77777777" w:rsidR="001E5EA7" w:rsidRDefault="008D748B">
      <w:pPr>
        <w:numPr>
          <w:ilvl w:val="0"/>
          <w:numId w:val="1"/>
        </w:numPr>
        <w:spacing w:line="360" w:lineRule="auto"/>
        <w:rPr>
          <w:b/>
          <w:bCs/>
        </w:rPr>
      </w:pPr>
      <w:r>
        <w:rPr>
          <w:rFonts w:hint="cs"/>
          <w:b/>
          <w:bCs/>
          <w:rtl/>
        </w:rPr>
        <w:t>כלי הנשק והתחמושת יחולטו לטובת המדינה או יושמדו.</w:t>
      </w:r>
    </w:p>
    <w:p w14:paraId="78379C16" w14:textId="77777777" w:rsidR="001E5EA7" w:rsidRDefault="001E5EA7">
      <w:pPr>
        <w:spacing w:line="360" w:lineRule="auto"/>
        <w:ind w:left="825"/>
      </w:pPr>
    </w:p>
    <w:p w14:paraId="086BF87F" w14:textId="77777777" w:rsidR="001E5EA7" w:rsidRDefault="008D748B">
      <w:pPr>
        <w:spacing w:line="360" w:lineRule="auto"/>
        <w:rPr>
          <w:rtl/>
        </w:rPr>
      </w:pPr>
      <w:r>
        <w:rPr>
          <w:rFonts w:hint="cs"/>
          <w:rtl/>
        </w:rPr>
        <w:t>זכות ערעור לבית המשפט המחוזי תוך 45 יום.</w:t>
      </w:r>
    </w:p>
    <w:p w14:paraId="3128E765" w14:textId="77777777" w:rsidR="001E5EA7" w:rsidRDefault="008D748B">
      <w:pPr>
        <w:spacing w:line="360" w:lineRule="auto"/>
        <w:rPr>
          <w:sz w:val="6"/>
          <w:szCs w:val="6"/>
          <w:rtl/>
        </w:rPr>
      </w:pPr>
      <w:r>
        <w:rPr>
          <w:rFonts w:hint="cs"/>
          <w:rtl/>
        </w:rPr>
        <w:t xml:space="preserve"> </w:t>
      </w:r>
      <w:r>
        <w:rPr>
          <w:sz w:val="6"/>
          <w:szCs w:val="6"/>
          <w:rtl/>
        </w:rPr>
        <w:t>&lt;#4#&gt;</w:t>
      </w:r>
    </w:p>
    <w:p w14:paraId="0941DD92" w14:textId="77777777" w:rsidR="001E5EA7" w:rsidRPr="008D748B" w:rsidRDefault="008D748B">
      <w:pPr>
        <w:jc w:val="right"/>
        <w:rPr>
          <w:color w:val="FFFFFF"/>
          <w:sz w:val="2"/>
          <w:szCs w:val="2"/>
          <w:rtl/>
        </w:rPr>
      </w:pPr>
      <w:r w:rsidRPr="008D748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E5EA7" w14:paraId="7FCB5649" w14:textId="77777777">
        <w:trPr>
          <w:trHeight w:val="316"/>
          <w:jc w:val="right"/>
        </w:trPr>
        <w:tc>
          <w:tcPr>
            <w:tcW w:w="3936" w:type="dxa"/>
            <w:shd w:val="clear" w:color="auto" w:fill="auto"/>
          </w:tcPr>
          <w:p w14:paraId="3EDDCF47" w14:textId="77777777" w:rsidR="001E5EA7" w:rsidRDefault="008D748B">
            <w:pPr>
              <w:jc w:val="center"/>
              <w:rPr>
                <w:rFonts w:ascii="Times New Roman" w:eastAsia="Times New Roman" w:hAnsi="Times New Roman" w:cs="Times New Roman"/>
                <w:rtl/>
              </w:rPr>
            </w:pPr>
            <w:r w:rsidRPr="008D748B">
              <w:rPr>
                <w:b/>
                <w:bCs/>
                <w:color w:val="FFFFFF"/>
                <w:sz w:val="2"/>
                <w:szCs w:val="2"/>
                <w:rtl/>
              </w:rPr>
              <w:t>54678313</w:t>
            </w:r>
            <w:r>
              <w:rPr>
                <w:b/>
                <w:bCs/>
                <w:rtl/>
              </w:rPr>
              <w:t xml:space="preserve">ניתנה והודעה היום ב' סיוון תשע"ה, 20/05/2015 במעמד הנוכחים. </w:t>
            </w:r>
          </w:p>
          <w:p w14:paraId="5E65BB32" w14:textId="77777777" w:rsidR="001E5EA7" w:rsidRDefault="001E5EA7">
            <w:pPr>
              <w:jc w:val="center"/>
              <w:rPr>
                <w:rFonts w:ascii="Times New Roman" w:eastAsia="Times New Roman" w:hAnsi="Times New Roman" w:cs="Times New Roman"/>
                <w:rtl/>
              </w:rPr>
            </w:pPr>
          </w:p>
        </w:tc>
      </w:tr>
      <w:tr w:rsidR="001E5EA7" w14:paraId="1EB66B82" w14:textId="77777777">
        <w:trPr>
          <w:trHeight w:val="361"/>
          <w:jc w:val="right"/>
        </w:trPr>
        <w:tc>
          <w:tcPr>
            <w:tcW w:w="3936" w:type="dxa"/>
            <w:shd w:val="clear" w:color="auto" w:fill="auto"/>
          </w:tcPr>
          <w:p w14:paraId="36BA28A7" w14:textId="77777777" w:rsidR="001E5EA7" w:rsidRDefault="008D748B">
            <w:pPr>
              <w:jc w:val="center"/>
              <w:rPr>
                <w:rFonts w:ascii="Times New Roman" w:eastAsia="Times New Roman" w:hAnsi="Times New Roman"/>
                <w:b/>
                <w:bCs/>
                <w:rtl/>
              </w:rPr>
            </w:pPr>
            <w:r>
              <w:rPr>
                <w:rFonts w:ascii="Times New Roman" w:eastAsia="Times New Roman" w:hAnsi="Times New Roman" w:hint="cs"/>
                <w:b/>
                <w:bCs/>
                <w:rtl/>
              </w:rPr>
              <w:t>שמואל הרבסט</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7470FB9" w14:textId="77777777" w:rsidR="001E5EA7" w:rsidRPr="002C177D" w:rsidRDefault="002C177D">
      <w:pPr>
        <w:jc w:val="right"/>
        <w:rPr>
          <w:color w:val="FFFFFF"/>
          <w:sz w:val="2"/>
          <w:szCs w:val="2"/>
          <w:rtl/>
        </w:rPr>
      </w:pPr>
      <w:r w:rsidRPr="002C177D">
        <w:rPr>
          <w:color w:val="FFFFFF"/>
          <w:sz w:val="2"/>
          <w:szCs w:val="2"/>
          <w:rtl/>
        </w:rPr>
        <w:t>5129371</w:t>
      </w:r>
      <w:r w:rsidR="008D748B" w:rsidRPr="002C177D">
        <w:rPr>
          <w:color w:val="FFFFFF"/>
          <w:sz w:val="2"/>
          <w:szCs w:val="2"/>
          <w:rtl/>
        </w:rPr>
        <w:t xml:space="preserve"> </w:t>
      </w:r>
    </w:p>
    <w:p w14:paraId="5C332092" w14:textId="77777777" w:rsidR="008D748B" w:rsidRPr="002C177D" w:rsidRDefault="002C177D" w:rsidP="008D748B">
      <w:pPr>
        <w:keepNext/>
        <w:rPr>
          <w:color w:val="FFFFFF"/>
          <w:sz w:val="2"/>
          <w:szCs w:val="2"/>
          <w:rtl/>
        </w:rPr>
      </w:pPr>
      <w:r w:rsidRPr="002C177D">
        <w:rPr>
          <w:color w:val="FFFFFF"/>
          <w:sz w:val="2"/>
          <w:szCs w:val="2"/>
          <w:rtl/>
        </w:rPr>
        <w:t>54678313</w:t>
      </w:r>
    </w:p>
    <w:p w14:paraId="30755E40" w14:textId="77777777" w:rsidR="008D748B" w:rsidRPr="008D748B" w:rsidRDefault="008D748B" w:rsidP="008D748B">
      <w:pPr>
        <w:keepNext/>
        <w:rPr>
          <w:color w:val="000000"/>
          <w:sz w:val="22"/>
          <w:szCs w:val="22"/>
          <w:rtl/>
        </w:rPr>
      </w:pPr>
      <w:r w:rsidRPr="008D748B">
        <w:rPr>
          <w:color w:val="000000"/>
          <w:sz w:val="22"/>
          <w:szCs w:val="22"/>
          <w:rtl/>
        </w:rPr>
        <w:t>שמואל הרבסט 54678313</w:t>
      </w:r>
    </w:p>
    <w:p w14:paraId="21AD9598" w14:textId="77777777" w:rsidR="008D748B" w:rsidRDefault="008D748B" w:rsidP="008D748B">
      <w:r w:rsidRPr="008D748B">
        <w:rPr>
          <w:color w:val="000000"/>
          <w:rtl/>
        </w:rPr>
        <w:t>נוסח מסמך זה כפוף לשינויי ניסוח ועריכה</w:t>
      </w:r>
    </w:p>
    <w:p w14:paraId="1B50A19E" w14:textId="77777777" w:rsidR="008D748B" w:rsidRDefault="008D748B" w:rsidP="008D748B">
      <w:pPr>
        <w:rPr>
          <w:rtl/>
        </w:rPr>
      </w:pPr>
    </w:p>
    <w:p w14:paraId="7F54E31E" w14:textId="77777777" w:rsidR="008D748B" w:rsidRDefault="008D748B" w:rsidP="008D748B">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7699E2FE" w14:textId="77777777" w:rsidR="002C177D" w:rsidRPr="002C177D" w:rsidRDefault="002C177D" w:rsidP="002C177D">
      <w:pPr>
        <w:keepNext/>
        <w:rPr>
          <w:color w:val="000000"/>
          <w:sz w:val="22"/>
          <w:szCs w:val="22"/>
          <w:rtl/>
        </w:rPr>
      </w:pPr>
    </w:p>
    <w:sectPr w:rsidR="002C177D" w:rsidRPr="002C177D" w:rsidSect="002C177D">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8A0C4" w14:textId="77777777" w:rsidR="00B474CA" w:rsidRPr="000B03C4" w:rsidRDefault="00B474CA">
      <w:pPr>
        <w:rPr>
          <w:rFonts w:cs="Arial"/>
          <w:szCs w:val="20"/>
        </w:rPr>
      </w:pPr>
      <w:r>
        <w:separator/>
      </w:r>
    </w:p>
  </w:endnote>
  <w:endnote w:type="continuationSeparator" w:id="0">
    <w:p w14:paraId="581D345B" w14:textId="77777777" w:rsidR="00B474CA" w:rsidRPr="000B03C4" w:rsidRDefault="00B474C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47BD" w14:textId="77777777" w:rsidR="00B474CA" w:rsidRDefault="00B474CA" w:rsidP="002C177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C881E89" w14:textId="77777777" w:rsidR="00B474CA" w:rsidRPr="002C177D" w:rsidRDefault="00B474CA" w:rsidP="002C177D">
    <w:pPr>
      <w:pStyle w:val="a4"/>
      <w:pBdr>
        <w:top w:val="single" w:sz="4" w:space="1" w:color="auto"/>
        <w:between w:val="single" w:sz="4" w:space="0" w:color="auto"/>
      </w:pBdr>
      <w:spacing w:after="60"/>
      <w:jc w:val="center"/>
      <w:rPr>
        <w:rFonts w:ascii="FrankRuehl" w:hAnsi="FrankRuehl" w:cs="FrankRuehl"/>
        <w:color w:val="000000"/>
      </w:rPr>
    </w:pPr>
    <w:r w:rsidRPr="002C17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CE168" w14:textId="77777777" w:rsidR="00B474CA" w:rsidRDefault="00B474CA" w:rsidP="002C177D">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A4E">
      <w:rPr>
        <w:rFonts w:ascii="FrankRuehl" w:hAnsi="FrankRuehl" w:cs="FrankRuehl"/>
        <w:noProof/>
        <w:rtl/>
      </w:rPr>
      <w:t>1</w:t>
    </w:r>
    <w:r>
      <w:rPr>
        <w:rFonts w:ascii="FrankRuehl" w:hAnsi="FrankRuehl" w:cs="FrankRuehl"/>
        <w:rtl/>
      </w:rPr>
      <w:fldChar w:fldCharType="end"/>
    </w:r>
  </w:p>
  <w:p w14:paraId="43004ABE" w14:textId="77777777" w:rsidR="00B474CA" w:rsidRPr="002C177D" w:rsidRDefault="00B474CA" w:rsidP="002C177D">
    <w:pPr>
      <w:pStyle w:val="a4"/>
      <w:pBdr>
        <w:top w:val="single" w:sz="4" w:space="1" w:color="auto"/>
        <w:between w:val="single" w:sz="4" w:space="0" w:color="auto"/>
      </w:pBdr>
      <w:spacing w:after="60"/>
      <w:jc w:val="center"/>
      <w:rPr>
        <w:rFonts w:ascii="FrankRuehl" w:hAnsi="FrankRuehl" w:cs="FrankRuehl"/>
        <w:color w:val="000000"/>
      </w:rPr>
    </w:pPr>
    <w:r w:rsidRPr="002C177D">
      <w:rPr>
        <w:rFonts w:ascii="FrankRuehl" w:hAnsi="FrankRuehl" w:cs="FrankRuehl"/>
        <w:color w:val="000000"/>
      </w:rPr>
      <w:pict w14:anchorId="30ED4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A7F3E" w14:textId="77777777" w:rsidR="00B474CA" w:rsidRPr="000B03C4" w:rsidRDefault="00B474CA">
      <w:pPr>
        <w:rPr>
          <w:rFonts w:cs="Arial"/>
          <w:szCs w:val="20"/>
        </w:rPr>
      </w:pPr>
      <w:r>
        <w:separator/>
      </w:r>
    </w:p>
  </w:footnote>
  <w:footnote w:type="continuationSeparator" w:id="0">
    <w:p w14:paraId="7A5A92B8" w14:textId="77777777" w:rsidR="00B474CA" w:rsidRPr="000B03C4" w:rsidRDefault="00B474C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776EF" w14:textId="77777777" w:rsidR="00B474CA" w:rsidRPr="002C177D" w:rsidRDefault="00B474CA" w:rsidP="002C177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27128-11-14</w:t>
    </w:r>
    <w:r>
      <w:rPr>
        <w:color w:val="000000"/>
        <w:sz w:val="22"/>
        <w:szCs w:val="22"/>
        <w:rtl/>
      </w:rPr>
      <w:tab/>
      <w:t xml:space="preserve"> מדינת ישראל נ' מחמד גולאני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19AAD" w14:textId="77777777" w:rsidR="00B474CA" w:rsidRPr="002C177D" w:rsidRDefault="00B474CA" w:rsidP="002C177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27128-11-14</w:t>
    </w:r>
    <w:r>
      <w:rPr>
        <w:color w:val="000000"/>
        <w:sz w:val="22"/>
        <w:szCs w:val="22"/>
        <w:rtl/>
      </w:rPr>
      <w:tab/>
      <w:t xml:space="preserve"> מדינת ישראל נ' מחמד גולאני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947C0"/>
    <w:multiLevelType w:val="hybridMultilevel"/>
    <w:tmpl w:val="985EC678"/>
    <w:lvl w:ilvl="0" w:tplc="C43CC31C">
      <w:start w:val="1"/>
      <w:numFmt w:val="decimal"/>
      <w:lvlText w:val="%1."/>
      <w:lvlJc w:val="left"/>
      <w:pPr>
        <w:tabs>
          <w:tab w:val="num" w:pos="825"/>
        </w:tabs>
        <w:ind w:left="825" w:hanging="46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49420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5EA7"/>
    <w:rsid w:val="001606F2"/>
    <w:rsid w:val="001E5EA7"/>
    <w:rsid w:val="002C177D"/>
    <w:rsid w:val="0071067E"/>
    <w:rsid w:val="008D748B"/>
    <w:rsid w:val="00A45DB0"/>
    <w:rsid w:val="00B474CA"/>
    <w:rsid w:val="00D656B6"/>
    <w:rsid w:val="00DD5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737827C"/>
  <w15:chartTrackingRefBased/>
  <w15:docId w15:val="{F1750F4C-DD29-4E26-BD37-9780F62E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5EA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E5EA7"/>
    <w:pPr>
      <w:tabs>
        <w:tab w:val="center" w:pos="4153"/>
        <w:tab w:val="right" w:pos="8306"/>
      </w:tabs>
    </w:pPr>
  </w:style>
  <w:style w:type="paragraph" w:styleId="a4">
    <w:name w:val="footer"/>
    <w:basedOn w:val="a"/>
    <w:rsid w:val="001E5EA7"/>
    <w:pPr>
      <w:tabs>
        <w:tab w:val="center" w:pos="4153"/>
        <w:tab w:val="right" w:pos="8306"/>
      </w:tabs>
    </w:pPr>
  </w:style>
  <w:style w:type="character" w:styleId="a5">
    <w:name w:val="page number"/>
    <w:basedOn w:val="a0"/>
    <w:rsid w:val="001E5EA7"/>
  </w:style>
  <w:style w:type="character" w:customStyle="1" w:styleId="TimesNewRomanTimesNewRoman">
    <w:name w:val="סגנון (לטיני) Times New Roman (עברית ושפות אחרות) Times New Roman..."/>
    <w:rsid w:val="001E5EA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E5EA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E5EA7"/>
    <w:pPr>
      <w:spacing w:line="360" w:lineRule="auto"/>
      <w:jc w:val="both"/>
    </w:pPr>
    <w:rPr>
      <w:rFonts w:ascii="Times New Roman" w:eastAsia="Times New Roman" w:hAnsi="Times New Roman"/>
    </w:rPr>
  </w:style>
  <w:style w:type="character" w:styleId="a6">
    <w:name w:val="line number"/>
    <w:basedOn w:val="a0"/>
    <w:rsid w:val="001E5EA7"/>
  </w:style>
  <w:style w:type="character" w:styleId="Hyperlink">
    <w:name w:val="Hyperlink"/>
    <w:basedOn w:val="a0"/>
    <w:rsid w:val="008D7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5" TargetMode="External"/><Relationship Id="rId13" Type="http://schemas.openxmlformats.org/officeDocument/2006/relationships/hyperlink" Target="http://www.nevo.co.il/law/70301/340a" TargetMode="External"/><Relationship Id="rId18" Type="http://schemas.openxmlformats.org/officeDocument/2006/relationships/hyperlink" Target="http://www.nevo.co.il/law/70301/274.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74.3" TargetMode="External"/><Relationship Id="rId17" Type="http://schemas.openxmlformats.org/officeDocument/2006/relationships/hyperlink" Target="http://www.nevo.co.il/law/70301/274.2"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74.1"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4.2"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40a" TargetMode="External"/><Relationship Id="rId23" Type="http://schemas.openxmlformats.org/officeDocument/2006/relationships/header" Target="header2.xml"/><Relationship Id="rId10" Type="http://schemas.openxmlformats.org/officeDocument/2006/relationships/hyperlink" Target="http://www.nevo.co.il/law/70301/274.1" TargetMode="Externa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1080</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6471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4980819</vt:i4>
      </vt:variant>
      <vt:variant>
        <vt:i4>33</vt:i4>
      </vt:variant>
      <vt:variant>
        <vt:i4>0</vt:i4>
      </vt:variant>
      <vt:variant>
        <vt:i4>5</vt:i4>
      </vt:variant>
      <vt:variant>
        <vt:lpwstr>http://www.nevo.co.il/law/70301/274.3</vt:lpwstr>
      </vt:variant>
      <vt:variant>
        <vt:lpwstr/>
      </vt:variant>
      <vt:variant>
        <vt:i4>4980819</vt:i4>
      </vt:variant>
      <vt:variant>
        <vt:i4>30</vt:i4>
      </vt:variant>
      <vt:variant>
        <vt:i4>0</vt:i4>
      </vt:variant>
      <vt:variant>
        <vt:i4>5</vt:i4>
      </vt:variant>
      <vt:variant>
        <vt:lpwstr>http://www.nevo.co.il/law/70301/274.2</vt:lpwstr>
      </vt:variant>
      <vt:variant>
        <vt:lpwstr/>
      </vt:variant>
      <vt:variant>
        <vt:i4>4980819</vt:i4>
      </vt:variant>
      <vt:variant>
        <vt:i4>27</vt:i4>
      </vt:variant>
      <vt:variant>
        <vt:i4>0</vt:i4>
      </vt:variant>
      <vt:variant>
        <vt:i4>5</vt:i4>
      </vt:variant>
      <vt:variant>
        <vt:lpwstr>http://www.nevo.co.il/law/70301/274.1</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86</vt:i4>
      </vt:variant>
      <vt:variant>
        <vt:i4>18</vt:i4>
      </vt:variant>
      <vt:variant>
        <vt:i4>0</vt:i4>
      </vt:variant>
      <vt:variant>
        <vt:i4>5</vt:i4>
      </vt:variant>
      <vt:variant>
        <vt:lpwstr>http://www.nevo.co.il/law/70301/340a</vt:lpwstr>
      </vt:variant>
      <vt:variant>
        <vt:lpwstr/>
      </vt:variant>
      <vt:variant>
        <vt:i4>4980819</vt:i4>
      </vt:variant>
      <vt:variant>
        <vt:i4>15</vt:i4>
      </vt:variant>
      <vt:variant>
        <vt:i4>0</vt:i4>
      </vt:variant>
      <vt:variant>
        <vt:i4>5</vt:i4>
      </vt:variant>
      <vt:variant>
        <vt:lpwstr>http://www.nevo.co.il/law/70301/274.3</vt:lpwstr>
      </vt:variant>
      <vt:variant>
        <vt:lpwstr/>
      </vt:variant>
      <vt:variant>
        <vt:i4>4980819</vt:i4>
      </vt:variant>
      <vt:variant>
        <vt:i4>12</vt:i4>
      </vt:variant>
      <vt:variant>
        <vt:i4>0</vt:i4>
      </vt:variant>
      <vt:variant>
        <vt:i4>5</vt:i4>
      </vt:variant>
      <vt:variant>
        <vt:lpwstr>http://www.nevo.co.il/law/70301/274.2</vt:lpwstr>
      </vt:variant>
      <vt:variant>
        <vt:lpwstr/>
      </vt:variant>
      <vt:variant>
        <vt:i4>4980819</vt:i4>
      </vt:variant>
      <vt:variant>
        <vt:i4>9</vt:i4>
      </vt:variant>
      <vt:variant>
        <vt:i4>0</vt:i4>
      </vt:variant>
      <vt:variant>
        <vt:i4>5</vt:i4>
      </vt:variant>
      <vt:variant>
        <vt:lpwstr>http://www.nevo.co.il/law/70301/274.1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2025-01-19T17:35:00Z</dcterms:created>
  <dcterms:modified xsi:type="dcterms:W3CDTF">2025-01-19T17:35:00Z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27128</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מחמד גולאני</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20150520</vt:lpwstr>
  </property>
  <property fmtid="{D5CDD505-2E9C-101B-9397-08002B2CF9AE}" pid="13" name="TYPE_N_DATE">
    <vt:lpwstr>38020150520</vt:lpwstr>
  </property>
  <property fmtid="{D5CDD505-2E9C-101B-9397-08002B2CF9AE}" pid="14" name="CASENOTES1">
    <vt:lpwstr>ProcID=235&amp;PartA=12&amp;PartC=24</vt:lpwstr>
  </property>
  <property fmtid="{D5CDD505-2E9C-101B-9397-08002B2CF9AE}" pid="15" name="WORDNUMPAGES">
    <vt:lpwstr>4</vt:lpwstr>
  </property>
  <property fmtid="{D5CDD505-2E9C-101B-9397-08002B2CF9AE}" pid="16" name="TYPE_ABS_DATE">
    <vt:lpwstr>380020150520</vt:lpwstr>
  </property>
  <property fmtid="{D5CDD505-2E9C-101B-9397-08002B2CF9AE}" pid="17" name="LAWYER">
    <vt:lpwstr>נתי בן חמו;מוחמד מחמוד</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70301/144.a;340a;274.1;274.2;274.3;025</vt:lpwstr>
  </property>
</Properties>
</file>