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92E73" w:rsidRPr="00EF06C0" w14:paraId="295279BB" w14:textId="77777777">
        <w:trPr>
          <w:trHeight w:hRule="exact" w:val="418"/>
          <w:jc w:val="center"/>
        </w:trPr>
        <w:tc>
          <w:tcPr>
            <w:tcW w:w="8721" w:type="dxa"/>
            <w:gridSpan w:val="2"/>
          </w:tcPr>
          <w:p w14:paraId="5D4B358E" w14:textId="77777777" w:rsidR="00892E73" w:rsidRPr="00EF06C0" w:rsidRDefault="00EF06C0">
            <w:pPr>
              <w:pStyle w:val="a3"/>
              <w:jc w:val="center"/>
              <w:rPr>
                <w:rFonts w:ascii="Tahoma" w:hAnsi="Tahoma" w:cs="Tahoma"/>
                <w:color w:val="000080"/>
                <w:rtl/>
              </w:rPr>
            </w:pPr>
            <w:bookmarkStart w:id="0" w:name="LastJudge"/>
            <w:r w:rsidRPr="00EF06C0">
              <w:rPr>
                <w:rFonts w:ascii="Tahoma" w:hAnsi="Tahoma" w:cs="Tahoma"/>
                <w:b/>
                <w:bCs/>
                <w:color w:val="000080"/>
                <w:rtl/>
              </w:rPr>
              <w:t>בית משפט השלום בתל אביב - יפו</w:t>
            </w:r>
          </w:p>
        </w:tc>
      </w:tr>
      <w:tr w:rsidR="00892E73" w:rsidRPr="00EF06C0" w14:paraId="4BB62872" w14:textId="77777777">
        <w:trPr>
          <w:trHeight w:val="337"/>
          <w:jc w:val="center"/>
        </w:trPr>
        <w:tc>
          <w:tcPr>
            <w:tcW w:w="5054" w:type="dxa"/>
          </w:tcPr>
          <w:p w14:paraId="5C14B90C" w14:textId="77777777" w:rsidR="00892E73" w:rsidRPr="00EF06C0" w:rsidRDefault="00EF06C0">
            <w:pPr>
              <w:rPr>
                <w:rFonts w:cs="FrankRuehl"/>
                <w:sz w:val="28"/>
                <w:szCs w:val="28"/>
                <w:rtl/>
              </w:rPr>
            </w:pPr>
            <w:r w:rsidRPr="00EF06C0">
              <w:rPr>
                <w:rFonts w:cs="FrankRuehl"/>
                <w:sz w:val="28"/>
                <w:szCs w:val="28"/>
                <w:rtl/>
              </w:rPr>
              <w:t>ת"פ</w:t>
            </w:r>
            <w:r w:rsidRPr="00EF06C0">
              <w:rPr>
                <w:rFonts w:cs="FrankRuehl" w:hint="cs"/>
                <w:sz w:val="28"/>
                <w:szCs w:val="28"/>
                <w:rtl/>
              </w:rPr>
              <w:t xml:space="preserve"> </w:t>
            </w:r>
            <w:r w:rsidRPr="00EF06C0">
              <w:rPr>
                <w:rFonts w:cs="FrankRuehl"/>
                <w:sz w:val="28"/>
                <w:szCs w:val="28"/>
                <w:rtl/>
              </w:rPr>
              <w:t>14020-05-15</w:t>
            </w:r>
            <w:r w:rsidRPr="00EF06C0">
              <w:rPr>
                <w:rFonts w:cs="FrankRuehl" w:hint="cs"/>
                <w:sz w:val="28"/>
                <w:szCs w:val="28"/>
                <w:rtl/>
              </w:rPr>
              <w:t xml:space="preserve"> </w:t>
            </w:r>
            <w:r w:rsidRPr="00EF06C0">
              <w:rPr>
                <w:rFonts w:cs="FrankRuehl"/>
                <w:sz w:val="28"/>
                <w:szCs w:val="28"/>
                <w:rtl/>
              </w:rPr>
              <w:t>מע"מ ת"א 2,1 נ' חבשי</w:t>
            </w:r>
          </w:p>
          <w:p w14:paraId="220BF174" w14:textId="77777777" w:rsidR="00892E73" w:rsidRPr="00EF06C0" w:rsidRDefault="00892E73">
            <w:pPr>
              <w:pStyle w:val="a3"/>
              <w:rPr>
                <w:rFonts w:cs="FrankRuehl"/>
                <w:sz w:val="28"/>
                <w:szCs w:val="28"/>
                <w:rtl/>
              </w:rPr>
            </w:pPr>
          </w:p>
        </w:tc>
        <w:tc>
          <w:tcPr>
            <w:tcW w:w="3667" w:type="dxa"/>
          </w:tcPr>
          <w:p w14:paraId="3F3ABECA" w14:textId="77777777" w:rsidR="00892E73" w:rsidRPr="00EF06C0" w:rsidRDefault="00892E73">
            <w:pPr>
              <w:pStyle w:val="a3"/>
              <w:jc w:val="right"/>
              <w:rPr>
                <w:rFonts w:cs="FrankRuehl"/>
                <w:sz w:val="28"/>
                <w:szCs w:val="28"/>
                <w:rtl/>
              </w:rPr>
            </w:pPr>
          </w:p>
        </w:tc>
      </w:tr>
    </w:tbl>
    <w:p w14:paraId="263A67D2" w14:textId="77777777" w:rsidR="00892E73" w:rsidRPr="00EF06C0" w:rsidRDefault="00EF06C0">
      <w:pPr>
        <w:pStyle w:val="a3"/>
        <w:rPr>
          <w:rtl/>
        </w:rPr>
      </w:pPr>
      <w:r w:rsidRPr="00EF06C0">
        <w:rPr>
          <w:rFonts w:hint="cs"/>
          <w:rtl/>
        </w:rPr>
        <w:t xml:space="preserve"> </w:t>
      </w:r>
    </w:p>
    <w:p w14:paraId="29ADA4EE" w14:textId="77777777" w:rsidR="00892E73" w:rsidRPr="00EF06C0" w:rsidRDefault="00892E73">
      <w:pPr>
        <w:spacing w:line="360" w:lineRule="auto"/>
        <w:rPr>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92E73" w:rsidRPr="00EF06C0" w14:paraId="1E82BDA6" w14:textId="77777777">
        <w:trPr>
          <w:trHeight w:val="295"/>
          <w:jc w:val="center"/>
        </w:trPr>
        <w:tc>
          <w:tcPr>
            <w:tcW w:w="923" w:type="dxa"/>
            <w:tcBorders>
              <w:top w:val="nil"/>
              <w:left w:val="nil"/>
              <w:bottom w:val="nil"/>
              <w:right w:val="nil"/>
            </w:tcBorders>
            <w:shd w:val="clear" w:color="auto" w:fill="auto"/>
          </w:tcPr>
          <w:p w14:paraId="059CF670" w14:textId="77777777" w:rsidR="00892E73" w:rsidRPr="00EF06C0" w:rsidRDefault="00EF06C0">
            <w:pPr>
              <w:spacing w:line="360" w:lineRule="auto"/>
              <w:jc w:val="both"/>
              <w:rPr>
                <w:rFonts w:ascii="Arial" w:hAnsi="Arial"/>
                <w:b/>
                <w:bCs/>
                <w:sz w:val="26"/>
                <w:szCs w:val="26"/>
              </w:rPr>
            </w:pPr>
            <w:r w:rsidRPr="00EF06C0">
              <w:rPr>
                <w:rFonts w:ascii="Arial" w:hAnsi="Arial" w:hint="cs"/>
                <w:b/>
                <w:bCs/>
                <w:sz w:val="26"/>
                <w:szCs w:val="26"/>
                <w:rtl/>
              </w:rPr>
              <w:t>ב</w:t>
            </w:r>
            <w:r w:rsidRPr="00EF06C0">
              <w:rPr>
                <w:rFonts w:ascii="Arial" w:hAnsi="Arial"/>
                <w:b/>
                <w:bCs/>
                <w:sz w:val="26"/>
                <w:szCs w:val="26"/>
                <w:rtl/>
              </w:rPr>
              <w:t xml:space="preserve">פני </w:t>
            </w:r>
          </w:p>
        </w:tc>
        <w:tc>
          <w:tcPr>
            <w:tcW w:w="7897" w:type="dxa"/>
            <w:gridSpan w:val="2"/>
            <w:tcBorders>
              <w:top w:val="nil"/>
              <w:left w:val="nil"/>
              <w:bottom w:val="nil"/>
              <w:right w:val="nil"/>
            </w:tcBorders>
            <w:shd w:val="clear" w:color="auto" w:fill="auto"/>
          </w:tcPr>
          <w:p w14:paraId="71A6CE19" w14:textId="77777777" w:rsidR="00892E73" w:rsidRPr="00EF06C0" w:rsidRDefault="00EF06C0">
            <w:pPr>
              <w:spacing w:line="360" w:lineRule="auto"/>
              <w:rPr>
                <w:rFonts w:ascii="Arial" w:hAnsi="Arial"/>
                <w:b/>
                <w:bCs/>
                <w:sz w:val="26"/>
                <w:szCs w:val="26"/>
                <w:rtl/>
              </w:rPr>
            </w:pPr>
            <w:r w:rsidRPr="00EF06C0">
              <w:rPr>
                <w:rFonts w:ascii="Arial" w:hAnsi="Arial" w:hint="cs"/>
                <w:b/>
                <w:bCs/>
                <w:sz w:val="26"/>
                <w:szCs w:val="26"/>
                <w:rtl/>
              </w:rPr>
              <w:t>כבוד ה</w:t>
            </w:r>
            <w:r w:rsidRPr="00EF06C0">
              <w:rPr>
                <w:rFonts w:hint="cs"/>
                <w:b/>
                <w:bCs/>
                <w:sz w:val="26"/>
                <w:szCs w:val="26"/>
                <w:rtl/>
              </w:rPr>
              <w:t>שופט</w:t>
            </w:r>
            <w:r w:rsidRPr="00EF06C0">
              <w:rPr>
                <w:rFonts w:ascii="Arial" w:hAnsi="Arial" w:hint="cs"/>
                <w:b/>
                <w:bCs/>
                <w:sz w:val="26"/>
                <w:szCs w:val="26"/>
                <w:rtl/>
              </w:rPr>
              <w:t xml:space="preserve">  </w:t>
            </w:r>
            <w:r w:rsidRPr="00EF06C0">
              <w:rPr>
                <w:rFonts w:hint="cs"/>
                <w:b/>
                <w:bCs/>
                <w:sz w:val="26"/>
                <w:szCs w:val="26"/>
                <w:rtl/>
              </w:rPr>
              <w:t>ד"ר שאול אבינור</w:t>
            </w:r>
          </w:p>
          <w:p w14:paraId="273D83C1" w14:textId="77777777" w:rsidR="00892E73" w:rsidRPr="00EF06C0" w:rsidRDefault="00892E73">
            <w:pPr>
              <w:spacing w:line="360" w:lineRule="auto"/>
              <w:rPr>
                <w:b/>
                <w:bCs/>
                <w:sz w:val="26"/>
                <w:szCs w:val="26"/>
                <w:rtl/>
              </w:rPr>
            </w:pPr>
          </w:p>
          <w:p w14:paraId="7DF44186" w14:textId="77777777" w:rsidR="00892E73" w:rsidRPr="00EF06C0" w:rsidRDefault="00892E73">
            <w:pPr>
              <w:spacing w:line="360" w:lineRule="auto"/>
              <w:jc w:val="both"/>
              <w:rPr>
                <w:rFonts w:ascii="Arial" w:hAnsi="Arial"/>
                <w:b/>
                <w:bCs/>
                <w:sz w:val="26"/>
                <w:szCs w:val="26"/>
              </w:rPr>
            </w:pPr>
          </w:p>
        </w:tc>
      </w:tr>
      <w:tr w:rsidR="00892E73" w:rsidRPr="00EF06C0" w14:paraId="474FA38B" w14:textId="77777777">
        <w:trPr>
          <w:trHeight w:val="355"/>
          <w:jc w:val="center"/>
        </w:trPr>
        <w:tc>
          <w:tcPr>
            <w:tcW w:w="923" w:type="dxa"/>
            <w:tcBorders>
              <w:top w:val="nil"/>
              <w:left w:val="nil"/>
              <w:bottom w:val="nil"/>
              <w:right w:val="nil"/>
            </w:tcBorders>
            <w:shd w:val="clear" w:color="auto" w:fill="auto"/>
          </w:tcPr>
          <w:p w14:paraId="18B24879" w14:textId="77777777" w:rsidR="00892E73" w:rsidRPr="00EF06C0" w:rsidRDefault="00EF06C0">
            <w:pPr>
              <w:spacing w:line="360" w:lineRule="auto"/>
              <w:jc w:val="both"/>
              <w:rPr>
                <w:rFonts w:ascii="Arial" w:hAnsi="Arial"/>
                <w:b/>
                <w:bCs/>
                <w:sz w:val="26"/>
                <w:szCs w:val="26"/>
              </w:rPr>
            </w:pPr>
            <w:bookmarkStart w:id="1" w:name="FirstAppellant"/>
            <w:bookmarkStart w:id="2" w:name="FirstLawyer"/>
            <w:r w:rsidRPr="00EF06C0">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0A930228" w14:textId="77777777" w:rsidR="00892E73" w:rsidRPr="00EF06C0" w:rsidRDefault="00EF06C0">
            <w:pPr>
              <w:spacing w:line="360" w:lineRule="auto"/>
              <w:rPr>
                <w:b/>
                <w:bCs/>
                <w:sz w:val="26"/>
                <w:szCs w:val="26"/>
                <w:rtl/>
              </w:rPr>
            </w:pPr>
            <w:r w:rsidRPr="00EF06C0">
              <w:rPr>
                <w:rFonts w:hint="cs"/>
                <w:b/>
                <w:bCs/>
                <w:sz w:val="26"/>
                <w:szCs w:val="26"/>
                <w:rtl/>
              </w:rPr>
              <w:t>מדינת ישראל</w:t>
            </w:r>
          </w:p>
          <w:p w14:paraId="44C674D9" w14:textId="77777777" w:rsidR="00892E73" w:rsidRPr="00EF06C0" w:rsidRDefault="00EF06C0">
            <w:pPr>
              <w:spacing w:line="360" w:lineRule="auto"/>
              <w:rPr>
                <w:sz w:val="26"/>
                <w:szCs w:val="26"/>
              </w:rPr>
            </w:pPr>
            <w:r w:rsidRPr="00EF06C0">
              <w:rPr>
                <w:rFonts w:hint="cs"/>
                <w:rtl/>
              </w:rPr>
              <w:t>ע"י ב"כ עו"ד אסתר דויט</w:t>
            </w:r>
          </w:p>
        </w:tc>
        <w:tc>
          <w:tcPr>
            <w:tcW w:w="3771" w:type="dxa"/>
            <w:tcBorders>
              <w:top w:val="nil"/>
              <w:left w:val="nil"/>
              <w:bottom w:val="nil"/>
              <w:right w:val="nil"/>
            </w:tcBorders>
            <w:shd w:val="clear" w:color="auto" w:fill="auto"/>
          </w:tcPr>
          <w:p w14:paraId="0C7D8B24" w14:textId="77777777" w:rsidR="00892E73" w:rsidRPr="00EF06C0" w:rsidRDefault="00892E73">
            <w:pPr>
              <w:spacing w:line="360" w:lineRule="auto"/>
              <w:jc w:val="both"/>
              <w:rPr>
                <w:rFonts w:ascii="Arial" w:hAnsi="Arial"/>
                <w:b/>
                <w:bCs/>
                <w:sz w:val="26"/>
                <w:szCs w:val="26"/>
              </w:rPr>
            </w:pPr>
          </w:p>
        </w:tc>
      </w:tr>
      <w:bookmarkEnd w:id="1"/>
      <w:bookmarkEnd w:id="2"/>
      <w:tr w:rsidR="00892E73" w:rsidRPr="00EF06C0" w14:paraId="0B8FC6AC" w14:textId="77777777">
        <w:trPr>
          <w:trHeight w:val="355"/>
          <w:jc w:val="center"/>
        </w:trPr>
        <w:tc>
          <w:tcPr>
            <w:tcW w:w="923" w:type="dxa"/>
            <w:tcBorders>
              <w:top w:val="nil"/>
              <w:left w:val="nil"/>
              <w:bottom w:val="nil"/>
              <w:right w:val="nil"/>
            </w:tcBorders>
            <w:shd w:val="clear" w:color="auto" w:fill="auto"/>
          </w:tcPr>
          <w:p w14:paraId="5541DF91" w14:textId="77777777" w:rsidR="00892E73" w:rsidRPr="00EF06C0" w:rsidRDefault="00892E73">
            <w:pPr>
              <w:spacing w:line="360" w:lineRule="auto"/>
              <w:jc w:val="both"/>
              <w:rPr>
                <w:rFonts w:ascii="Arial" w:hAnsi="Arial"/>
                <w:b/>
                <w:bCs/>
                <w:sz w:val="26"/>
                <w:szCs w:val="26"/>
                <w:rtl/>
              </w:rPr>
            </w:pPr>
          </w:p>
        </w:tc>
        <w:tc>
          <w:tcPr>
            <w:tcW w:w="4126" w:type="dxa"/>
            <w:tcBorders>
              <w:top w:val="nil"/>
              <w:left w:val="nil"/>
              <w:bottom w:val="nil"/>
              <w:right w:val="nil"/>
            </w:tcBorders>
            <w:shd w:val="clear" w:color="auto" w:fill="auto"/>
          </w:tcPr>
          <w:p w14:paraId="5B2A8FDF" w14:textId="77777777" w:rsidR="00892E73" w:rsidRPr="00EF06C0" w:rsidRDefault="00892E73">
            <w:pPr>
              <w:spacing w:line="360" w:lineRule="auto"/>
              <w:jc w:val="both"/>
              <w:rPr>
                <w:b/>
                <w:bCs/>
                <w:sz w:val="26"/>
                <w:szCs w:val="26"/>
                <w:rtl/>
              </w:rPr>
            </w:pPr>
          </w:p>
        </w:tc>
        <w:tc>
          <w:tcPr>
            <w:tcW w:w="3771" w:type="dxa"/>
            <w:tcBorders>
              <w:top w:val="nil"/>
              <w:left w:val="nil"/>
              <w:bottom w:val="nil"/>
              <w:right w:val="nil"/>
            </w:tcBorders>
            <w:shd w:val="clear" w:color="auto" w:fill="auto"/>
          </w:tcPr>
          <w:p w14:paraId="0ADE41D2" w14:textId="77777777" w:rsidR="00892E73" w:rsidRPr="00EF06C0" w:rsidRDefault="00EF06C0">
            <w:pPr>
              <w:spacing w:line="360" w:lineRule="auto"/>
              <w:jc w:val="right"/>
              <w:rPr>
                <w:rFonts w:ascii="Arial" w:hAnsi="Arial"/>
                <w:b/>
                <w:bCs/>
                <w:sz w:val="26"/>
                <w:szCs w:val="26"/>
                <w:rtl/>
              </w:rPr>
            </w:pPr>
            <w:r w:rsidRPr="00EF06C0">
              <w:rPr>
                <w:rFonts w:ascii="Arial" w:hAnsi="Arial" w:hint="cs"/>
                <w:b/>
                <w:bCs/>
                <w:sz w:val="26"/>
                <w:szCs w:val="26"/>
                <w:rtl/>
              </w:rPr>
              <w:t>ה</w:t>
            </w:r>
            <w:r w:rsidRPr="00EF06C0">
              <w:rPr>
                <w:rFonts w:hint="cs"/>
                <w:b/>
                <w:bCs/>
                <w:sz w:val="26"/>
                <w:szCs w:val="26"/>
                <w:rtl/>
              </w:rPr>
              <w:t>מאשימה</w:t>
            </w:r>
          </w:p>
        </w:tc>
      </w:tr>
      <w:tr w:rsidR="00892E73" w:rsidRPr="00EF06C0" w14:paraId="76F17113" w14:textId="77777777">
        <w:trPr>
          <w:trHeight w:val="355"/>
          <w:jc w:val="center"/>
        </w:trPr>
        <w:tc>
          <w:tcPr>
            <w:tcW w:w="923" w:type="dxa"/>
            <w:tcBorders>
              <w:top w:val="nil"/>
              <w:left w:val="nil"/>
              <w:bottom w:val="nil"/>
              <w:right w:val="nil"/>
            </w:tcBorders>
            <w:shd w:val="clear" w:color="auto" w:fill="auto"/>
          </w:tcPr>
          <w:p w14:paraId="25C55C7F" w14:textId="77777777" w:rsidR="00892E73" w:rsidRPr="00EF06C0" w:rsidRDefault="00892E73">
            <w:pPr>
              <w:spacing w:line="360" w:lineRule="auto"/>
              <w:jc w:val="both"/>
              <w:rPr>
                <w:rFonts w:ascii="Arial" w:hAnsi="Arial"/>
                <w:b/>
                <w:bCs/>
                <w:sz w:val="26"/>
                <w:szCs w:val="26"/>
                <w:rtl/>
              </w:rPr>
            </w:pPr>
          </w:p>
        </w:tc>
        <w:tc>
          <w:tcPr>
            <w:tcW w:w="7897" w:type="dxa"/>
            <w:gridSpan w:val="2"/>
            <w:tcBorders>
              <w:top w:val="nil"/>
              <w:left w:val="nil"/>
              <w:bottom w:val="nil"/>
              <w:right w:val="nil"/>
            </w:tcBorders>
            <w:shd w:val="clear" w:color="auto" w:fill="auto"/>
          </w:tcPr>
          <w:p w14:paraId="1F7A4DD4" w14:textId="77777777" w:rsidR="00892E73" w:rsidRPr="00EF06C0" w:rsidRDefault="00892E73">
            <w:pPr>
              <w:spacing w:line="360" w:lineRule="auto"/>
              <w:jc w:val="center"/>
              <w:rPr>
                <w:rFonts w:ascii="Arial" w:hAnsi="Arial"/>
                <w:b/>
                <w:bCs/>
                <w:sz w:val="26"/>
                <w:szCs w:val="26"/>
                <w:rtl/>
              </w:rPr>
            </w:pPr>
          </w:p>
          <w:p w14:paraId="320881C1" w14:textId="77777777" w:rsidR="00892E73" w:rsidRPr="00EF06C0" w:rsidRDefault="00892E73" w:rsidP="005931D8">
            <w:pPr>
              <w:spacing w:line="360" w:lineRule="auto"/>
              <w:rPr>
                <w:rFonts w:ascii="Arial" w:hAnsi="Arial" w:hint="cs"/>
                <w:b/>
                <w:bCs/>
                <w:sz w:val="26"/>
                <w:szCs w:val="26"/>
                <w:rtl/>
              </w:rPr>
            </w:pPr>
          </w:p>
          <w:p w14:paraId="0B668463" w14:textId="77777777" w:rsidR="00892E73" w:rsidRPr="00EF06C0" w:rsidRDefault="00EF06C0" w:rsidP="005931D8">
            <w:pPr>
              <w:spacing w:line="360" w:lineRule="auto"/>
              <w:jc w:val="center"/>
              <w:rPr>
                <w:rFonts w:ascii="Arial" w:hAnsi="Arial"/>
                <w:b/>
                <w:bCs/>
                <w:sz w:val="26"/>
                <w:szCs w:val="26"/>
              </w:rPr>
            </w:pPr>
            <w:r w:rsidRPr="00EF06C0">
              <w:rPr>
                <w:rFonts w:ascii="Arial" w:hAnsi="Arial"/>
                <w:b/>
                <w:bCs/>
                <w:sz w:val="26"/>
                <w:szCs w:val="26"/>
                <w:rtl/>
              </w:rPr>
              <w:t>נגד</w:t>
            </w:r>
          </w:p>
        </w:tc>
      </w:tr>
      <w:tr w:rsidR="00892E73" w:rsidRPr="00EF06C0" w14:paraId="203D4343" w14:textId="77777777">
        <w:trPr>
          <w:trHeight w:val="355"/>
          <w:jc w:val="center"/>
        </w:trPr>
        <w:tc>
          <w:tcPr>
            <w:tcW w:w="923" w:type="dxa"/>
            <w:tcBorders>
              <w:top w:val="nil"/>
              <w:left w:val="nil"/>
              <w:bottom w:val="nil"/>
              <w:right w:val="nil"/>
            </w:tcBorders>
            <w:shd w:val="clear" w:color="auto" w:fill="auto"/>
          </w:tcPr>
          <w:p w14:paraId="278BDF10" w14:textId="77777777" w:rsidR="00892E73" w:rsidRPr="00EF06C0" w:rsidRDefault="00892E73">
            <w:pPr>
              <w:spacing w:line="360" w:lineRule="auto"/>
              <w:rPr>
                <w:rFonts w:ascii="Arial" w:hAnsi="Arial"/>
                <w:b/>
                <w:bCs/>
                <w:sz w:val="26"/>
                <w:szCs w:val="26"/>
                <w:rtl/>
              </w:rPr>
            </w:pPr>
          </w:p>
        </w:tc>
        <w:tc>
          <w:tcPr>
            <w:tcW w:w="4126" w:type="dxa"/>
            <w:tcBorders>
              <w:top w:val="nil"/>
              <w:left w:val="nil"/>
              <w:bottom w:val="nil"/>
              <w:right w:val="nil"/>
            </w:tcBorders>
            <w:shd w:val="clear" w:color="auto" w:fill="auto"/>
          </w:tcPr>
          <w:p w14:paraId="3BF937B6" w14:textId="77777777" w:rsidR="00892E73" w:rsidRPr="00EF06C0" w:rsidRDefault="00EF06C0">
            <w:pPr>
              <w:spacing w:line="360" w:lineRule="auto"/>
              <w:rPr>
                <w:b/>
                <w:bCs/>
                <w:sz w:val="26"/>
                <w:szCs w:val="26"/>
                <w:rtl/>
              </w:rPr>
            </w:pPr>
            <w:r w:rsidRPr="00EF06C0">
              <w:rPr>
                <w:rFonts w:hint="cs"/>
                <w:b/>
                <w:bCs/>
                <w:sz w:val="26"/>
                <w:szCs w:val="26"/>
                <w:rtl/>
              </w:rPr>
              <w:t>ג'לאל חבשי</w:t>
            </w:r>
          </w:p>
          <w:p w14:paraId="62DB2538" w14:textId="77777777" w:rsidR="00892E73" w:rsidRPr="00EF06C0" w:rsidRDefault="00EF06C0">
            <w:pPr>
              <w:spacing w:line="360" w:lineRule="auto"/>
              <w:rPr>
                <w:b/>
                <w:bCs/>
                <w:sz w:val="26"/>
                <w:szCs w:val="26"/>
                <w:rtl/>
              </w:rPr>
            </w:pPr>
            <w:r w:rsidRPr="00EF06C0">
              <w:rPr>
                <w:rFonts w:hint="cs"/>
                <w:rtl/>
              </w:rPr>
              <w:t>ע"י ב"כ עו"ד ד"ר ניצה אורצקי</w:t>
            </w:r>
          </w:p>
        </w:tc>
        <w:tc>
          <w:tcPr>
            <w:tcW w:w="3771" w:type="dxa"/>
            <w:tcBorders>
              <w:top w:val="nil"/>
              <w:left w:val="nil"/>
              <w:bottom w:val="nil"/>
              <w:right w:val="nil"/>
            </w:tcBorders>
            <w:shd w:val="clear" w:color="auto" w:fill="auto"/>
          </w:tcPr>
          <w:p w14:paraId="0C2FC8F6" w14:textId="77777777" w:rsidR="00892E73" w:rsidRPr="00EF06C0" w:rsidRDefault="00892E73">
            <w:pPr>
              <w:spacing w:line="360" w:lineRule="auto"/>
              <w:jc w:val="right"/>
              <w:rPr>
                <w:rFonts w:ascii="Arial" w:hAnsi="Arial"/>
                <w:b/>
                <w:bCs/>
                <w:sz w:val="26"/>
                <w:szCs w:val="26"/>
              </w:rPr>
            </w:pPr>
          </w:p>
        </w:tc>
      </w:tr>
      <w:tr w:rsidR="00892E73" w:rsidRPr="00EF06C0" w14:paraId="74838F54" w14:textId="77777777">
        <w:trPr>
          <w:trHeight w:val="355"/>
          <w:jc w:val="center"/>
        </w:trPr>
        <w:tc>
          <w:tcPr>
            <w:tcW w:w="923" w:type="dxa"/>
            <w:tcBorders>
              <w:top w:val="nil"/>
              <w:left w:val="nil"/>
              <w:bottom w:val="nil"/>
              <w:right w:val="nil"/>
            </w:tcBorders>
            <w:shd w:val="clear" w:color="auto" w:fill="auto"/>
          </w:tcPr>
          <w:p w14:paraId="694A1629" w14:textId="77777777" w:rsidR="00892E73" w:rsidRPr="00EF06C0" w:rsidRDefault="00892E73">
            <w:pPr>
              <w:spacing w:line="360" w:lineRule="auto"/>
              <w:jc w:val="both"/>
              <w:rPr>
                <w:rFonts w:ascii="Arial" w:hAnsi="Arial"/>
                <w:b/>
                <w:bCs/>
                <w:sz w:val="26"/>
                <w:szCs w:val="26"/>
                <w:rtl/>
              </w:rPr>
            </w:pPr>
          </w:p>
        </w:tc>
        <w:tc>
          <w:tcPr>
            <w:tcW w:w="4126" w:type="dxa"/>
            <w:tcBorders>
              <w:top w:val="nil"/>
              <w:left w:val="nil"/>
              <w:bottom w:val="nil"/>
              <w:right w:val="nil"/>
            </w:tcBorders>
            <w:shd w:val="clear" w:color="auto" w:fill="auto"/>
          </w:tcPr>
          <w:p w14:paraId="5A412545" w14:textId="77777777" w:rsidR="00892E73" w:rsidRPr="00EF06C0" w:rsidRDefault="00892E73">
            <w:pPr>
              <w:spacing w:line="360" w:lineRule="auto"/>
              <w:jc w:val="both"/>
              <w:rPr>
                <w:b/>
                <w:bCs/>
                <w:sz w:val="26"/>
                <w:szCs w:val="26"/>
                <w:rtl/>
              </w:rPr>
            </w:pPr>
          </w:p>
        </w:tc>
        <w:tc>
          <w:tcPr>
            <w:tcW w:w="3771" w:type="dxa"/>
            <w:tcBorders>
              <w:top w:val="nil"/>
              <w:left w:val="nil"/>
              <w:bottom w:val="nil"/>
              <w:right w:val="nil"/>
            </w:tcBorders>
            <w:shd w:val="clear" w:color="auto" w:fill="auto"/>
          </w:tcPr>
          <w:p w14:paraId="103FA402" w14:textId="77777777" w:rsidR="00892E73" w:rsidRPr="00EF06C0" w:rsidRDefault="00EF06C0">
            <w:pPr>
              <w:spacing w:line="360" w:lineRule="auto"/>
              <w:jc w:val="right"/>
              <w:rPr>
                <w:rFonts w:ascii="Arial" w:hAnsi="Arial"/>
                <w:b/>
                <w:bCs/>
                <w:sz w:val="26"/>
                <w:szCs w:val="26"/>
              </w:rPr>
            </w:pPr>
            <w:r w:rsidRPr="00EF06C0">
              <w:rPr>
                <w:rFonts w:ascii="Arial" w:hAnsi="Arial" w:hint="cs"/>
                <w:b/>
                <w:bCs/>
                <w:sz w:val="26"/>
                <w:szCs w:val="26"/>
                <w:rtl/>
              </w:rPr>
              <w:t>ה</w:t>
            </w:r>
            <w:r w:rsidRPr="00EF06C0">
              <w:rPr>
                <w:rFonts w:hint="cs"/>
                <w:b/>
                <w:bCs/>
                <w:sz w:val="26"/>
                <w:szCs w:val="26"/>
                <w:rtl/>
              </w:rPr>
              <w:t>נאשם</w:t>
            </w:r>
          </w:p>
        </w:tc>
      </w:tr>
    </w:tbl>
    <w:p w14:paraId="761E88F7" w14:textId="77777777" w:rsidR="00892E73" w:rsidRPr="00EF06C0" w:rsidRDefault="00892E73">
      <w:pPr>
        <w:spacing w:line="360" w:lineRule="auto"/>
        <w:rPr>
          <w:b/>
          <w:bCs/>
          <w:sz w:val="26"/>
          <w:szCs w:val="26"/>
          <w:rtl/>
        </w:rPr>
      </w:pPr>
    </w:p>
    <w:p w14:paraId="0C796AE3" w14:textId="77777777" w:rsidR="00EF06C0" w:rsidRPr="00EF06C0" w:rsidRDefault="00EF06C0" w:rsidP="00EF06C0">
      <w:pPr>
        <w:spacing w:after="120" w:line="240" w:lineRule="exact"/>
        <w:ind w:left="283" w:hanging="283"/>
        <w:jc w:val="both"/>
        <w:rPr>
          <w:rFonts w:ascii="FrankRuehl" w:hAnsi="FrankRuehl" w:cs="FrankRuehl"/>
          <w:rtl/>
        </w:rPr>
      </w:pPr>
    </w:p>
    <w:p w14:paraId="29064362" w14:textId="77777777" w:rsidR="00EF06C0" w:rsidRPr="00EF06C0" w:rsidRDefault="00EF06C0" w:rsidP="00EF06C0">
      <w:pPr>
        <w:spacing w:after="120" w:line="240" w:lineRule="exact"/>
        <w:ind w:left="283" w:hanging="283"/>
        <w:jc w:val="both"/>
        <w:rPr>
          <w:rFonts w:ascii="FrankRuehl" w:hAnsi="FrankRuehl" w:cs="FrankRuehl"/>
          <w:rtl/>
        </w:rPr>
      </w:pPr>
      <w:r w:rsidRPr="00EF06C0">
        <w:rPr>
          <w:rFonts w:ascii="FrankRuehl" w:hAnsi="FrankRuehl" w:cs="FrankRuehl"/>
          <w:rtl/>
        </w:rPr>
        <w:t xml:space="preserve">חקיקה שאוזכרה: </w:t>
      </w:r>
    </w:p>
    <w:p w14:paraId="7053D3ED" w14:textId="77777777" w:rsidR="00EF06C0" w:rsidRPr="00EF06C0" w:rsidRDefault="00EF06C0" w:rsidP="00EF06C0">
      <w:pPr>
        <w:spacing w:after="120" w:line="240" w:lineRule="exact"/>
        <w:ind w:left="283" w:hanging="283"/>
        <w:jc w:val="both"/>
        <w:rPr>
          <w:rFonts w:ascii="FrankRuehl" w:hAnsi="FrankRuehl" w:cs="FrankRuehl"/>
          <w:rtl/>
        </w:rPr>
      </w:pPr>
      <w:hyperlink r:id="rId7" w:history="1">
        <w:r w:rsidRPr="00EF06C0">
          <w:rPr>
            <w:rFonts w:ascii="FrankRuehl" w:hAnsi="FrankRuehl" w:cs="FrankRuehl"/>
            <w:color w:val="0000FF"/>
            <w:u w:val="single"/>
            <w:rtl/>
          </w:rPr>
          <w:t>חוק מס ערך מוסף, תשל"ו-1975</w:t>
        </w:r>
      </w:hyperlink>
    </w:p>
    <w:p w14:paraId="5AF61652" w14:textId="77777777" w:rsidR="00EF06C0" w:rsidRPr="00EF06C0" w:rsidRDefault="00EF06C0" w:rsidP="00EF06C0">
      <w:pPr>
        <w:spacing w:after="120" w:line="240" w:lineRule="exact"/>
        <w:ind w:left="283" w:hanging="283"/>
        <w:jc w:val="both"/>
        <w:rPr>
          <w:rFonts w:ascii="FrankRuehl" w:hAnsi="FrankRuehl" w:cs="FrankRuehl"/>
          <w:rtl/>
        </w:rPr>
      </w:pPr>
      <w:hyperlink r:id="rId8" w:history="1">
        <w:r w:rsidRPr="00EF06C0">
          <w:rPr>
            <w:rFonts w:ascii="FrankRuehl" w:hAnsi="FrankRuehl" w:cs="FrankRuehl"/>
            <w:color w:val="0000FF"/>
            <w:u w:val="single"/>
            <w:rtl/>
          </w:rPr>
          <w:t>חוק העונשין, תשל"ז-1977</w:t>
        </w:r>
      </w:hyperlink>
    </w:p>
    <w:p w14:paraId="2DC31EEF" w14:textId="77777777" w:rsidR="00EF06C0" w:rsidRPr="00EF06C0" w:rsidRDefault="00EF06C0" w:rsidP="00EF06C0">
      <w:pPr>
        <w:spacing w:after="120" w:line="240" w:lineRule="exact"/>
        <w:ind w:left="283" w:hanging="283"/>
        <w:jc w:val="both"/>
        <w:rPr>
          <w:rFonts w:ascii="FrankRuehl" w:hAnsi="FrankRuehl" w:cs="FrankRuehl"/>
          <w:rtl/>
        </w:rPr>
      </w:pPr>
    </w:p>
    <w:p w14:paraId="318673D1" w14:textId="77777777" w:rsidR="00892E73" w:rsidRDefault="00892E73">
      <w:pPr>
        <w:spacing w:line="360" w:lineRule="auto"/>
        <w:rPr>
          <w:rFonts w:hint="cs"/>
          <w:sz w:val="26"/>
          <w:szCs w:val="26"/>
          <w:rtl/>
        </w:rPr>
      </w:pPr>
    </w:p>
    <w:p w14:paraId="0E15ED39" w14:textId="77777777" w:rsidR="005931D8" w:rsidRDefault="005931D8">
      <w:pPr>
        <w:spacing w:line="360" w:lineRule="auto"/>
        <w:rPr>
          <w:sz w:val="26"/>
          <w:szCs w:val="26"/>
          <w:rtl/>
        </w:rPr>
      </w:pPr>
      <w:bookmarkStart w:id="3" w:name="LawTable"/>
      <w:bookmarkEnd w:id="3"/>
    </w:p>
    <w:p w14:paraId="7A3A6471" w14:textId="77777777" w:rsidR="005931D8" w:rsidRPr="005931D8" w:rsidRDefault="005931D8" w:rsidP="005931D8">
      <w:pPr>
        <w:spacing w:after="120" w:line="240" w:lineRule="exact"/>
        <w:ind w:left="283" w:hanging="283"/>
        <w:jc w:val="both"/>
        <w:rPr>
          <w:rFonts w:ascii="FrankRuehl" w:hAnsi="FrankRuehl" w:cs="FrankRuehl"/>
          <w:rtl/>
        </w:rPr>
      </w:pPr>
    </w:p>
    <w:p w14:paraId="2D2C40DB" w14:textId="77777777" w:rsidR="005931D8" w:rsidRPr="005931D8" w:rsidRDefault="005931D8" w:rsidP="005931D8">
      <w:pPr>
        <w:spacing w:after="120" w:line="240" w:lineRule="exact"/>
        <w:ind w:left="283" w:hanging="283"/>
        <w:jc w:val="both"/>
        <w:rPr>
          <w:rFonts w:ascii="FrankRuehl" w:hAnsi="FrankRuehl" w:cs="FrankRuehl"/>
          <w:rtl/>
        </w:rPr>
      </w:pPr>
      <w:r w:rsidRPr="005931D8">
        <w:rPr>
          <w:rFonts w:ascii="FrankRuehl" w:hAnsi="FrankRuehl" w:cs="FrankRuehl"/>
          <w:rtl/>
        </w:rPr>
        <w:t xml:space="preserve">חקיקה שאוזכרה: </w:t>
      </w:r>
    </w:p>
    <w:p w14:paraId="15C0EA80" w14:textId="77777777" w:rsidR="005931D8" w:rsidRPr="005931D8" w:rsidRDefault="005931D8" w:rsidP="005931D8">
      <w:pPr>
        <w:spacing w:after="120" w:line="240" w:lineRule="exact"/>
        <w:ind w:left="283" w:hanging="283"/>
        <w:jc w:val="both"/>
        <w:rPr>
          <w:rFonts w:ascii="FrankRuehl" w:hAnsi="FrankRuehl" w:cs="FrankRuehl"/>
          <w:rtl/>
        </w:rPr>
      </w:pPr>
      <w:hyperlink r:id="rId9" w:history="1">
        <w:r w:rsidRPr="005931D8">
          <w:rPr>
            <w:rFonts w:ascii="FrankRuehl" w:hAnsi="FrankRuehl" w:cs="FrankRuehl"/>
            <w:color w:val="0000FF"/>
            <w:u w:val="single"/>
            <w:rtl/>
          </w:rPr>
          <w:t>חוק מס ערך מוסף, תשל"ו-1975</w:t>
        </w:r>
      </w:hyperlink>
      <w:r w:rsidRPr="005931D8">
        <w:rPr>
          <w:rFonts w:ascii="FrankRuehl" w:hAnsi="FrankRuehl" w:cs="FrankRuehl"/>
          <w:rtl/>
        </w:rPr>
        <w:t xml:space="preserve">: סע'  </w:t>
      </w:r>
      <w:hyperlink r:id="rId10" w:history="1">
        <w:r w:rsidRPr="005931D8">
          <w:rPr>
            <w:rFonts w:ascii="FrankRuehl" w:hAnsi="FrankRuehl" w:cs="FrankRuehl"/>
            <w:color w:val="0000FF"/>
            <w:u w:val="single"/>
            <w:rtl/>
          </w:rPr>
          <w:t>117(ב)(1)</w:t>
        </w:r>
      </w:hyperlink>
      <w:r w:rsidRPr="005931D8">
        <w:rPr>
          <w:rFonts w:ascii="FrankRuehl" w:hAnsi="FrankRuehl" w:cs="FrankRuehl"/>
          <w:rtl/>
        </w:rPr>
        <w:t xml:space="preserve">, </w:t>
      </w:r>
      <w:hyperlink r:id="rId11" w:history="1">
        <w:r w:rsidRPr="005931D8">
          <w:rPr>
            <w:rFonts w:ascii="FrankRuehl" w:hAnsi="FrankRuehl" w:cs="FrankRuehl"/>
            <w:color w:val="0000FF"/>
            <w:u w:val="single"/>
            <w:rtl/>
          </w:rPr>
          <w:t>117(ב)(6)</w:t>
        </w:r>
      </w:hyperlink>
      <w:r w:rsidRPr="005931D8">
        <w:rPr>
          <w:rFonts w:ascii="FrankRuehl" w:hAnsi="FrankRuehl" w:cs="FrankRuehl"/>
          <w:rtl/>
        </w:rPr>
        <w:t xml:space="preserve">, </w:t>
      </w:r>
      <w:hyperlink r:id="rId12" w:history="1">
        <w:r w:rsidRPr="005931D8">
          <w:rPr>
            <w:rFonts w:ascii="FrankRuehl" w:hAnsi="FrankRuehl" w:cs="FrankRuehl"/>
            <w:color w:val="0000FF"/>
            <w:u w:val="single"/>
            <w:rtl/>
          </w:rPr>
          <w:t>117(ב)(8)</w:t>
        </w:r>
      </w:hyperlink>
    </w:p>
    <w:p w14:paraId="24F0FB48" w14:textId="77777777" w:rsidR="005931D8" w:rsidRPr="005931D8" w:rsidRDefault="005931D8" w:rsidP="005931D8">
      <w:pPr>
        <w:spacing w:after="120" w:line="240" w:lineRule="exact"/>
        <w:ind w:left="283" w:hanging="283"/>
        <w:jc w:val="both"/>
        <w:rPr>
          <w:rFonts w:ascii="FrankRuehl" w:hAnsi="FrankRuehl" w:cs="FrankRuehl" w:hint="cs"/>
          <w:rtl/>
        </w:rPr>
      </w:pPr>
      <w:hyperlink r:id="rId13" w:history="1">
        <w:r w:rsidRPr="005931D8">
          <w:rPr>
            <w:rFonts w:ascii="FrankRuehl" w:hAnsi="FrankRuehl" w:cs="FrankRuehl"/>
            <w:color w:val="0000FF"/>
            <w:u w:val="single"/>
            <w:rtl/>
          </w:rPr>
          <w:t>חוק העונשין, תשל"ז-1977</w:t>
        </w:r>
      </w:hyperlink>
      <w:r w:rsidRPr="005931D8">
        <w:rPr>
          <w:rFonts w:ascii="FrankRuehl" w:hAnsi="FrankRuehl" w:cs="FrankRuehl"/>
          <w:rtl/>
        </w:rPr>
        <w:t xml:space="preserve">: סע'  </w:t>
      </w:r>
      <w:hyperlink r:id="rId14" w:history="1">
        <w:r w:rsidRPr="005931D8">
          <w:rPr>
            <w:rFonts w:ascii="FrankRuehl" w:hAnsi="FrankRuehl" w:cs="FrankRuehl"/>
            <w:color w:val="0000FF"/>
            <w:u w:val="single"/>
            <w:rtl/>
          </w:rPr>
          <w:t>40ג</w:t>
        </w:r>
      </w:hyperlink>
      <w:r w:rsidRPr="005931D8">
        <w:rPr>
          <w:rFonts w:ascii="FrankRuehl" w:hAnsi="FrankRuehl" w:cs="FrankRuehl"/>
          <w:rtl/>
        </w:rPr>
        <w:t xml:space="preserve">, </w:t>
      </w:r>
      <w:hyperlink r:id="rId15" w:history="1">
        <w:r w:rsidRPr="005931D8">
          <w:rPr>
            <w:rFonts w:ascii="FrankRuehl" w:hAnsi="FrankRuehl" w:cs="FrankRuehl"/>
            <w:color w:val="0000FF"/>
            <w:u w:val="single"/>
            <w:rtl/>
          </w:rPr>
          <w:t>40ג(א)</w:t>
        </w:r>
      </w:hyperlink>
      <w:r w:rsidRPr="005931D8">
        <w:rPr>
          <w:rFonts w:ascii="FrankRuehl" w:hAnsi="FrankRuehl" w:cs="FrankRuehl"/>
          <w:rtl/>
        </w:rPr>
        <w:t xml:space="preserve">, </w:t>
      </w:r>
      <w:hyperlink r:id="rId16" w:history="1">
        <w:r w:rsidRPr="005931D8">
          <w:rPr>
            <w:rFonts w:ascii="FrankRuehl" w:hAnsi="FrankRuehl" w:cs="FrankRuehl"/>
            <w:color w:val="0000FF"/>
            <w:u w:val="single"/>
            <w:rtl/>
          </w:rPr>
          <w:t>40יא</w:t>
        </w:r>
      </w:hyperlink>
      <w:r w:rsidRPr="005931D8">
        <w:rPr>
          <w:rFonts w:ascii="FrankRuehl" w:hAnsi="FrankRuehl" w:cs="FrankRuehl"/>
          <w:rtl/>
        </w:rPr>
        <w:t xml:space="preserve">, </w:t>
      </w:r>
      <w:hyperlink r:id="rId17" w:history="1">
        <w:r w:rsidRPr="005931D8">
          <w:rPr>
            <w:rFonts w:ascii="FrankRuehl" w:hAnsi="FrankRuehl" w:cs="FrankRuehl"/>
            <w:color w:val="0000FF"/>
            <w:u w:val="single"/>
            <w:rtl/>
          </w:rPr>
          <w:t>40יב</w:t>
        </w:r>
      </w:hyperlink>
      <w:r w:rsidRPr="005931D8">
        <w:rPr>
          <w:rFonts w:ascii="FrankRuehl" w:hAnsi="FrankRuehl" w:cs="FrankRuehl"/>
          <w:rtl/>
        </w:rPr>
        <w:t xml:space="preserve">, </w:t>
      </w:r>
      <w:hyperlink r:id="rId18" w:history="1">
        <w:r w:rsidRPr="005931D8">
          <w:rPr>
            <w:rFonts w:ascii="FrankRuehl" w:hAnsi="FrankRuehl" w:cs="FrankRuehl"/>
            <w:color w:val="0000FF"/>
            <w:u w:val="single"/>
            <w:rtl/>
          </w:rPr>
          <w:t>40יג</w:t>
        </w:r>
      </w:hyperlink>
      <w:bookmarkStart w:id="4" w:name="LawTable_End"/>
      <w:bookmarkEnd w:id="4"/>
    </w:p>
    <w:p w14:paraId="4BE4B745" w14:textId="77777777" w:rsidR="005931D8" w:rsidRPr="005931D8" w:rsidRDefault="005931D8">
      <w:pPr>
        <w:spacing w:line="360" w:lineRule="auto"/>
        <w:rPr>
          <w:b/>
          <w:bCs/>
          <w:sz w:val="26"/>
          <w:szCs w:val="26"/>
          <w:rtl/>
        </w:rPr>
      </w:pPr>
    </w:p>
    <w:p w14:paraId="2057C229" w14:textId="77777777" w:rsidR="005931D8" w:rsidRPr="005931D8" w:rsidRDefault="005931D8">
      <w:pPr>
        <w:spacing w:line="360" w:lineRule="auto"/>
        <w:rPr>
          <w:rFonts w:hint="cs"/>
          <w:b/>
          <w:b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92E73" w14:paraId="59F1E35A" w14:textId="77777777">
        <w:trPr>
          <w:trHeight w:val="355"/>
          <w:jc w:val="center"/>
        </w:trPr>
        <w:tc>
          <w:tcPr>
            <w:tcW w:w="8820" w:type="dxa"/>
            <w:tcBorders>
              <w:top w:val="nil"/>
              <w:left w:val="nil"/>
              <w:bottom w:val="nil"/>
              <w:right w:val="nil"/>
            </w:tcBorders>
            <w:shd w:val="clear" w:color="auto" w:fill="auto"/>
          </w:tcPr>
          <w:p w14:paraId="61C06E8B" w14:textId="77777777" w:rsidR="00EF06C0" w:rsidRPr="00EF06C0" w:rsidRDefault="00EF06C0" w:rsidP="00EF06C0">
            <w:pPr>
              <w:spacing w:line="360" w:lineRule="auto"/>
              <w:jc w:val="center"/>
              <w:rPr>
                <w:rFonts w:ascii="Arial" w:hAnsi="Arial"/>
                <w:b/>
                <w:bCs/>
                <w:sz w:val="36"/>
                <w:szCs w:val="36"/>
                <w:u w:val="single"/>
                <w:rtl/>
              </w:rPr>
            </w:pPr>
            <w:bookmarkStart w:id="5" w:name="PsakDin" w:colFirst="0" w:colLast="0"/>
            <w:bookmarkEnd w:id="0"/>
            <w:r w:rsidRPr="00EF06C0">
              <w:rPr>
                <w:rFonts w:ascii="Arial" w:hAnsi="Arial"/>
                <w:b/>
                <w:bCs/>
                <w:sz w:val="36"/>
                <w:szCs w:val="36"/>
                <w:u w:val="single"/>
                <w:rtl/>
              </w:rPr>
              <w:t>גזר דין</w:t>
            </w:r>
          </w:p>
          <w:p w14:paraId="2E5DA78F" w14:textId="77777777" w:rsidR="00892E73" w:rsidRPr="00EF06C0" w:rsidRDefault="00892E73" w:rsidP="00EF06C0">
            <w:pPr>
              <w:spacing w:line="360" w:lineRule="auto"/>
              <w:jc w:val="center"/>
              <w:rPr>
                <w:rFonts w:ascii="Arial" w:hAnsi="Arial"/>
                <w:b/>
                <w:bCs/>
                <w:sz w:val="36"/>
                <w:szCs w:val="36"/>
                <w:u w:val="single"/>
                <w:rtl/>
              </w:rPr>
            </w:pPr>
          </w:p>
        </w:tc>
      </w:tr>
      <w:bookmarkEnd w:id="5"/>
    </w:tbl>
    <w:p w14:paraId="2FABDBB2" w14:textId="77777777" w:rsidR="00892E73" w:rsidRDefault="00892E73">
      <w:pPr>
        <w:spacing w:line="360" w:lineRule="auto"/>
        <w:rPr>
          <w:rFonts w:ascii="Arial" w:hAnsi="Arial"/>
          <w:b/>
          <w:bCs/>
          <w:sz w:val="26"/>
          <w:szCs w:val="26"/>
          <w:rtl/>
        </w:rPr>
      </w:pPr>
    </w:p>
    <w:p w14:paraId="6F1819FF" w14:textId="77777777" w:rsidR="00892E73" w:rsidRDefault="00EF06C0">
      <w:pPr>
        <w:spacing w:after="120" w:line="360" w:lineRule="auto"/>
        <w:jc w:val="both"/>
        <w:rPr>
          <w:rFonts w:ascii="Tahoma" w:hAnsi="Tahoma"/>
          <w:b/>
          <w:bCs/>
          <w:u w:val="single"/>
        </w:rPr>
      </w:pPr>
      <w:r>
        <w:rPr>
          <w:rFonts w:ascii="Tahoma" w:hAnsi="Tahoma" w:hint="cs"/>
          <w:b/>
          <w:bCs/>
          <w:rtl/>
        </w:rPr>
        <w:t>א.</w:t>
      </w:r>
      <w:r>
        <w:rPr>
          <w:rFonts w:ascii="Tahoma" w:hAnsi="Tahoma" w:hint="cs"/>
          <w:b/>
          <w:bCs/>
          <w:rtl/>
        </w:rPr>
        <w:tab/>
      </w:r>
      <w:r>
        <w:rPr>
          <w:rFonts w:ascii="Tahoma" w:hAnsi="Tahoma" w:hint="cs"/>
          <w:b/>
          <w:bCs/>
          <w:u w:val="single"/>
          <w:rtl/>
        </w:rPr>
        <w:t>רקע כללי:</w:t>
      </w:r>
    </w:p>
    <w:p w14:paraId="0AAA3FC7" w14:textId="77777777" w:rsidR="00892E73" w:rsidRDefault="00EF06C0">
      <w:pPr>
        <w:numPr>
          <w:ilvl w:val="0"/>
          <w:numId w:val="1"/>
        </w:numPr>
        <w:tabs>
          <w:tab w:val="num" w:pos="720"/>
        </w:tabs>
        <w:spacing w:after="120" w:line="360" w:lineRule="auto"/>
        <w:ind w:left="720"/>
        <w:jc w:val="both"/>
        <w:rPr>
          <w:rFonts w:ascii="Tahoma" w:hAnsi="Tahoma"/>
          <w:rtl/>
        </w:rPr>
      </w:pPr>
      <w:r>
        <w:rPr>
          <w:rFonts w:ascii="Tahoma" w:hAnsi="Tahoma" w:hint="cs"/>
          <w:rtl/>
        </w:rPr>
        <w:t xml:space="preserve">הנאשם הורשע בעבירות לפי הוראות </w:t>
      </w:r>
      <w:hyperlink r:id="rId19" w:history="1">
        <w:r w:rsidRPr="00EF06C0">
          <w:rPr>
            <w:rFonts w:ascii="Tahoma" w:hAnsi="Tahoma"/>
            <w:color w:val="0000FF"/>
            <w:u w:val="single"/>
            <w:rtl/>
          </w:rPr>
          <w:t>חוק מס ערך מוסף</w:t>
        </w:r>
      </w:hyperlink>
      <w:r>
        <w:rPr>
          <w:rFonts w:ascii="Tahoma" w:hAnsi="Tahoma" w:hint="cs"/>
          <w:rtl/>
        </w:rPr>
        <w:t>, תשל"ו-1975 (להלן – החוק או חוק מע"מ), על יסוד הודאתו בעובדות כתב האישום. ההודאה ניתנה במסגרת הליך גישור, שבעקבותיו הגיעו הצדדים להסדר טיעון הכולל הסכמות חלקיות לעניין העונש.</w:t>
      </w:r>
    </w:p>
    <w:p w14:paraId="405D7DC0" w14:textId="77777777" w:rsidR="00892E73" w:rsidRDefault="00EF06C0">
      <w:pPr>
        <w:numPr>
          <w:ilvl w:val="0"/>
          <w:numId w:val="1"/>
        </w:numPr>
        <w:tabs>
          <w:tab w:val="num" w:pos="720"/>
        </w:tabs>
        <w:spacing w:after="120" w:line="360" w:lineRule="auto"/>
        <w:ind w:left="720"/>
        <w:jc w:val="both"/>
        <w:rPr>
          <w:rFonts w:ascii="Tahoma" w:hAnsi="Tahoma"/>
        </w:rPr>
      </w:pPr>
      <w:r>
        <w:rPr>
          <w:rFonts w:ascii="Tahoma" w:hAnsi="Tahoma" w:hint="cs"/>
          <w:rtl/>
        </w:rPr>
        <w:t>על פי האמור בעובדות כתב האישום, הנאשם עוסק בחלוקת דלק ושמנים, במסגרת עסק המכונה "אספקת אנרגיה", הרשום כעוסק מורשה לצורך הוראות חוק מע"מ. בתקופה שבין שנת 2008 לבין שנת 2011 ביצע הנאשם עסקאות והוציא חשבוניות מס בגינן, אותן מסר ללקוחותיו.</w:t>
      </w:r>
    </w:p>
    <w:p w14:paraId="5DADFB07" w14:textId="77777777" w:rsidR="00892E73" w:rsidRDefault="00EF06C0">
      <w:pPr>
        <w:tabs>
          <w:tab w:val="num" w:pos="720"/>
        </w:tabs>
        <w:spacing w:after="120" w:line="360" w:lineRule="auto"/>
        <w:ind w:left="720"/>
        <w:jc w:val="both"/>
        <w:rPr>
          <w:rFonts w:ascii="Tahoma" w:hAnsi="Tahoma"/>
        </w:rPr>
      </w:pPr>
      <w:r>
        <w:rPr>
          <w:rFonts w:ascii="Tahoma" w:hAnsi="Tahoma" w:hint="cs"/>
          <w:rtl/>
        </w:rPr>
        <w:t>בתקופה האמורה נהג הנאשם להשמיט את הספרה האחרונה בהעתקי החשבוניות שאותן השאיר בפנקסיו. בדרך זו הקטין הנאשם את סכום עסקאותיו ב-144 העתקי חשבוניות, שנשארו בידיו, ובכך הפחית את מס העסקאות שדווח למע"מ. הנאשם דיווח למנהל מע"מ על מס עסקאות נמוך ממס העסקאות בספריו, בסך של 609,913 ₪, ובכך מסר ידיעות כוזבות במטרה להתחמק מתשלום מס.</w:t>
      </w:r>
    </w:p>
    <w:p w14:paraId="768411EF" w14:textId="77777777" w:rsidR="00892E73" w:rsidRDefault="00EF06C0">
      <w:pPr>
        <w:numPr>
          <w:ilvl w:val="0"/>
          <w:numId w:val="1"/>
        </w:numPr>
        <w:tabs>
          <w:tab w:val="num" w:pos="720"/>
        </w:tabs>
        <w:spacing w:after="120" w:line="360" w:lineRule="auto"/>
        <w:ind w:left="720"/>
        <w:jc w:val="both"/>
        <w:rPr>
          <w:rFonts w:ascii="Tahoma" w:hAnsi="Tahoma"/>
        </w:rPr>
      </w:pPr>
      <w:r>
        <w:rPr>
          <w:rFonts w:ascii="Tahoma" w:hAnsi="Tahoma" w:hint="cs"/>
          <w:rtl/>
        </w:rPr>
        <w:t xml:space="preserve">הנאשם הואשם אפוא, בכתב האישום, בביצוע העבירות הבאות: (א) מסירת ידיעה כוזבת, לפי הוראות </w:t>
      </w:r>
      <w:hyperlink r:id="rId20" w:history="1">
        <w:r w:rsidR="005931D8" w:rsidRPr="005931D8">
          <w:rPr>
            <w:rFonts w:ascii="Tahoma" w:hAnsi="Tahoma"/>
            <w:color w:val="0000FF"/>
            <w:u w:val="single"/>
            <w:rtl/>
          </w:rPr>
          <w:t>סעיף 117(ב)(1)</w:t>
        </w:r>
      </w:hyperlink>
      <w:r>
        <w:rPr>
          <w:rFonts w:ascii="Tahoma" w:hAnsi="Tahoma" w:hint="cs"/>
          <w:rtl/>
        </w:rPr>
        <w:t xml:space="preserve"> לחוק (48 עבירות); (ב) הכנה או ניהול של פנקסי חשבונות כוזבים, לפי הוראות </w:t>
      </w:r>
      <w:hyperlink r:id="rId21" w:history="1">
        <w:r w:rsidR="005931D8" w:rsidRPr="005931D8">
          <w:rPr>
            <w:rFonts w:ascii="Tahoma" w:hAnsi="Tahoma"/>
            <w:color w:val="0000FF"/>
            <w:u w:val="single"/>
            <w:rtl/>
          </w:rPr>
          <w:t>סעיף 117(ב)(6)</w:t>
        </w:r>
      </w:hyperlink>
      <w:r>
        <w:rPr>
          <w:rFonts w:ascii="Tahoma" w:hAnsi="Tahoma" w:hint="cs"/>
          <w:rtl/>
        </w:rPr>
        <w:t xml:space="preserve"> לחוק (48 עבירות); ו-(ג) שימוש במרמה, עורמה או תחבולה, לפי הוראות </w:t>
      </w:r>
      <w:hyperlink r:id="rId22" w:history="1">
        <w:r w:rsidR="005931D8" w:rsidRPr="005931D8">
          <w:rPr>
            <w:rFonts w:ascii="Tahoma" w:hAnsi="Tahoma"/>
            <w:color w:val="0000FF"/>
            <w:u w:val="single"/>
            <w:rtl/>
          </w:rPr>
          <w:t>סעיף 117(ב)(8)</w:t>
        </w:r>
      </w:hyperlink>
      <w:r>
        <w:rPr>
          <w:rFonts w:ascii="Tahoma" w:hAnsi="Tahoma" w:hint="cs"/>
          <w:rtl/>
        </w:rPr>
        <w:t xml:space="preserve"> לחוק (48 עבירות).</w:t>
      </w:r>
    </w:p>
    <w:p w14:paraId="43B0E839" w14:textId="77777777" w:rsidR="00892E73" w:rsidRDefault="00EF06C0">
      <w:pPr>
        <w:numPr>
          <w:ilvl w:val="0"/>
          <w:numId w:val="1"/>
        </w:numPr>
        <w:tabs>
          <w:tab w:val="num" w:pos="720"/>
        </w:tabs>
        <w:spacing w:after="120" w:line="360" w:lineRule="auto"/>
        <w:ind w:left="720"/>
        <w:jc w:val="both"/>
        <w:rPr>
          <w:rFonts w:ascii="Tahoma" w:hAnsi="Tahoma"/>
        </w:rPr>
      </w:pPr>
      <w:r>
        <w:rPr>
          <w:rFonts w:ascii="Tahoma" w:hAnsi="Tahoma" w:hint="cs"/>
          <w:rtl/>
        </w:rPr>
        <w:t>כאמור, הנאשם הודה בעובדות כתב האישום, במסגרת הסדר טיעון, ועל יסוד הודאתו זו הורשע בעבירות שבהן הואשם בכתב האישום. המאשימה הסכימה, במסגרת הסדר הטיעון, להגביל את טיעוניה, ברכיב הענישה של מאסר בפועל, לטיעון לעונש של 7 חודשי מאסר בפועל.</w:t>
      </w:r>
    </w:p>
    <w:p w14:paraId="74C9A9D9" w14:textId="77777777" w:rsidR="00892E73" w:rsidRDefault="00EF06C0">
      <w:pPr>
        <w:spacing w:after="120" w:line="360" w:lineRule="auto"/>
        <w:ind w:left="720"/>
        <w:jc w:val="both"/>
        <w:rPr>
          <w:rFonts w:ascii="Tahoma" w:hAnsi="Tahoma"/>
        </w:rPr>
      </w:pPr>
      <w:r>
        <w:rPr>
          <w:rFonts w:ascii="Tahoma" w:hAnsi="Tahoma" w:hint="cs"/>
          <w:rtl/>
        </w:rPr>
        <w:t>יש לציין, כי הנאשם הסיר את מלוא מחדליו מושא כתב האישום, ואף שילם חובות נוספים מעבר למחדלים אלה.</w:t>
      </w:r>
    </w:p>
    <w:p w14:paraId="7785CD2F" w14:textId="77777777" w:rsidR="00892E73" w:rsidRDefault="00892E73">
      <w:pPr>
        <w:spacing w:after="120" w:line="360" w:lineRule="auto"/>
        <w:jc w:val="both"/>
        <w:rPr>
          <w:rFonts w:ascii="Tahoma" w:hAnsi="Tahoma"/>
        </w:rPr>
      </w:pPr>
    </w:p>
    <w:p w14:paraId="631D7EE1" w14:textId="77777777" w:rsidR="00892E73" w:rsidRDefault="00EF06C0">
      <w:pPr>
        <w:spacing w:after="120" w:line="360" w:lineRule="auto"/>
        <w:jc w:val="both"/>
        <w:rPr>
          <w:rFonts w:ascii="Tahoma" w:hAnsi="Tahoma"/>
          <w:b/>
          <w:bCs/>
          <w:rtl/>
        </w:rPr>
      </w:pPr>
      <w:r>
        <w:rPr>
          <w:rFonts w:ascii="Tahoma" w:hAnsi="Tahoma" w:hint="cs"/>
          <w:b/>
          <w:bCs/>
          <w:rtl/>
        </w:rPr>
        <w:t>ב.</w:t>
      </w:r>
      <w:r>
        <w:rPr>
          <w:rFonts w:ascii="Tahoma" w:hAnsi="Tahoma" w:hint="cs"/>
          <w:b/>
          <w:bCs/>
          <w:rtl/>
        </w:rPr>
        <w:tab/>
      </w:r>
      <w:r>
        <w:rPr>
          <w:rFonts w:ascii="Tahoma" w:hAnsi="Tahoma" w:hint="cs"/>
          <w:b/>
          <w:bCs/>
          <w:u w:val="single"/>
          <w:rtl/>
        </w:rPr>
        <w:t>הראיות לקביעת העונש ועיקר טיעוני ב"כ הצדדים:</w:t>
      </w:r>
      <w:r>
        <w:rPr>
          <w:rFonts w:ascii="Tahoma" w:hAnsi="Tahoma" w:hint="cs"/>
          <w:b/>
          <w:bCs/>
          <w:rtl/>
        </w:rPr>
        <w:t xml:space="preserve"> </w:t>
      </w:r>
    </w:p>
    <w:p w14:paraId="7D9972D9" w14:textId="77777777" w:rsidR="00892E73" w:rsidRDefault="00EF06C0">
      <w:pPr>
        <w:numPr>
          <w:ilvl w:val="0"/>
          <w:numId w:val="1"/>
        </w:numPr>
        <w:tabs>
          <w:tab w:val="num" w:pos="720"/>
        </w:tabs>
        <w:spacing w:after="120" w:line="360" w:lineRule="auto"/>
        <w:ind w:left="720"/>
        <w:jc w:val="both"/>
        <w:rPr>
          <w:rFonts w:ascii="Tahoma" w:hAnsi="Tahoma"/>
        </w:rPr>
      </w:pPr>
      <w:r>
        <w:rPr>
          <w:rFonts w:ascii="Tahoma" w:hAnsi="Tahoma" w:hint="cs"/>
          <w:rtl/>
        </w:rPr>
        <w:t>ב"כ המאשימה הגישה, כראייה לקביעת העונש, את גיליון הרשעותיו הקודמות של הנאשם (הוגש וסומן ע/1). כעולה מגיליון זה, לנאשם עבר פלילי מכביד הכולל מספר הרשעות קודמות, הגם שלא בתחום עבירות המס. יש לציין, כי הרשעתו הקודמת האחרונה של הנאשם הינה משנת 2011 (ומתייחסת לעבירות משנת 2008) וההרשעה הקודמת לה הינה משנת 2003. יתר ההרשעות הינן אף ישנות יותר.</w:t>
      </w:r>
    </w:p>
    <w:p w14:paraId="02D7EB5E" w14:textId="77777777" w:rsidR="00892E73" w:rsidRDefault="00EF06C0">
      <w:pPr>
        <w:numPr>
          <w:ilvl w:val="0"/>
          <w:numId w:val="1"/>
        </w:numPr>
        <w:tabs>
          <w:tab w:val="num" w:pos="720"/>
        </w:tabs>
        <w:spacing w:after="120" w:line="360" w:lineRule="auto"/>
        <w:ind w:left="720"/>
        <w:jc w:val="both"/>
        <w:rPr>
          <w:rFonts w:ascii="Tahoma" w:hAnsi="Tahoma"/>
        </w:rPr>
      </w:pPr>
      <w:r>
        <w:rPr>
          <w:rFonts w:ascii="Tahoma" w:hAnsi="Tahoma" w:hint="cs"/>
          <w:rtl/>
        </w:rPr>
        <w:lastRenderedPageBreak/>
        <w:t>ב"כ המאשימה התייחסה בטיעוניה לעובדות כתב האישום. כמו כן הדגישה ב"כ המאשימה את הערכים החברתיים, הנפגעים כתוצאה מביצוען של עבירות מס, ובהם השוויון בנשיאה בנטל המס. יתר על כן, מדובר בעבירות הפוגעות ביכולת הרשויות לקבל מידע אמין ומדויק על הפעילות הכלכלית במשק וכתולדה מכך גורמות לנזק כלכלי כבד למדינה. בנוסף, מדובר בעבירות הקלות לביצוע אך קשות לחשיפה.</w:t>
      </w:r>
    </w:p>
    <w:p w14:paraId="306D246E" w14:textId="77777777" w:rsidR="00892E73" w:rsidRDefault="00EF06C0">
      <w:pPr>
        <w:numPr>
          <w:ilvl w:val="0"/>
          <w:numId w:val="1"/>
        </w:numPr>
        <w:tabs>
          <w:tab w:val="num" w:pos="720"/>
        </w:tabs>
        <w:spacing w:after="120" w:line="360" w:lineRule="auto"/>
        <w:ind w:left="720"/>
        <w:jc w:val="both"/>
        <w:rPr>
          <w:rFonts w:ascii="Tahoma" w:hAnsi="Tahoma"/>
        </w:rPr>
      </w:pPr>
      <w:r>
        <w:rPr>
          <w:rFonts w:ascii="Tahoma" w:hAnsi="Tahoma" w:hint="cs"/>
          <w:rtl/>
        </w:rPr>
        <w:t xml:space="preserve">כנראה על רקע הסכמות הצדדים לא טענה ב"כ המאשימה למתחם עונש הולם קונקרטי, אלא הסתפקה בהדגשת נקודות החומרה לשיטתה, דהיינו: (א) סכום המס הנכבד שלא שולם </w:t>
      </w:r>
      <w:r>
        <w:rPr>
          <w:rFonts w:ascii="Tahoma" w:hAnsi="Tahoma"/>
          <w:rtl/>
        </w:rPr>
        <w:t>–</w:t>
      </w:r>
      <w:r>
        <w:rPr>
          <w:rFonts w:ascii="Tahoma" w:hAnsi="Tahoma" w:hint="cs"/>
          <w:rtl/>
        </w:rPr>
        <w:t xml:space="preserve"> 609,913 ₪; (ב) התמשכות ביצוע העבירות </w:t>
      </w:r>
      <w:r>
        <w:rPr>
          <w:rFonts w:ascii="Tahoma" w:hAnsi="Tahoma"/>
          <w:rtl/>
        </w:rPr>
        <w:t>–</w:t>
      </w:r>
      <w:r>
        <w:rPr>
          <w:rFonts w:ascii="Tahoma" w:hAnsi="Tahoma" w:hint="cs"/>
          <w:rtl/>
        </w:rPr>
        <w:t xml:space="preserve"> על פני שלוש שנים; ו-(ג) ריבוי העבירות </w:t>
      </w:r>
      <w:r>
        <w:rPr>
          <w:rFonts w:ascii="Tahoma" w:hAnsi="Tahoma"/>
          <w:rtl/>
        </w:rPr>
        <w:t>–</w:t>
      </w:r>
      <w:r>
        <w:rPr>
          <w:rFonts w:ascii="Tahoma" w:hAnsi="Tahoma" w:hint="cs"/>
          <w:rtl/>
        </w:rPr>
        <w:t xml:space="preserve"> הנאשם מסר 48 דיווחים כוזבים באמצעות 144 העתקי חשבוניות מזויפות; והכל במטרה להתחמק מתשלום מס בשל בצע כסף.</w:t>
      </w:r>
    </w:p>
    <w:p w14:paraId="661B5B0A" w14:textId="77777777" w:rsidR="00892E73" w:rsidRDefault="00EF06C0">
      <w:pPr>
        <w:numPr>
          <w:ilvl w:val="0"/>
          <w:numId w:val="1"/>
        </w:numPr>
        <w:tabs>
          <w:tab w:val="num" w:pos="720"/>
        </w:tabs>
        <w:spacing w:after="120" w:line="360" w:lineRule="auto"/>
        <w:ind w:left="720"/>
        <w:jc w:val="both"/>
        <w:rPr>
          <w:rFonts w:ascii="Tahoma" w:hAnsi="Tahoma"/>
        </w:rPr>
      </w:pPr>
      <w:r>
        <w:rPr>
          <w:rFonts w:ascii="Tahoma" w:hAnsi="Tahoma" w:hint="cs"/>
          <w:rtl/>
        </w:rPr>
        <w:t>באשר להסרת המחדל הדגישה ב"כ המאשימה כי אין להפריז במשקל שיינתן לו, תוך הפנייה לפסיקה הקובעת שאין בהסרת מחדל כדי למנוע הטלת עונשי מאסר בפועל. בנסיבות אלה עתרה ב"כ המאשימה להשית על הנאשם עונש של מאסר בפועל, לתקופה של שבעה חודשים, וכן ענישה נלווית: מאסר מותנה, קנס כספי והתחייבות להימנע מביצוע עבירה.</w:t>
      </w:r>
    </w:p>
    <w:p w14:paraId="42807FA0" w14:textId="77777777" w:rsidR="00892E73" w:rsidRDefault="00EF06C0">
      <w:pPr>
        <w:numPr>
          <w:ilvl w:val="0"/>
          <w:numId w:val="1"/>
        </w:numPr>
        <w:tabs>
          <w:tab w:val="num" w:pos="720"/>
        </w:tabs>
        <w:spacing w:after="120" w:line="360" w:lineRule="auto"/>
        <w:ind w:left="720"/>
        <w:jc w:val="both"/>
        <w:rPr>
          <w:rFonts w:ascii="Tahoma" w:hAnsi="Tahoma"/>
        </w:rPr>
      </w:pPr>
      <w:r>
        <w:rPr>
          <w:rFonts w:ascii="Tahoma" w:hAnsi="Tahoma" w:hint="cs"/>
          <w:rtl/>
        </w:rPr>
        <w:t>ב"כ הנאשם, מצידה, ביקשה להקל עם הנאשם, תוך הדגשת נסיבות הקולה בעניינו ובמיוחד הסרת המחדל, ההודאה ונטילת האחריות. באשר להסרת המחדל טענה ב"כ הנאשם כי הנאשם הסיר את מלוא מחדליו כלפי רשויות המס: הגם שהמחדל מושא כתב האישום הינו 609,913 ₪, בפועל שילם הנאשם לרשויות מע"מ סך כולל של 1,490,000 ₪, ובהקשר זה הוסיפה והדגישה את שני אלה:</w:t>
      </w:r>
    </w:p>
    <w:p w14:paraId="56ACF3AB" w14:textId="77777777" w:rsidR="00892E73" w:rsidRDefault="00EF06C0">
      <w:pPr>
        <w:spacing w:after="120" w:line="360" w:lineRule="auto"/>
        <w:ind w:left="2160" w:hanging="720"/>
        <w:jc w:val="both"/>
        <w:rPr>
          <w:rFonts w:ascii="Tahoma" w:hAnsi="Tahoma"/>
          <w:rtl/>
        </w:rPr>
      </w:pPr>
      <w:r>
        <w:rPr>
          <w:rFonts w:ascii="Tahoma" w:hAnsi="Tahoma" w:hint="cs"/>
          <w:rtl/>
        </w:rPr>
        <w:t>(א)</w:t>
      </w:r>
      <w:r>
        <w:rPr>
          <w:rFonts w:ascii="Tahoma" w:hAnsi="Tahoma"/>
          <w:rtl/>
        </w:rPr>
        <w:tab/>
      </w:r>
      <w:r>
        <w:rPr>
          <w:rFonts w:ascii="Tahoma" w:hAnsi="Tahoma" w:hint="cs"/>
          <w:rtl/>
        </w:rPr>
        <w:t>הנאשם הסיר את מלוא מחדליו עוד בחודש ינואר 2014.</w:t>
      </w:r>
    </w:p>
    <w:p w14:paraId="440CB918" w14:textId="77777777" w:rsidR="00892E73" w:rsidRDefault="00EF06C0">
      <w:pPr>
        <w:spacing w:after="120" w:line="360" w:lineRule="auto"/>
        <w:ind w:left="2160" w:hanging="720"/>
        <w:jc w:val="both"/>
        <w:rPr>
          <w:rFonts w:ascii="Tahoma" w:hAnsi="Tahoma"/>
          <w:rtl/>
        </w:rPr>
      </w:pPr>
      <w:r>
        <w:rPr>
          <w:rFonts w:ascii="Tahoma" w:hAnsi="Tahoma" w:hint="cs"/>
          <w:rtl/>
        </w:rPr>
        <w:t>(ב)</w:t>
      </w:r>
      <w:r>
        <w:rPr>
          <w:rFonts w:ascii="Tahoma" w:hAnsi="Tahoma"/>
          <w:rtl/>
        </w:rPr>
        <w:tab/>
      </w:r>
      <w:r>
        <w:rPr>
          <w:rFonts w:ascii="Tahoma" w:hAnsi="Tahoma" w:hint="cs"/>
          <w:rtl/>
        </w:rPr>
        <w:t>הובטח לנאשם כי אם ישלם את כל שנדרש ממנו לא יוגש נגדו כתב אישום. למרות זאת, כתב האישום דנא הוגש, ורק בחודש מאי 2015.</w:t>
      </w:r>
    </w:p>
    <w:p w14:paraId="37259C9E" w14:textId="77777777" w:rsidR="00892E73" w:rsidRDefault="00EF06C0">
      <w:pPr>
        <w:numPr>
          <w:ilvl w:val="0"/>
          <w:numId w:val="1"/>
        </w:numPr>
        <w:tabs>
          <w:tab w:val="num" w:pos="720"/>
        </w:tabs>
        <w:spacing w:after="120" w:line="360" w:lineRule="auto"/>
        <w:ind w:left="720"/>
        <w:jc w:val="both"/>
        <w:rPr>
          <w:rFonts w:ascii="Tahoma" w:hAnsi="Tahoma"/>
        </w:rPr>
      </w:pPr>
      <w:r>
        <w:rPr>
          <w:rFonts w:ascii="Tahoma" w:hAnsi="Tahoma" w:hint="cs"/>
          <w:rtl/>
        </w:rPr>
        <w:t xml:space="preserve">ב"כ הנאשם הרחיבה בתיאור נסיבות חייו המורכבות של הנאשם, יליד שנת 1970. לנאשם חמישה ילדים, והוא אף תומך כלכלית בילדיהם של אחיו. בחודש פברואר השנה (2016) נפגע הנאשם בתאונת דרכים, בעת שרכב על אופנוע, וכתוצאה מכך נאלץ להפסיק לעבוד. מצבו הכלכלי של הנאשם התדרדר אפוא, עד כדי כך שהנאשם נאלץ למכור </w:t>
      </w:r>
      <w:r>
        <w:rPr>
          <w:rFonts w:ascii="Tahoma" w:hAnsi="Tahoma"/>
          <w:rtl/>
        </w:rPr>
        <w:t>–</w:t>
      </w:r>
      <w:r>
        <w:rPr>
          <w:rFonts w:ascii="Tahoma" w:hAnsi="Tahoma" w:hint="cs"/>
          <w:rtl/>
        </w:rPr>
        <w:t xml:space="preserve"> בחודש מאי 2015 </w:t>
      </w:r>
      <w:r>
        <w:rPr>
          <w:rFonts w:ascii="Tahoma" w:hAnsi="Tahoma"/>
          <w:rtl/>
        </w:rPr>
        <w:t>–</w:t>
      </w:r>
      <w:r>
        <w:rPr>
          <w:rFonts w:ascii="Tahoma" w:hAnsi="Tahoma" w:hint="cs"/>
          <w:rtl/>
        </w:rPr>
        <w:t xml:space="preserve"> את דירת מגוריו ולעבור לגור עם הוריו. כיום הנאשם הינו חסר כל, ואפילו ייצוגו נעשה באמצעות הסניגוריה הציבורית.</w:t>
      </w:r>
    </w:p>
    <w:p w14:paraId="38F63D81" w14:textId="77777777" w:rsidR="00892E73" w:rsidRDefault="00EF06C0">
      <w:pPr>
        <w:numPr>
          <w:ilvl w:val="0"/>
          <w:numId w:val="1"/>
        </w:numPr>
        <w:tabs>
          <w:tab w:val="num" w:pos="720"/>
        </w:tabs>
        <w:spacing w:after="120" w:line="360" w:lineRule="auto"/>
        <w:ind w:left="720"/>
        <w:jc w:val="both"/>
        <w:rPr>
          <w:rFonts w:ascii="Tahoma" w:hAnsi="Tahoma"/>
        </w:rPr>
      </w:pPr>
      <w:r>
        <w:rPr>
          <w:rFonts w:ascii="Tahoma" w:hAnsi="Tahoma" w:hint="cs"/>
          <w:rtl/>
        </w:rPr>
        <w:t>ב"כ הנאשם תמכה את טענותיה בעניינים הנ"ל הן במסמכים רפואיים (הוגשו וסומנו ס/1) והן במסמכים אודות מכירת הדירה וחובותיו הכספיים של הנאשם (הוגשו וסומנו ס/2). בנסיבות אלה, ותוך הפנייה לפסיקה מקלה, עתרה ב"כ הנאשם להקל ככל האפשר עם הנאשם: להטיל עליו עונש של מאסר בפועל קצר ככל האפשר, שניתן לרצותו בדרך של עבודות שירות, ולהשית עליו קנס מינימלי.</w:t>
      </w:r>
    </w:p>
    <w:p w14:paraId="59A24B1D" w14:textId="77777777" w:rsidR="00892E73" w:rsidRDefault="00EF06C0">
      <w:pPr>
        <w:numPr>
          <w:ilvl w:val="0"/>
          <w:numId w:val="1"/>
        </w:numPr>
        <w:tabs>
          <w:tab w:val="num" w:pos="720"/>
        </w:tabs>
        <w:spacing w:after="120" w:line="360" w:lineRule="auto"/>
        <w:ind w:left="720"/>
        <w:jc w:val="both"/>
        <w:rPr>
          <w:rFonts w:ascii="Tahoma" w:hAnsi="Tahoma"/>
        </w:rPr>
      </w:pPr>
      <w:r>
        <w:rPr>
          <w:rFonts w:ascii="Tahoma" w:hAnsi="Tahoma" w:hint="cs"/>
          <w:rtl/>
        </w:rPr>
        <w:t xml:space="preserve">הנאשם, בדברו האחרון לעונש, שב והביע צער על כך שביצע את העבירות מושא כתב האישום. יחד עם זאת הדגיש הנאשם, כי הוא שילם על ביצוע העבירות מחיר כבד מאוד, ואף נאלץ למכור את ביתו. לדברי הנאשם, נציג ממע"מ </w:t>
      </w:r>
      <w:r>
        <w:rPr>
          <w:rFonts w:ascii="Tahoma" w:hAnsi="Tahoma"/>
          <w:rtl/>
        </w:rPr>
        <w:t>–</w:t>
      </w:r>
      <w:r>
        <w:rPr>
          <w:rFonts w:ascii="Tahoma" w:hAnsi="Tahoma" w:hint="cs"/>
          <w:rtl/>
        </w:rPr>
        <w:t xml:space="preserve"> שבשמו הספציפי נקב </w:t>
      </w:r>
      <w:r>
        <w:rPr>
          <w:rFonts w:ascii="Tahoma" w:hAnsi="Tahoma"/>
          <w:rtl/>
        </w:rPr>
        <w:t>–</w:t>
      </w:r>
      <w:r>
        <w:rPr>
          <w:rFonts w:ascii="Tahoma" w:hAnsi="Tahoma" w:hint="cs"/>
          <w:rtl/>
        </w:rPr>
        <w:t xml:space="preserve"> אמר לו שאם ישלם את שנדרש ממנו הוא לא יגיע לבית המשפט.</w:t>
      </w:r>
    </w:p>
    <w:p w14:paraId="42287BCA" w14:textId="77777777" w:rsidR="00892E73" w:rsidRDefault="00EF06C0">
      <w:pPr>
        <w:spacing w:after="120" w:line="360" w:lineRule="auto"/>
        <w:ind w:left="720"/>
        <w:jc w:val="both"/>
        <w:rPr>
          <w:rFonts w:ascii="Tahoma" w:hAnsi="Tahoma"/>
        </w:rPr>
      </w:pPr>
      <w:r>
        <w:rPr>
          <w:rFonts w:ascii="Tahoma" w:hAnsi="Tahoma" w:hint="cs"/>
          <w:rtl/>
        </w:rPr>
        <w:t>הנאשם הוסיף וטען: "</w:t>
      </w:r>
      <w:r>
        <w:rPr>
          <w:rFonts w:ascii="Tahoma" w:hAnsi="Tahoma" w:hint="cs"/>
          <w:b/>
          <w:bCs/>
          <w:rtl/>
        </w:rPr>
        <w:t>אני חושב שיש פה משהו לא בסדר. יכל להגיד לי מההתחלה אתה תגיע לזה ולבית סוהר ויכולתי לעשות שיקולים אחרים, אני היום בלי בית עם חמישה ילדים. כל זה בשביל להסיר ולהיות בסדר, אני מבין שעשיתי טעות, אבל אני לא יכול לשלם עליה עשר פעמים...</w:t>
      </w:r>
      <w:r>
        <w:rPr>
          <w:rFonts w:ascii="Tahoma" w:hAnsi="Tahoma" w:hint="cs"/>
          <w:rtl/>
        </w:rPr>
        <w:t>" (ר' בפרוטוקול, עמ' 14 שורה 10 ואילך).</w:t>
      </w:r>
    </w:p>
    <w:p w14:paraId="2621CF93" w14:textId="77777777" w:rsidR="00892E73" w:rsidRDefault="00892E73">
      <w:pPr>
        <w:tabs>
          <w:tab w:val="num" w:pos="720"/>
        </w:tabs>
        <w:spacing w:after="120" w:line="360" w:lineRule="auto"/>
        <w:jc w:val="both"/>
        <w:rPr>
          <w:rFonts w:ascii="Tahoma" w:hAnsi="Tahoma"/>
          <w:rtl/>
        </w:rPr>
      </w:pPr>
    </w:p>
    <w:p w14:paraId="7A24F00C" w14:textId="77777777" w:rsidR="00892E73" w:rsidRDefault="00EF06C0">
      <w:pPr>
        <w:snapToGrid w:val="0"/>
        <w:spacing w:after="120" w:line="360" w:lineRule="auto"/>
        <w:jc w:val="both"/>
        <w:rPr>
          <w:b/>
          <w:bCs/>
          <w:u w:val="single"/>
        </w:rPr>
      </w:pPr>
      <w:r>
        <w:rPr>
          <w:rFonts w:hint="cs"/>
          <w:b/>
          <w:bCs/>
          <w:rtl/>
        </w:rPr>
        <w:t>ג.</w:t>
      </w:r>
      <w:r>
        <w:rPr>
          <w:rFonts w:hint="cs"/>
          <w:b/>
          <w:bCs/>
          <w:rtl/>
        </w:rPr>
        <w:tab/>
      </w:r>
      <w:r>
        <w:rPr>
          <w:rFonts w:hint="cs"/>
          <w:b/>
          <w:bCs/>
          <w:u w:val="single"/>
          <w:rtl/>
        </w:rPr>
        <w:t>דיון והכרעה:</w:t>
      </w:r>
    </w:p>
    <w:p w14:paraId="7619FEA8" w14:textId="77777777" w:rsidR="00892E73" w:rsidRDefault="00EF06C0">
      <w:pPr>
        <w:snapToGrid w:val="0"/>
        <w:spacing w:after="120" w:line="360" w:lineRule="auto"/>
        <w:jc w:val="both"/>
        <w:rPr>
          <w:u w:val="single"/>
        </w:rPr>
      </w:pPr>
      <w:r>
        <w:rPr>
          <w:rFonts w:hint="cs"/>
          <w:rtl/>
        </w:rPr>
        <w:t>(1)</w:t>
      </w:r>
      <w:r>
        <w:rPr>
          <w:rFonts w:hint="cs"/>
          <w:rtl/>
        </w:rPr>
        <w:tab/>
      </w:r>
      <w:r>
        <w:rPr>
          <w:rFonts w:hint="cs"/>
          <w:u w:val="single"/>
          <w:rtl/>
        </w:rPr>
        <w:t>קביעת מתחם העונש ההולם:</w:t>
      </w:r>
    </w:p>
    <w:p w14:paraId="5E4B6E70" w14:textId="77777777" w:rsidR="00892E73" w:rsidRDefault="00EF06C0">
      <w:pPr>
        <w:numPr>
          <w:ilvl w:val="0"/>
          <w:numId w:val="1"/>
        </w:numPr>
        <w:tabs>
          <w:tab w:val="num" w:pos="720"/>
        </w:tabs>
        <w:spacing w:after="120" w:line="360" w:lineRule="auto"/>
        <w:ind w:left="720"/>
        <w:jc w:val="both"/>
        <w:rPr>
          <w:rFonts w:ascii="Tahoma" w:hAnsi="Tahoma"/>
        </w:rPr>
      </w:pPr>
      <w:r>
        <w:rPr>
          <w:rFonts w:hint="cs"/>
          <w:rtl/>
        </w:rPr>
        <w:t xml:space="preserve">בעת גזירת עונשו של נאשם על בית המשפט לקבוע, תחילה, את מתחם העונש ההולם לכל אירוע עברייני שבגינו הורשע הנאשם, ולאחר מכן לגזור את עונשו של הנאשם בתוך מתחם העונש ההולם; והכל כאמור בהוראות </w:t>
      </w:r>
      <w:hyperlink r:id="rId23" w:history="1">
        <w:r w:rsidR="005931D8" w:rsidRPr="005931D8">
          <w:rPr>
            <w:color w:val="0000FF"/>
            <w:u w:val="single"/>
            <w:rtl/>
          </w:rPr>
          <w:t>סעיף 40ג</w:t>
        </w:r>
      </w:hyperlink>
      <w:r>
        <w:rPr>
          <w:rFonts w:hint="cs"/>
          <w:rtl/>
        </w:rPr>
        <w:t xml:space="preserve"> יחד עם </w:t>
      </w:r>
      <w:hyperlink r:id="rId24" w:history="1">
        <w:r w:rsidR="005931D8" w:rsidRPr="005931D8">
          <w:rPr>
            <w:color w:val="0000FF"/>
            <w:u w:val="single"/>
            <w:rtl/>
          </w:rPr>
          <w:t>סעיף 40יג</w:t>
        </w:r>
      </w:hyperlink>
      <w:r>
        <w:rPr>
          <w:rFonts w:hint="cs"/>
          <w:rtl/>
        </w:rPr>
        <w:t xml:space="preserve"> ל</w:t>
      </w:r>
      <w:hyperlink r:id="rId25" w:history="1">
        <w:r w:rsidRPr="00EF06C0">
          <w:rPr>
            <w:color w:val="0000FF"/>
            <w:u w:val="single"/>
            <w:rtl/>
          </w:rPr>
          <w:t>חוק העונשין</w:t>
        </w:r>
      </w:hyperlink>
      <w:r>
        <w:rPr>
          <w:rFonts w:hint="cs"/>
          <w:rtl/>
        </w:rPr>
        <w:t xml:space="preserve">, תשל"ז-1977 (להלן </w:t>
      </w:r>
      <w:r>
        <w:rPr>
          <w:rtl/>
        </w:rPr>
        <w:t>–</w:t>
      </w:r>
      <w:r>
        <w:rPr>
          <w:rFonts w:hint="cs"/>
          <w:rtl/>
        </w:rPr>
        <w:t xml:space="preserve"> חוק העונשין).</w:t>
      </w:r>
    </w:p>
    <w:p w14:paraId="0ED89ED3" w14:textId="77777777" w:rsidR="00892E73" w:rsidRDefault="00EF06C0">
      <w:pPr>
        <w:numPr>
          <w:ilvl w:val="0"/>
          <w:numId w:val="1"/>
        </w:numPr>
        <w:tabs>
          <w:tab w:val="num" w:pos="720"/>
        </w:tabs>
        <w:spacing w:after="120" w:line="360" w:lineRule="auto"/>
        <w:ind w:left="720"/>
        <w:jc w:val="both"/>
        <w:rPr>
          <w:rFonts w:ascii="Tahoma" w:hAnsi="Tahoma"/>
        </w:rPr>
      </w:pPr>
      <w:r>
        <w:rPr>
          <w:rFonts w:hint="cs"/>
          <w:rtl/>
        </w:rPr>
        <w:t>קביעת מתחם העונש ההולם תיעשה תוך התחשבות בערך החברתי שנפגע מביצוע העבירות ובמידת הפגיעה בו, במדיניות הענישה הנהוגה ובנסיבות הקשורות בביצוע העבירות.</w:t>
      </w:r>
      <w:r>
        <w:rPr>
          <w:rFonts w:ascii="Tahoma" w:hAnsi="Tahoma" w:hint="cs"/>
          <w:rtl/>
        </w:rPr>
        <w:t xml:space="preserve"> באשר לעבירות מס חזרה הפסיקה וקבעה כי מדובר בעבירות חמורות, שביצוען פוגע בערכים חברתיים חשובים, ובהם ההגנה על הקופה הציבורית שבאוצר המדינה וההגנה על שוויון הנשיאה בנטל המס.</w:t>
      </w:r>
    </w:p>
    <w:p w14:paraId="2751B9DA" w14:textId="77777777" w:rsidR="00892E73" w:rsidRDefault="00EF06C0">
      <w:pPr>
        <w:spacing w:after="120" w:line="360" w:lineRule="auto"/>
        <w:ind w:left="720"/>
        <w:jc w:val="both"/>
        <w:rPr>
          <w:rFonts w:ascii="Tahoma" w:hAnsi="Tahoma"/>
          <w:rtl/>
        </w:rPr>
      </w:pPr>
      <w:r>
        <w:rPr>
          <w:rFonts w:ascii="Tahoma" w:hAnsi="Tahoma" w:hint="cs"/>
          <w:rtl/>
        </w:rPr>
        <w:t>כאשר מדובר בעבירות מס הכוללות יסוד של מרמה, כבענייננו, הענישה צריכה לכלול, ככלל, גם רכיב של מאסר בפועל ממשי, מאחורי סורג ובריח.</w:t>
      </w:r>
    </w:p>
    <w:p w14:paraId="0553B8B1" w14:textId="77777777" w:rsidR="00892E73" w:rsidRDefault="00EF06C0">
      <w:pPr>
        <w:numPr>
          <w:ilvl w:val="0"/>
          <w:numId w:val="1"/>
        </w:numPr>
        <w:tabs>
          <w:tab w:val="num" w:pos="720"/>
        </w:tabs>
        <w:spacing w:after="120" w:line="360" w:lineRule="auto"/>
        <w:ind w:left="720"/>
        <w:jc w:val="both"/>
        <w:rPr>
          <w:rFonts w:ascii="Tahoma" w:hAnsi="Tahoma"/>
        </w:rPr>
      </w:pPr>
      <w:r>
        <w:rPr>
          <w:rFonts w:ascii="Tahoma" w:hAnsi="Tahoma" w:hint="cs"/>
          <w:rtl/>
        </w:rPr>
        <w:t>יחד עם זאת, במקרה דנא קיימות שתי נסיבות-קולה מהותיות:</w:t>
      </w:r>
    </w:p>
    <w:p w14:paraId="77E0FF44" w14:textId="77777777" w:rsidR="00892E73" w:rsidRDefault="00EF06C0">
      <w:pPr>
        <w:spacing w:after="120" w:line="360" w:lineRule="auto"/>
        <w:ind w:left="1440"/>
        <w:jc w:val="both"/>
        <w:rPr>
          <w:rFonts w:ascii="Tahoma" w:hAnsi="Tahoma"/>
        </w:rPr>
      </w:pPr>
      <w:r>
        <w:rPr>
          <w:rFonts w:ascii="Tahoma" w:hAnsi="Tahoma" w:hint="cs"/>
          <w:b/>
          <w:bCs/>
          <w:rtl/>
        </w:rPr>
        <w:t>ראשית</w:t>
      </w:r>
      <w:r>
        <w:rPr>
          <w:rFonts w:ascii="Tahoma" w:hAnsi="Tahoma" w:hint="cs"/>
          <w:rtl/>
        </w:rPr>
        <w:t xml:space="preserve">, הנאשם הסיר באופן מלא ומוחלט את מחדליו, מעל ומעבר למה שנכלל בעובדות כתב האישום. פשיטא, כי בהסרת מחדלים אלה אין כדי לאיין את ביצוע העבירות. יתר על כן, הלכה היא כי מי שמסיר את מחדלו אינו עושה מעשה חסד עם הרשות אלא רק מתקן, ובדיעבד, את תוצאותיה של עבירה פלילית שאותה הוא ביצע. ואולם, כאשר מדובר בעבירות פיסקליות, סוגיית הסרת המחדל הינה סוגיה היורדת לשורשה של שאלת הענישה, שאף המאשימה עצמה מבקשת להתחשב בה במסגרת קביעת מתחם העונש ההולם (ר' למשל </w:t>
      </w:r>
      <w:hyperlink r:id="rId26" w:history="1">
        <w:r w:rsidRPr="00EF06C0">
          <w:rPr>
            <w:rFonts w:ascii="Tahoma" w:hAnsi="Tahoma"/>
            <w:color w:val="0000FF"/>
            <w:u w:val="single"/>
            <w:rtl/>
          </w:rPr>
          <w:t>ת.פ. 10483-08-12</w:t>
        </w:r>
      </w:hyperlink>
      <w:r>
        <w:rPr>
          <w:rFonts w:ascii="Tahoma" w:hAnsi="Tahoma" w:hint="cs"/>
          <w:rtl/>
        </w:rPr>
        <w:t xml:space="preserve"> </w:t>
      </w:r>
      <w:r>
        <w:rPr>
          <w:rFonts w:ascii="Tahoma" w:hAnsi="Tahoma" w:hint="cs"/>
          <w:b/>
          <w:bCs/>
          <w:rtl/>
        </w:rPr>
        <w:t>מדינת ישראל נ' קשמש בע"מ ואח'</w:t>
      </w:r>
      <w:r>
        <w:rPr>
          <w:rFonts w:ascii="Tahoma" w:hAnsi="Tahoma" w:hint="cs"/>
          <w:rtl/>
        </w:rPr>
        <w:t xml:space="preserve"> (2014), בפסקאות 14 עד 16 לגזר הדין). לא זו אף זו: כאשר מדובר בהסרה מלאה ומוחלטת של המחדל, המאשימה מסכימה לא אחת להמיר כתבי אישום לקנסות מנהליים, או למצער – כאשר הנאשם אינו עומד בתנאים שנקבעו להמרת כתבי אישום לקנסות מנהליים – לענישה שאינה כוללת רכיב של מאסר בפועל מאחורי סורג ובריח.</w:t>
      </w:r>
    </w:p>
    <w:p w14:paraId="0DADD0E9" w14:textId="77777777" w:rsidR="00892E73" w:rsidRDefault="00EF06C0">
      <w:pPr>
        <w:spacing w:after="120" w:line="360" w:lineRule="auto"/>
        <w:ind w:left="1440"/>
        <w:jc w:val="both"/>
        <w:rPr>
          <w:rFonts w:ascii="Tahoma" w:hAnsi="Tahoma"/>
          <w:rtl/>
        </w:rPr>
      </w:pPr>
      <w:r>
        <w:rPr>
          <w:rFonts w:ascii="Tahoma" w:hAnsi="Tahoma" w:hint="cs"/>
          <w:b/>
          <w:bCs/>
          <w:rtl/>
        </w:rPr>
        <w:t>שנית</w:t>
      </w:r>
      <w:r>
        <w:rPr>
          <w:rFonts w:ascii="Tahoma" w:hAnsi="Tahoma" w:hint="cs"/>
          <w:rtl/>
        </w:rPr>
        <w:t>, ב"כ הנאשם והנאשם עצמו העלו לפניי טענות שלפיהן נאמר לנאשם במע"מ כי אם יסיר את מלוא מחדליו הוא לא יגיע לבית המשפט. ב"כ הנאשם אף טענה כי הסרת המחדלים המלאה נעשתה זמן ניכר לפני הגשת כתב האישום. ב"כ המאשימה ביקשה להגיב לטענות אלה והבהירה כי הסרת המחדל התמשכה, ונעשתה באופן מלא רק לאחר הגשת כתב האישום (ר' בפרוטוקול, עמ' 14 שורה 2 ואילך). יחד עם זאת, ב"כ המאשימה לא התייחסה לטענות בדבר אמירות כנ"ל על ידי גורם ספציפי במע"מ.</w:t>
      </w:r>
    </w:p>
    <w:p w14:paraId="60344233" w14:textId="77777777" w:rsidR="00892E73" w:rsidRDefault="00EF06C0">
      <w:pPr>
        <w:spacing w:after="120" w:line="360" w:lineRule="auto"/>
        <w:ind w:left="1440"/>
        <w:jc w:val="both"/>
        <w:rPr>
          <w:rFonts w:ascii="Tahoma" w:hAnsi="Tahoma"/>
          <w:rtl/>
        </w:rPr>
      </w:pPr>
      <w:r>
        <w:rPr>
          <w:rFonts w:ascii="Tahoma" w:hAnsi="Tahoma" w:hint="cs"/>
          <w:rtl/>
        </w:rPr>
        <w:t xml:space="preserve">ההגנה אמנם לא המציאה כל מסמך בעניין האמירות הנטענות, ולא ברור אם עניינו של הנאשם כלל מתאים להליך של כופר. יחד עם זאת, גם אם הדברים רק נרמזו לנאשם על ידי גורם בלתי מוסמך לכך במע"מ, הלכה למעשה אין מחלוקת שבפועל עשה הנאשם מאמצים כבירים לסילוק מחדלים מעל ומעבר למה שנכלל בכתב האישום; ובכך יש להתחשב באופן מהותי. למעשה, מדובר במעין "הגנה מן הצדק" אשר יש בה כדי להשפיע על </w:t>
      </w:r>
      <w:r>
        <w:rPr>
          <w:rFonts w:ascii="Tahoma" w:hAnsi="Tahoma" w:hint="cs"/>
          <w:b/>
          <w:bCs/>
          <w:rtl/>
        </w:rPr>
        <w:t>מידת</w:t>
      </w:r>
      <w:r>
        <w:rPr>
          <w:rFonts w:ascii="Tahoma" w:hAnsi="Tahoma" w:hint="cs"/>
          <w:rtl/>
        </w:rPr>
        <w:t xml:space="preserve"> הפגיעה בערכים המוגנים, שהינה כידוע אחד המדדים לקביעת מתחם העונש ההולם על פי הוראות </w:t>
      </w:r>
      <w:hyperlink r:id="rId27" w:history="1">
        <w:r w:rsidR="005931D8" w:rsidRPr="005931D8">
          <w:rPr>
            <w:rFonts w:ascii="Tahoma" w:hAnsi="Tahoma"/>
            <w:color w:val="0000FF"/>
            <w:u w:val="single"/>
            <w:rtl/>
          </w:rPr>
          <w:t>סעיף 40ג(א)</w:t>
        </w:r>
      </w:hyperlink>
      <w:r>
        <w:rPr>
          <w:rFonts w:ascii="Tahoma" w:hAnsi="Tahoma" w:hint="cs"/>
          <w:rtl/>
        </w:rPr>
        <w:t xml:space="preserve"> ל</w:t>
      </w:r>
      <w:hyperlink r:id="rId28" w:history="1">
        <w:r w:rsidRPr="00EF06C0">
          <w:rPr>
            <w:rFonts w:ascii="Tahoma" w:hAnsi="Tahoma"/>
            <w:color w:val="0000FF"/>
            <w:u w:val="single"/>
            <w:rtl/>
          </w:rPr>
          <w:t>חוק העונשין</w:t>
        </w:r>
      </w:hyperlink>
      <w:r>
        <w:rPr>
          <w:rFonts w:ascii="Tahoma" w:hAnsi="Tahoma" w:hint="cs"/>
          <w:rtl/>
        </w:rPr>
        <w:t>.</w:t>
      </w:r>
    </w:p>
    <w:p w14:paraId="4FDC8A46" w14:textId="77777777" w:rsidR="00892E73" w:rsidRDefault="00EF06C0">
      <w:pPr>
        <w:numPr>
          <w:ilvl w:val="0"/>
          <w:numId w:val="1"/>
        </w:numPr>
        <w:tabs>
          <w:tab w:val="num" w:pos="720"/>
        </w:tabs>
        <w:spacing w:after="120" w:line="360" w:lineRule="auto"/>
        <w:ind w:left="720"/>
        <w:jc w:val="both"/>
        <w:rPr>
          <w:rFonts w:ascii="Tahoma" w:hAnsi="Tahoma"/>
        </w:rPr>
      </w:pPr>
      <w:r>
        <w:rPr>
          <w:rFonts w:ascii="Tahoma" w:hAnsi="Tahoma" w:hint="cs"/>
          <w:rtl/>
        </w:rPr>
        <w:t xml:space="preserve">בנסיבות אלה אני קובע כי מתחם העונש ההולם, במקרה דנא, </w:t>
      </w:r>
      <w:r>
        <w:rPr>
          <w:rFonts w:hint="cs"/>
          <w:rtl/>
        </w:rPr>
        <w:t>הינו בין 3 חודשי מאסר בפועל, שניתן לרצותם בדרך של עבודות שירות, לבין 12 חודשי מאסר בפועל.</w:t>
      </w:r>
    </w:p>
    <w:p w14:paraId="5AB180E9" w14:textId="77777777" w:rsidR="00892E73" w:rsidRDefault="00892E73">
      <w:pPr>
        <w:spacing w:after="120" w:line="360" w:lineRule="auto"/>
        <w:jc w:val="both"/>
        <w:rPr>
          <w:rtl/>
        </w:rPr>
      </w:pPr>
    </w:p>
    <w:p w14:paraId="66AB508C" w14:textId="77777777" w:rsidR="00892E73" w:rsidRDefault="00EF06C0">
      <w:pPr>
        <w:snapToGrid w:val="0"/>
        <w:spacing w:after="120" w:line="360" w:lineRule="auto"/>
        <w:jc w:val="both"/>
        <w:rPr>
          <w:u w:val="single"/>
        </w:rPr>
      </w:pPr>
      <w:r>
        <w:rPr>
          <w:rFonts w:hint="cs"/>
          <w:rtl/>
        </w:rPr>
        <w:t>(2)</w:t>
      </w:r>
      <w:r>
        <w:rPr>
          <w:rFonts w:hint="cs"/>
          <w:rtl/>
        </w:rPr>
        <w:tab/>
      </w:r>
      <w:r>
        <w:rPr>
          <w:rFonts w:hint="cs"/>
          <w:u w:val="single"/>
          <w:rtl/>
        </w:rPr>
        <w:t>גזירת עונשו של הנאשם בתוך מתחם העונש ההולם:</w:t>
      </w:r>
    </w:p>
    <w:p w14:paraId="553DE5E5" w14:textId="77777777" w:rsidR="00892E73" w:rsidRDefault="00EF06C0">
      <w:pPr>
        <w:numPr>
          <w:ilvl w:val="0"/>
          <w:numId w:val="1"/>
        </w:numPr>
        <w:tabs>
          <w:tab w:val="num" w:pos="720"/>
        </w:tabs>
        <w:spacing w:after="120" w:line="360" w:lineRule="auto"/>
        <w:ind w:left="720"/>
        <w:jc w:val="both"/>
        <w:rPr>
          <w:rFonts w:ascii="Tahoma" w:hAnsi="Tahoma"/>
        </w:rPr>
      </w:pPr>
      <w:r>
        <w:rPr>
          <w:rFonts w:hint="cs"/>
          <w:rtl/>
        </w:rPr>
        <w:t xml:space="preserve">לאחר קביעת מתחם העונש ההולם על בית המשפט לגזור את עונשו של הנאשם בתוך מתחם זה בהתאם להוראות </w:t>
      </w:r>
      <w:hyperlink r:id="rId29" w:history="1">
        <w:r w:rsidR="005931D8" w:rsidRPr="005931D8">
          <w:rPr>
            <w:color w:val="0000FF"/>
            <w:u w:val="single"/>
            <w:rtl/>
          </w:rPr>
          <w:t>סעיף 40יא</w:t>
        </w:r>
      </w:hyperlink>
      <w:r>
        <w:rPr>
          <w:rFonts w:hint="cs"/>
          <w:rtl/>
        </w:rPr>
        <w:t xml:space="preserve"> </w:t>
      </w:r>
      <w:hyperlink r:id="rId30" w:history="1">
        <w:r w:rsidR="005931D8" w:rsidRPr="005931D8">
          <w:rPr>
            <w:color w:val="0000FF"/>
            <w:u w:val="single"/>
            <w:rtl/>
          </w:rPr>
          <w:t>וסעיף 40יב</w:t>
        </w:r>
      </w:hyperlink>
      <w:r>
        <w:rPr>
          <w:rFonts w:hint="cs"/>
          <w:rtl/>
        </w:rPr>
        <w:t xml:space="preserve"> ל</w:t>
      </w:r>
      <w:hyperlink r:id="rId31" w:history="1">
        <w:r w:rsidRPr="00EF06C0">
          <w:rPr>
            <w:color w:val="0000FF"/>
            <w:u w:val="single"/>
            <w:rtl/>
          </w:rPr>
          <w:t>חוק העונשין</w:t>
        </w:r>
      </w:hyperlink>
      <w:r>
        <w:rPr>
          <w:rFonts w:hint="cs"/>
          <w:rtl/>
        </w:rPr>
        <w:t>.</w:t>
      </w:r>
    </w:p>
    <w:p w14:paraId="42A976A1" w14:textId="77777777" w:rsidR="00892E73" w:rsidRDefault="00EF06C0">
      <w:pPr>
        <w:spacing w:after="120" w:line="360" w:lineRule="auto"/>
        <w:ind w:left="720"/>
        <w:jc w:val="both"/>
        <w:rPr>
          <w:rFonts w:ascii="Tahoma" w:hAnsi="Tahoma"/>
        </w:rPr>
      </w:pPr>
      <w:r>
        <w:rPr>
          <w:rFonts w:hint="cs"/>
          <w:rtl/>
        </w:rPr>
        <w:t>באשר לנאשם שלפניי, השיקולים הרלוואנטיים לגזירת עונשו בתוך מתחם העונש ההולם הינם כלהלן:</w:t>
      </w:r>
    </w:p>
    <w:p w14:paraId="7A38E2AA" w14:textId="77777777" w:rsidR="00892E73" w:rsidRDefault="00EF06C0">
      <w:pPr>
        <w:snapToGrid w:val="0"/>
        <w:spacing w:after="120" w:line="360" w:lineRule="auto"/>
        <w:ind w:left="1440"/>
        <w:jc w:val="both"/>
        <w:rPr>
          <w:rtl/>
        </w:rPr>
      </w:pPr>
      <w:r>
        <w:rPr>
          <w:rFonts w:hint="cs"/>
          <w:b/>
          <w:bCs/>
          <w:rtl/>
        </w:rPr>
        <w:t xml:space="preserve">עברו הפלילי של הנאשם – </w:t>
      </w:r>
      <w:r>
        <w:rPr>
          <w:rFonts w:hint="cs"/>
          <w:rtl/>
        </w:rPr>
        <w:t>לנאשם עבר פלילי מכביד. יחד עם זאת, מדובר בעבר ישן יחסית, שאינו רלוואנטי לעבירות מיסים.</w:t>
      </w:r>
    </w:p>
    <w:p w14:paraId="735C8E56" w14:textId="77777777" w:rsidR="00892E73" w:rsidRDefault="00EF06C0">
      <w:pPr>
        <w:snapToGrid w:val="0"/>
        <w:spacing w:after="120" w:line="360" w:lineRule="auto"/>
        <w:ind w:left="1440"/>
        <w:jc w:val="both"/>
      </w:pPr>
      <w:r>
        <w:rPr>
          <w:rFonts w:hint="cs"/>
          <w:b/>
          <w:bCs/>
          <w:rtl/>
        </w:rPr>
        <w:t xml:space="preserve">הודאה ונטילת אחריות </w:t>
      </w:r>
      <w:r>
        <w:rPr>
          <w:rFonts w:hint="cs"/>
          <w:rtl/>
        </w:rPr>
        <w:t>– הנאשם הודה בעובדות כתב האישום. בכך חסך הנאשם מזמנם של העדים, הצדדים ובית המשפט. נסיבות אלה יש לזקוף, ובאופן מהותי, לזכותו של הנאשם.</w:t>
      </w:r>
    </w:p>
    <w:p w14:paraId="40CD7FBD" w14:textId="77777777" w:rsidR="00892E73" w:rsidRDefault="00EF06C0">
      <w:pPr>
        <w:snapToGrid w:val="0"/>
        <w:spacing w:after="120" w:line="360" w:lineRule="auto"/>
        <w:ind w:left="1440"/>
        <w:jc w:val="both"/>
        <w:rPr>
          <w:rtl/>
        </w:rPr>
      </w:pPr>
      <w:r>
        <w:rPr>
          <w:rFonts w:hint="cs"/>
          <w:b/>
          <w:bCs/>
          <w:rtl/>
        </w:rPr>
        <w:t xml:space="preserve">נתוניו האישיים של הנאשם ונסיבות חייו </w:t>
      </w:r>
      <w:r>
        <w:rPr>
          <w:rFonts w:hint="cs"/>
          <w:rtl/>
        </w:rPr>
        <w:t>– הנאשם הינו יליד שנת 1970, ונסיבות חייו מורכבות. בנוסף, הנאשם נפגע השנה בתאונת דרכים, שבעטיה מצבו הכלכלי התדרדר.</w:t>
      </w:r>
    </w:p>
    <w:p w14:paraId="26AA514D" w14:textId="77777777" w:rsidR="00892E73" w:rsidRDefault="00EF06C0">
      <w:pPr>
        <w:snapToGrid w:val="0"/>
        <w:spacing w:after="120" w:line="360" w:lineRule="auto"/>
        <w:ind w:left="1440"/>
        <w:jc w:val="both"/>
        <w:rPr>
          <w:rFonts w:ascii="Tahoma" w:hAnsi="Tahoma"/>
          <w:rtl/>
        </w:rPr>
      </w:pPr>
      <w:r>
        <w:rPr>
          <w:rFonts w:hint="cs"/>
          <w:b/>
          <w:bCs/>
          <w:rtl/>
        </w:rPr>
        <w:t>חלוף הזמן מעת ביצוע העבירה –</w:t>
      </w:r>
      <w:r>
        <w:rPr>
          <w:rFonts w:hint="cs"/>
          <w:rtl/>
        </w:rPr>
        <w:t xml:space="preserve"> מעת תום ביצוע העבירות מושא כתב האישום ועד היום </w:t>
      </w:r>
      <w:r>
        <w:rPr>
          <w:rFonts w:ascii="Tahoma" w:hAnsi="Tahoma" w:hint="cs"/>
          <w:rtl/>
        </w:rPr>
        <w:t>חלפו כחמש שנים, כאשר כתב האישום הוגש רק בחודש מאי 2015.</w:t>
      </w:r>
    </w:p>
    <w:p w14:paraId="6EFDB011" w14:textId="77777777" w:rsidR="00892E73" w:rsidRDefault="00EF06C0">
      <w:pPr>
        <w:numPr>
          <w:ilvl w:val="0"/>
          <w:numId w:val="1"/>
        </w:numPr>
        <w:tabs>
          <w:tab w:val="num" w:pos="720"/>
        </w:tabs>
        <w:spacing w:after="120" w:line="360" w:lineRule="auto"/>
        <w:ind w:left="720"/>
        <w:jc w:val="both"/>
        <w:rPr>
          <w:rFonts w:ascii="Tahoma" w:hAnsi="Tahoma"/>
        </w:rPr>
      </w:pPr>
      <w:r>
        <w:rPr>
          <w:rFonts w:hint="cs"/>
          <w:rtl/>
        </w:rPr>
        <w:t>העולה משקלול הנסיבות והשיקולים דלעיל הוא, שבמקרה דנא נסיבות הקולה עולות במשקלן על נסיבות החומרה ויש לגזור את עונשו ברף התחתון של מתחם העונש ההולם. במיוחד יש להתחשב, גם לעניין הקנס, במצבו הכלכלי של הנאשם, וכן בהסרה המלאה של מחדלי הנאשם שמעבר לכתב האישום.</w:t>
      </w:r>
    </w:p>
    <w:p w14:paraId="155865C1" w14:textId="77777777" w:rsidR="00892E73" w:rsidRDefault="00892E73">
      <w:pPr>
        <w:spacing w:after="120" w:line="360" w:lineRule="auto"/>
        <w:jc w:val="both"/>
        <w:rPr>
          <w:rtl/>
        </w:rPr>
      </w:pPr>
    </w:p>
    <w:p w14:paraId="7B444E0A" w14:textId="77777777" w:rsidR="00892E73" w:rsidRDefault="00EF06C0">
      <w:pPr>
        <w:snapToGrid w:val="0"/>
        <w:spacing w:after="120" w:line="360" w:lineRule="auto"/>
        <w:jc w:val="both"/>
        <w:rPr>
          <w:b/>
          <w:bCs/>
          <w:u w:val="single"/>
        </w:rPr>
      </w:pPr>
      <w:r>
        <w:rPr>
          <w:rFonts w:hint="cs"/>
          <w:b/>
          <w:bCs/>
          <w:rtl/>
        </w:rPr>
        <w:t>ד.</w:t>
      </w:r>
      <w:r>
        <w:rPr>
          <w:rFonts w:hint="cs"/>
          <w:b/>
          <w:bCs/>
          <w:rtl/>
        </w:rPr>
        <w:tab/>
      </w:r>
      <w:r>
        <w:rPr>
          <w:rFonts w:hint="cs"/>
          <w:b/>
          <w:bCs/>
          <w:u w:val="single"/>
          <w:rtl/>
        </w:rPr>
        <w:t>סוף דבר:</w:t>
      </w:r>
    </w:p>
    <w:p w14:paraId="0672C6EE" w14:textId="77777777" w:rsidR="00892E73" w:rsidRDefault="00EF06C0">
      <w:pPr>
        <w:numPr>
          <w:ilvl w:val="0"/>
          <w:numId w:val="1"/>
        </w:numPr>
        <w:tabs>
          <w:tab w:val="num" w:pos="720"/>
        </w:tabs>
        <w:spacing w:after="120" w:line="360" w:lineRule="auto"/>
        <w:ind w:left="720"/>
        <w:jc w:val="both"/>
        <w:rPr>
          <w:rFonts w:ascii="Tahoma" w:hAnsi="Tahoma"/>
        </w:rPr>
      </w:pPr>
      <w:r>
        <w:rPr>
          <w:rFonts w:hint="cs"/>
          <w:rtl/>
        </w:rPr>
        <w:t>לפיכך – ובהתחשב בשיקולים לכף חומרה ולכף קולה, אשר פורטו לעיל – אני גוזר על הנאשם את העונשים הבאים:</w:t>
      </w:r>
    </w:p>
    <w:p w14:paraId="7C463E26" w14:textId="77777777" w:rsidR="00892E73" w:rsidRDefault="00EF06C0">
      <w:pPr>
        <w:spacing w:after="120" w:line="360" w:lineRule="auto"/>
        <w:ind w:left="720"/>
        <w:jc w:val="both"/>
        <w:rPr>
          <w:rFonts w:ascii="Tahoma" w:hAnsi="Tahoma"/>
          <w:rtl/>
        </w:rPr>
      </w:pPr>
      <w:r>
        <w:rPr>
          <w:rFonts w:hint="cs"/>
          <w:rtl/>
        </w:rPr>
        <w:t>(א)</w:t>
      </w:r>
      <w:r>
        <w:rPr>
          <w:rFonts w:hint="cs"/>
          <w:rtl/>
        </w:rPr>
        <w:tab/>
        <w:t>3 חודשי מאסר לריצוי בפועל.</w:t>
      </w:r>
    </w:p>
    <w:p w14:paraId="2DCB1FA8" w14:textId="77777777" w:rsidR="00892E73" w:rsidRDefault="00EF06C0">
      <w:pPr>
        <w:spacing w:after="120" w:line="360" w:lineRule="auto"/>
        <w:ind w:left="1440"/>
        <w:jc w:val="both"/>
        <w:rPr>
          <w:rFonts w:ascii="Tahoma" w:hAnsi="Tahoma"/>
        </w:rPr>
      </w:pPr>
      <w:r>
        <w:rPr>
          <w:rFonts w:ascii="Tahoma" w:hAnsi="Tahoma" w:hint="cs"/>
          <w:rtl/>
        </w:rPr>
        <w:t>המאסר ירוצה בדרך של עבודות שירות, כאמור בחוות דעתו של הממונה על עבודות השירות בשירות בתי הסוהר מיום 25.9.16.</w:t>
      </w:r>
    </w:p>
    <w:p w14:paraId="648A4094" w14:textId="77777777" w:rsidR="00892E73" w:rsidRDefault="00EF06C0">
      <w:pPr>
        <w:spacing w:after="120" w:line="360" w:lineRule="auto"/>
        <w:ind w:left="1440"/>
        <w:jc w:val="both"/>
        <w:rPr>
          <w:rFonts w:ascii="Tahoma" w:hAnsi="Tahoma"/>
          <w:rtl/>
        </w:rPr>
      </w:pPr>
      <w:r>
        <w:rPr>
          <w:rFonts w:ascii="Tahoma" w:hAnsi="Tahoma" w:hint="cs"/>
          <w:rtl/>
        </w:rPr>
        <w:t>על הנאשם להתייצב לתחילת ריצוי עונשו במשרדי הממונה על עבודות השירות, ביום 21.11.16 עד השעה 08:00.</w:t>
      </w:r>
    </w:p>
    <w:p w14:paraId="26DC51B9" w14:textId="77777777" w:rsidR="00892E73" w:rsidRDefault="00EF06C0">
      <w:pPr>
        <w:spacing w:after="120" w:line="360" w:lineRule="auto"/>
        <w:ind w:left="1440"/>
        <w:jc w:val="both"/>
        <w:rPr>
          <w:rFonts w:ascii="Tahoma" w:hAnsi="Tahoma"/>
          <w:rtl/>
        </w:rPr>
      </w:pPr>
      <w:r>
        <w:rPr>
          <w:rFonts w:ascii="Tahoma" w:hAnsi="Tahoma" w:hint="cs"/>
          <w:rtl/>
        </w:rPr>
        <w:t>מובהר בזה לנאשם כי בכל הקשור לעבודות השירות עליו לציית להוראות הממונה על עבודות השירות, או למי שהוסמך לכך מטעמו.</w:t>
      </w:r>
    </w:p>
    <w:p w14:paraId="6D37E585" w14:textId="77777777" w:rsidR="00892E73" w:rsidRDefault="00EF06C0">
      <w:pPr>
        <w:spacing w:after="120" w:line="360" w:lineRule="auto"/>
        <w:ind w:left="1440" w:hanging="720"/>
        <w:jc w:val="both"/>
        <w:rPr>
          <w:rFonts w:ascii="Tahoma" w:hAnsi="Tahoma"/>
        </w:rPr>
      </w:pPr>
      <w:r>
        <w:rPr>
          <w:rFonts w:hint="cs"/>
          <w:rtl/>
        </w:rPr>
        <w:t>(ב)</w:t>
      </w:r>
      <w:r>
        <w:rPr>
          <w:rFonts w:hint="cs"/>
          <w:rtl/>
        </w:rPr>
        <w:tab/>
        <w:t>מאסר על תנאי למשך 4 חודשים, אותו לא יישא הנאשם אלא אם כן יעבור, תוך שלוש שנים מהיום, עבירה לפי הוראות חוק מע"מ.</w:t>
      </w:r>
    </w:p>
    <w:p w14:paraId="146D0BD1" w14:textId="77777777" w:rsidR="00892E73" w:rsidRDefault="00EF06C0">
      <w:pPr>
        <w:spacing w:after="120" w:line="360" w:lineRule="auto"/>
        <w:ind w:left="720"/>
        <w:jc w:val="both"/>
        <w:rPr>
          <w:rFonts w:ascii="Tahoma" w:hAnsi="Tahoma"/>
          <w:rtl/>
        </w:rPr>
      </w:pPr>
      <w:r>
        <w:rPr>
          <w:rFonts w:hint="cs"/>
          <w:rtl/>
        </w:rPr>
        <w:t>(ג)</w:t>
      </w:r>
      <w:r>
        <w:rPr>
          <w:rFonts w:hint="cs"/>
          <w:rtl/>
        </w:rPr>
        <w:tab/>
        <w:t>קנס בסך של 12,000 ₪, או שישה חודשי מאסר תמורתו.</w:t>
      </w:r>
    </w:p>
    <w:p w14:paraId="366B0500" w14:textId="77777777" w:rsidR="00892E73" w:rsidRDefault="00EF06C0">
      <w:pPr>
        <w:spacing w:after="120" w:line="360" w:lineRule="auto"/>
        <w:ind w:left="1440"/>
        <w:jc w:val="both"/>
        <w:rPr>
          <w:rFonts w:ascii="Tahoma" w:hAnsi="Tahoma"/>
          <w:rtl/>
        </w:rPr>
      </w:pPr>
      <w:r>
        <w:rPr>
          <w:rFonts w:hint="cs"/>
          <w:rtl/>
        </w:rPr>
        <w:t>הקנס ישולם ב-24 תשלומים חודשיים, שווים ורצופים, החל מיום 1.6.17 ובכל ראשון לחודש שלאחריו. היה והנאשם לא ישלם את אחד התשלומים במועד תועמד כל יתרת הקנס לפירעון מידי.</w:t>
      </w:r>
    </w:p>
    <w:p w14:paraId="42ABB40E" w14:textId="77777777" w:rsidR="00892E73" w:rsidRDefault="00892E73">
      <w:pPr>
        <w:snapToGrid w:val="0"/>
        <w:spacing w:after="120" w:line="360" w:lineRule="auto"/>
        <w:jc w:val="both"/>
        <w:rPr>
          <w:rtl/>
        </w:rPr>
      </w:pPr>
    </w:p>
    <w:p w14:paraId="50275BDF" w14:textId="77777777" w:rsidR="00892E73" w:rsidRDefault="00EF06C0">
      <w:pPr>
        <w:snapToGrid w:val="0"/>
        <w:spacing w:after="120" w:line="360" w:lineRule="auto"/>
        <w:jc w:val="both"/>
        <w:rPr>
          <w:rtl/>
        </w:rPr>
      </w:pPr>
      <w:r>
        <w:rPr>
          <w:rFonts w:hint="cs"/>
          <w:rtl/>
        </w:rPr>
        <w:t>זכות ערעור בתוך 45 יום מהיום.</w:t>
      </w:r>
    </w:p>
    <w:p w14:paraId="10FC4B3D" w14:textId="77777777" w:rsidR="00892E73" w:rsidRDefault="00892E73">
      <w:pPr>
        <w:snapToGrid w:val="0"/>
        <w:spacing w:after="120" w:line="360" w:lineRule="auto"/>
        <w:jc w:val="both"/>
      </w:pPr>
    </w:p>
    <w:p w14:paraId="39DF12BE" w14:textId="77777777" w:rsidR="00892E73" w:rsidRDefault="00EF06C0">
      <w:pPr>
        <w:spacing w:after="120" w:line="360" w:lineRule="auto"/>
        <w:jc w:val="both"/>
        <w:rPr>
          <w:rtl/>
        </w:rPr>
      </w:pPr>
      <w:r>
        <w:rPr>
          <w:rFonts w:hint="cs"/>
          <w:rtl/>
        </w:rPr>
        <w:t>המזכירות תשלח העתק גזר דין זה לממונה על עבודות השירות בשירות בתי הסוהר.</w:t>
      </w:r>
    </w:p>
    <w:p w14:paraId="3DDEC39D" w14:textId="77777777" w:rsidR="00892E73" w:rsidRDefault="00892E73">
      <w:pPr>
        <w:spacing w:after="120" w:line="360" w:lineRule="auto"/>
        <w:jc w:val="both"/>
        <w:rPr>
          <w:rFonts w:ascii="Tahoma" w:hAnsi="Tahoma"/>
          <w:rtl/>
        </w:rPr>
      </w:pPr>
    </w:p>
    <w:p w14:paraId="2603278B" w14:textId="77777777" w:rsidR="00892E73" w:rsidRDefault="00EF06C0">
      <w:pPr>
        <w:spacing w:line="360" w:lineRule="auto"/>
        <w:jc w:val="both"/>
        <w:rPr>
          <w:rFonts w:ascii="Arial" w:hAnsi="Arial"/>
        </w:rPr>
      </w:pPr>
      <w:r w:rsidRPr="00EF06C0">
        <w:rPr>
          <w:rFonts w:ascii="Arial" w:hAnsi="Arial"/>
          <w:color w:val="FFFFFF"/>
          <w:sz w:val="2"/>
          <w:szCs w:val="2"/>
          <w:rtl/>
        </w:rPr>
        <w:t>5129371</w:t>
      </w:r>
      <w:r>
        <w:rPr>
          <w:rFonts w:ascii="Arial" w:hAnsi="Arial"/>
          <w:rtl/>
        </w:rPr>
        <w:t xml:space="preserve">ניתן היום, ‏יום חמישי ב' חשון תשע"ז, ‏03 נובמבר 2016, במעמד הצדדים. </w:t>
      </w:r>
    </w:p>
    <w:p w14:paraId="6210BA3D" w14:textId="77777777" w:rsidR="00892E73" w:rsidRPr="00EF06C0" w:rsidRDefault="00EF06C0">
      <w:pPr>
        <w:rPr>
          <w:rFonts w:cs="FrankRuehl"/>
          <w:color w:val="FFFFFF"/>
          <w:sz w:val="2"/>
          <w:szCs w:val="2"/>
          <w:rtl/>
        </w:rPr>
      </w:pPr>
      <w:r w:rsidRPr="00EF06C0">
        <w:rPr>
          <w:rFonts w:cs="FrankRuehl"/>
          <w:color w:val="FFFFFF"/>
          <w:sz w:val="2"/>
          <w:szCs w:val="2"/>
          <w:rtl/>
        </w:rPr>
        <w:t>54678313</w:t>
      </w:r>
    </w:p>
    <w:p w14:paraId="36C59F96" w14:textId="77777777" w:rsidR="00892E73" w:rsidRDefault="00EF06C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68806C5" w14:textId="77777777" w:rsidR="00892E73" w:rsidRDefault="00892E73">
      <w:pPr>
        <w:jc w:val="center"/>
        <w:rPr>
          <w:rFonts w:ascii="Arial" w:hAnsi="Arial" w:cs="FrankRuehl"/>
          <w:sz w:val="28"/>
          <w:szCs w:val="28"/>
          <w:rtl/>
        </w:rPr>
      </w:pPr>
    </w:p>
    <w:p w14:paraId="3B78A622" w14:textId="77777777" w:rsidR="00892E73" w:rsidRDefault="00892E73">
      <w:pPr>
        <w:rPr>
          <w:rFonts w:cs="FrankRuehl"/>
          <w:sz w:val="28"/>
          <w:szCs w:val="28"/>
          <w:rtl/>
        </w:rPr>
      </w:pPr>
    </w:p>
    <w:p w14:paraId="1E8A35C7" w14:textId="77777777" w:rsidR="00892E73" w:rsidRPr="005931D8" w:rsidRDefault="005931D8">
      <w:pPr>
        <w:pStyle w:val="a3"/>
        <w:jc w:val="center"/>
        <w:rPr>
          <w:color w:val="FFFFFF"/>
          <w:sz w:val="2"/>
          <w:szCs w:val="2"/>
          <w:rtl/>
        </w:rPr>
      </w:pPr>
      <w:r w:rsidRPr="005931D8">
        <w:rPr>
          <w:color w:val="FFFFFF"/>
          <w:sz w:val="2"/>
          <w:szCs w:val="2"/>
          <w:rtl/>
        </w:rPr>
        <w:t>5129371</w:t>
      </w:r>
    </w:p>
    <w:p w14:paraId="373DDB73" w14:textId="77777777" w:rsidR="00EF06C0" w:rsidRPr="005931D8" w:rsidRDefault="005931D8" w:rsidP="00EF06C0">
      <w:pPr>
        <w:keepNext/>
        <w:rPr>
          <w:rFonts w:ascii="David" w:hAnsi="David"/>
          <w:color w:val="FFFFFF"/>
          <w:sz w:val="2"/>
          <w:szCs w:val="2"/>
          <w:rtl/>
        </w:rPr>
      </w:pPr>
      <w:r w:rsidRPr="005931D8">
        <w:rPr>
          <w:rFonts w:ascii="David" w:hAnsi="David"/>
          <w:color w:val="FFFFFF"/>
          <w:sz w:val="2"/>
          <w:szCs w:val="2"/>
          <w:rtl/>
        </w:rPr>
        <w:t>54678313</w:t>
      </w:r>
    </w:p>
    <w:p w14:paraId="5B18A18B" w14:textId="77777777" w:rsidR="00EF06C0" w:rsidRPr="00EF06C0" w:rsidRDefault="00EF06C0" w:rsidP="00EF06C0">
      <w:pPr>
        <w:keepNext/>
        <w:rPr>
          <w:rFonts w:ascii="David" w:hAnsi="David"/>
          <w:color w:val="000000"/>
          <w:sz w:val="22"/>
          <w:szCs w:val="22"/>
          <w:rtl/>
        </w:rPr>
      </w:pPr>
      <w:r w:rsidRPr="00EF06C0">
        <w:rPr>
          <w:rFonts w:ascii="David" w:hAnsi="David"/>
          <w:color w:val="000000"/>
          <w:sz w:val="22"/>
          <w:szCs w:val="22"/>
          <w:rtl/>
        </w:rPr>
        <w:t>ד"ר שאול אבינור 54678313</w:t>
      </w:r>
    </w:p>
    <w:p w14:paraId="5AFA385F" w14:textId="77777777" w:rsidR="00EF06C0" w:rsidRDefault="00EF06C0" w:rsidP="00EF06C0">
      <w:r w:rsidRPr="00EF06C0">
        <w:rPr>
          <w:color w:val="000000"/>
          <w:rtl/>
        </w:rPr>
        <w:t>נוסח מסמך זה כפוף לשינויי ניסוח ועריכה</w:t>
      </w:r>
    </w:p>
    <w:p w14:paraId="4C517D69" w14:textId="77777777" w:rsidR="00EF06C0" w:rsidRDefault="00EF06C0" w:rsidP="00EF06C0">
      <w:pPr>
        <w:rPr>
          <w:rtl/>
        </w:rPr>
      </w:pPr>
    </w:p>
    <w:p w14:paraId="6D450A5F" w14:textId="77777777" w:rsidR="00EF06C0" w:rsidRDefault="00EF06C0" w:rsidP="00EF06C0">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r w:rsidR="00801908">
        <w:rPr>
          <w:rFonts w:hint="cs"/>
          <w:color w:val="0000FF"/>
          <w:u w:val="single"/>
          <w:rtl/>
        </w:rPr>
        <w:t xml:space="preserve"> </w:t>
      </w:r>
    </w:p>
    <w:p w14:paraId="0CABC791" w14:textId="77777777" w:rsidR="005931D8" w:rsidRPr="005931D8" w:rsidRDefault="005931D8" w:rsidP="005931D8">
      <w:pPr>
        <w:keepNext/>
        <w:rPr>
          <w:rFonts w:ascii="David" w:hAnsi="David"/>
          <w:color w:val="000000"/>
          <w:sz w:val="22"/>
          <w:szCs w:val="22"/>
          <w:rtl/>
        </w:rPr>
      </w:pPr>
    </w:p>
    <w:p w14:paraId="3513AC44" w14:textId="77777777" w:rsidR="00892E73" w:rsidRPr="00EF06C0" w:rsidRDefault="00892E73" w:rsidP="005931D8">
      <w:pPr>
        <w:rPr>
          <w:color w:val="0000FF"/>
          <w:u w:val="single"/>
        </w:rPr>
      </w:pPr>
    </w:p>
    <w:sectPr w:rsidR="00892E73" w:rsidRPr="00EF06C0" w:rsidSect="005931D8">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81C01F" w14:textId="77777777" w:rsidR="00316B08" w:rsidRDefault="00316B08">
      <w:r>
        <w:separator/>
      </w:r>
    </w:p>
  </w:endnote>
  <w:endnote w:type="continuationSeparator" w:id="0">
    <w:p w14:paraId="12DF00FB" w14:textId="77777777" w:rsidR="00316B08" w:rsidRDefault="00316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C1DC9" w14:textId="77777777" w:rsidR="00ED1060" w:rsidRDefault="00ED1060" w:rsidP="005931D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98F6622" w14:textId="77777777" w:rsidR="00ED1060" w:rsidRPr="005931D8" w:rsidRDefault="00ED1060" w:rsidP="005931D8">
    <w:pPr>
      <w:pStyle w:val="a4"/>
      <w:pBdr>
        <w:top w:val="single" w:sz="4" w:space="1" w:color="auto"/>
        <w:between w:val="single" w:sz="4" w:space="0" w:color="auto"/>
      </w:pBdr>
      <w:spacing w:after="60"/>
      <w:jc w:val="center"/>
      <w:rPr>
        <w:rFonts w:ascii="FrankRuehl" w:hAnsi="FrankRuehl" w:cs="FrankRuehl"/>
        <w:color w:val="000000"/>
      </w:rPr>
    </w:pPr>
    <w:r w:rsidRPr="005931D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FE311" w14:textId="77777777" w:rsidR="00ED1060" w:rsidRDefault="00ED1060" w:rsidP="005931D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007FC">
      <w:rPr>
        <w:rFonts w:ascii="FrankRuehl" w:hAnsi="FrankRuehl" w:cs="FrankRuehl"/>
        <w:noProof/>
        <w:rtl/>
      </w:rPr>
      <w:t>2</w:t>
    </w:r>
    <w:r>
      <w:rPr>
        <w:rFonts w:ascii="FrankRuehl" w:hAnsi="FrankRuehl" w:cs="FrankRuehl"/>
        <w:rtl/>
      </w:rPr>
      <w:fldChar w:fldCharType="end"/>
    </w:r>
  </w:p>
  <w:p w14:paraId="6776B9DF" w14:textId="77777777" w:rsidR="00ED1060" w:rsidRPr="005931D8" w:rsidRDefault="00ED1060" w:rsidP="005931D8">
    <w:pPr>
      <w:pStyle w:val="a4"/>
      <w:pBdr>
        <w:top w:val="single" w:sz="4" w:space="1" w:color="auto"/>
        <w:between w:val="single" w:sz="4" w:space="0" w:color="auto"/>
      </w:pBdr>
      <w:spacing w:after="60"/>
      <w:jc w:val="center"/>
      <w:rPr>
        <w:rFonts w:ascii="FrankRuehl" w:hAnsi="FrankRuehl" w:cs="FrankRuehl"/>
        <w:color w:val="000000"/>
      </w:rPr>
    </w:pPr>
    <w:r w:rsidRPr="005931D8">
      <w:rPr>
        <w:rFonts w:ascii="FrankRuehl" w:hAnsi="FrankRuehl" w:cs="FrankRuehl"/>
        <w:color w:val="000000"/>
      </w:rPr>
      <w:pict w14:anchorId="07A7BD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CC924D" w14:textId="77777777" w:rsidR="00316B08" w:rsidRDefault="00316B08">
      <w:r>
        <w:separator/>
      </w:r>
    </w:p>
  </w:footnote>
  <w:footnote w:type="continuationSeparator" w:id="0">
    <w:p w14:paraId="513C7512" w14:textId="77777777" w:rsidR="00316B08" w:rsidRDefault="00316B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864B6" w14:textId="77777777" w:rsidR="00ED1060" w:rsidRPr="005931D8" w:rsidRDefault="00ED1060" w:rsidP="005931D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14020-05-15</w:t>
    </w:r>
    <w:r>
      <w:rPr>
        <w:rFonts w:ascii="David" w:hAnsi="David"/>
        <w:color w:val="000000"/>
        <w:sz w:val="22"/>
        <w:szCs w:val="22"/>
        <w:rtl/>
      </w:rPr>
      <w:tab/>
      <w:t xml:space="preserve"> מדינת ישראל נ' ג'לאל חבשי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4EE5E" w14:textId="77777777" w:rsidR="00ED1060" w:rsidRPr="005931D8" w:rsidRDefault="00ED1060" w:rsidP="005931D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14020-05-15</w:t>
    </w:r>
    <w:r>
      <w:rPr>
        <w:rFonts w:ascii="David" w:hAnsi="David"/>
        <w:color w:val="000000"/>
        <w:sz w:val="22"/>
        <w:szCs w:val="22"/>
        <w:rtl/>
      </w:rPr>
      <w:tab/>
      <w:t xml:space="preserve"> מדינת ישראל נ' ג'לאל חבשי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281BE8"/>
    <w:multiLevelType w:val="hybridMultilevel"/>
    <w:tmpl w:val="BEB6ED04"/>
    <w:lvl w:ilvl="0" w:tplc="5FAE155A">
      <w:start w:val="1"/>
      <w:numFmt w:val="decimal"/>
      <w:lvlText w:val="%1."/>
      <w:lvlJc w:val="left"/>
      <w:pPr>
        <w:tabs>
          <w:tab w:val="num" w:pos="1080"/>
        </w:tabs>
        <w:ind w:left="1080" w:hanging="720"/>
      </w:pPr>
      <w:rPr>
        <w:rFonts w:cs="David"/>
        <w:b w:val="0"/>
        <w:bCs w:val="0"/>
        <w:lang w:val="en-U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8212364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92E73"/>
    <w:rsid w:val="002007FC"/>
    <w:rsid w:val="00316B08"/>
    <w:rsid w:val="004C20B9"/>
    <w:rsid w:val="004E7D7F"/>
    <w:rsid w:val="005931D8"/>
    <w:rsid w:val="007D3379"/>
    <w:rsid w:val="00801908"/>
    <w:rsid w:val="00892E73"/>
    <w:rsid w:val="00963776"/>
    <w:rsid w:val="00C63C7C"/>
    <w:rsid w:val="00ED1060"/>
    <w:rsid w:val="00EF06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A14EE97"/>
  <w15:chartTrackingRefBased/>
  <w15:docId w15:val="{C51C8AE0-39EA-4F36-8FA6-63DC613F7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92E7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92E73"/>
    <w:pPr>
      <w:tabs>
        <w:tab w:val="center" w:pos="4153"/>
        <w:tab w:val="right" w:pos="8306"/>
      </w:tabs>
    </w:pPr>
  </w:style>
  <w:style w:type="paragraph" w:styleId="a4">
    <w:name w:val="footer"/>
    <w:basedOn w:val="a"/>
    <w:rsid w:val="00892E73"/>
    <w:pPr>
      <w:tabs>
        <w:tab w:val="center" w:pos="4153"/>
        <w:tab w:val="right" w:pos="8306"/>
      </w:tabs>
    </w:pPr>
  </w:style>
  <w:style w:type="character" w:styleId="a5">
    <w:name w:val="page number"/>
    <w:basedOn w:val="a0"/>
    <w:rsid w:val="00892E73"/>
  </w:style>
  <w:style w:type="character" w:styleId="Hyperlink">
    <w:name w:val="Hyperlink"/>
    <w:rsid w:val="00EF06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40jc" TargetMode="External"/><Relationship Id="rId26" Type="http://schemas.openxmlformats.org/officeDocument/2006/relationships/hyperlink" Target="http://www.nevo.co.il/case/3895876" TargetMode="External"/><Relationship Id="rId21" Type="http://schemas.openxmlformats.org/officeDocument/2006/relationships/hyperlink" Target="http://www.nevo.co.il/law/72813/117.b.6" TargetMode="External"/><Relationship Id="rId34" Type="http://schemas.openxmlformats.org/officeDocument/2006/relationships/header" Target="header2.xml"/><Relationship Id="rId7" Type="http://schemas.openxmlformats.org/officeDocument/2006/relationships/hyperlink" Target="http://www.nevo.co.il/law/72813" TargetMode="External"/><Relationship Id="rId12" Type="http://schemas.openxmlformats.org/officeDocument/2006/relationships/hyperlink" Target="http://www.nevo.co.il/law/72813/117.b.8" TargetMode="External"/><Relationship Id="rId17" Type="http://schemas.openxmlformats.org/officeDocument/2006/relationships/hyperlink" Target="http://www.nevo.co.il/law/70301/40jb" TargetMode="External"/><Relationship Id="rId25" Type="http://schemas.openxmlformats.org/officeDocument/2006/relationships/hyperlink" Target="http://www.nevo.co.il/law/70301"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40ja" TargetMode="External"/><Relationship Id="rId20" Type="http://schemas.openxmlformats.org/officeDocument/2006/relationships/hyperlink" Target="http://www.nevo.co.il/law/72813/117.b.1" TargetMode="External"/><Relationship Id="rId29" Type="http://schemas.openxmlformats.org/officeDocument/2006/relationships/hyperlink" Target="http://www.nevo.co.il/law/70301/40j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2813/117.b.6" TargetMode="External"/><Relationship Id="rId24" Type="http://schemas.openxmlformats.org/officeDocument/2006/relationships/hyperlink" Target="http://www.nevo.co.il/law/70301/40jc"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c.a" TargetMode="External"/><Relationship Id="rId23" Type="http://schemas.openxmlformats.org/officeDocument/2006/relationships/hyperlink" Target="http://www.nevo.co.il/law/70301/40c" TargetMode="External"/><Relationship Id="rId28" Type="http://schemas.openxmlformats.org/officeDocument/2006/relationships/hyperlink" Target="http://www.nevo.co.il/law/70301" TargetMode="External"/><Relationship Id="rId36" Type="http://schemas.openxmlformats.org/officeDocument/2006/relationships/footer" Target="footer2.xml"/><Relationship Id="rId10" Type="http://schemas.openxmlformats.org/officeDocument/2006/relationships/hyperlink" Target="http://www.nevo.co.il/law/72813/117.b.1" TargetMode="External"/><Relationship Id="rId19" Type="http://schemas.openxmlformats.org/officeDocument/2006/relationships/hyperlink" Target="http://www.nevo.co.il/law/72813"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2813" TargetMode="External"/><Relationship Id="rId14" Type="http://schemas.openxmlformats.org/officeDocument/2006/relationships/hyperlink" Target="http://www.nevo.co.il/law/70301/40c" TargetMode="External"/><Relationship Id="rId22" Type="http://schemas.openxmlformats.org/officeDocument/2006/relationships/hyperlink" Target="http://www.nevo.co.il/law/72813/117.b.8" TargetMode="External"/><Relationship Id="rId27" Type="http://schemas.openxmlformats.org/officeDocument/2006/relationships/hyperlink" Target="http://www.nevo.co.il/law/70301/40c.a" TargetMode="External"/><Relationship Id="rId30" Type="http://schemas.openxmlformats.org/officeDocument/2006/relationships/hyperlink" Target="http://www.nevo.co.il/law/70301/40jb" TargetMode="External"/><Relationship Id="rId35" Type="http://schemas.openxmlformats.org/officeDocument/2006/relationships/footer" Target="footer1.xml"/><Relationship Id="rId8" Type="http://schemas.openxmlformats.org/officeDocument/2006/relationships/hyperlink" Target="http://www.nevo.co.il/law/70301"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1879</Words>
  <Characters>9397</Characters>
  <Application>Microsoft Office Word</Application>
  <DocSecurity>0</DocSecurity>
  <Lines>78</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11254</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7995492</vt:i4>
      </vt:variant>
      <vt:variant>
        <vt:i4>72</vt:i4>
      </vt:variant>
      <vt:variant>
        <vt:i4>0</vt:i4>
      </vt:variant>
      <vt:variant>
        <vt:i4>5</vt:i4>
      </vt:variant>
      <vt:variant>
        <vt:lpwstr>http://www.nevo.co.il/law/70301</vt:lpwstr>
      </vt:variant>
      <vt:variant>
        <vt:lpwstr/>
      </vt:variant>
      <vt:variant>
        <vt:i4>458763</vt:i4>
      </vt:variant>
      <vt:variant>
        <vt:i4>69</vt:i4>
      </vt:variant>
      <vt:variant>
        <vt:i4>0</vt:i4>
      </vt:variant>
      <vt:variant>
        <vt:i4>5</vt:i4>
      </vt:variant>
      <vt:variant>
        <vt:lpwstr>http://www.nevo.co.il/law/70301/40jb</vt:lpwstr>
      </vt:variant>
      <vt:variant>
        <vt:lpwstr/>
      </vt:variant>
      <vt:variant>
        <vt:i4>262155</vt:i4>
      </vt:variant>
      <vt:variant>
        <vt:i4>66</vt:i4>
      </vt:variant>
      <vt:variant>
        <vt:i4>0</vt:i4>
      </vt:variant>
      <vt:variant>
        <vt:i4>5</vt:i4>
      </vt:variant>
      <vt:variant>
        <vt:lpwstr>http://www.nevo.co.il/law/70301/40ja</vt:lpwstr>
      </vt:variant>
      <vt:variant>
        <vt:lpwstr/>
      </vt:variant>
      <vt:variant>
        <vt:i4>7995492</vt:i4>
      </vt:variant>
      <vt:variant>
        <vt:i4>63</vt:i4>
      </vt:variant>
      <vt:variant>
        <vt:i4>0</vt:i4>
      </vt:variant>
      <vt:variant>
        <vt:i4>5</vt:i4>
      </vt:variant>
      <vt:variant>
        <vt:lpwstr>http://www.nevo.co.il/law/70301</vt:lpwstr>
      </vt:variant>
      <vt:variant>
        <vt:lpwstr/>
      </vt:variant>
      <vt:variant>
        <vt:i4>4915202</vt:i4>
      </vt:variant>
      <vt:variant>
        <vt:i4>60</vt:i4>
      </vt:variant>
      <vt:variant>
        <vt:i4>0</vt:i4>
      </vt:variant>
      <vt:variant>
        <vt:i4>5</vt:i4>
      </vt:variant>
      <vt:variant>
        <vt:lpwstr>http://www.nevo.co.il/law/70301/40c.a</vt:lpwstr>
      </vt:variant>
      <vt:variant>
        <vt:lpwstr/>
      </vt:variant>
      <vt:variant>
        <vt:i4>3407998</vt:i4>
      </vt:variant>
      <vt:variant>
        <vt:i4>57</vt:i4>
      </vt:variant>
      <vt:variant>
        <vt:i4>0</vt:i4>
      </vt:variant>
      <vt:variant>
        <vt:i4>5</vt:i4>
      </vt:variant>
      <vt:variant>
        <vt:lpwstr>http://www.nevo.co.il/case/3895876</vt:lpwstr>
      </vt:variant>
      <vt:variant>
        <vt:lpwstr/>
      </vt:variant>
      <vt:variant>
        <vt:i4>7995492</vt:i4>
      </vt:variant>
      <vt:variant>
        <vt:i4>54</vt:i4>
      </vt:variant>
      <vt:variant>
        <vt:i4>0</vt:i4>
      </vt:variant>
      <vt:variant>
        <vt:i4>5</vt:i4>
      </vt:variant>
      <vt:variant>
        <vt:lpwstr>http://www.nevo.co.il/law/70301</vt:lpwstr>
      </vt:variant>
      <vt:variant>
        <vt:lpwstr/>
      </vt:variant>
      <vt:variant>
        <vt:i4>393227</vt:i4>
      </vt:variant>
      <vt:variant>
        <vt:i4>51</vt:i4>
      </vt:variant>
      <vt:variant>
        <vt:i4>0</vt:i4>
      </vt:variant>
      <vt:variant>
        <vt:i4>5</vt:i4>
      </vt:variant>
      <vt:variant>
        <vt:lpwstr>http://www.nevo.co.il/law/70301/40jc</vt:lpwstr>
      </vt:variant>
      <vt:variant>
        <vt:lpwstr/>
      </vt:variant>
      <vt:variant>
        <vt:i4>6619233</vt:i4>
      </vt:variant>
      <vt:variant>
        <vt:i4>48</vt:i4>
      </vt:variant>
      <vt:variant>
        <vt:i4>0</vt:i4>
      </vt:variant>
      <vt:variant>
        <vt:i4>5</vt:i4>
      </vt:variant>
      <vt:variant>
        <vt:lpwstr>http://www.nevo.co.il/law/70301/40c</vt:lpwstr>
      </vt:variant>
      <vt:variant>
        <vt:lpwstr/>
      </vt:variant>
      <vt:variant>
        <vt:i4>6750264</vt:i4>
      </vt:variant>
      <vt:variant>
        <vt:i4>45</vt:i4>
      </vt:variant>
      <vt:variant>
        <vt:i4>0</vt:i4>
      </vt:variant>
      <vt:variant>
        <vt:i4>5</vt:i4>
      </vt:variant>
      <vt:variant>
        <vt:lpwstr>http://www.nevo.co.il/law/72813/117.b.8</vt:lpwstr>
      </vt:variant>
      <vt:variant>
        <vt:lpwstr/>
      </vt:variant>
      <vt:variant>
        <vt:i4>6750264</vt:i4>
      </vt:variant>
      <vt:variant>
        <vt:i4>42</vt:i4>
      </vt:variant>
      <vt:variant>
        <vt:i4>0</vt:i4>
      </vt:variant>
      <vt:variant>
        <vt:i4>5</vt:i4>
      </vt:variant>
      <vt:variant>
        <vt:lpwstr>http://www.nevo.co.il/law/72813/117.b.6</vt:lpwstr>
      </vt:variant>
      <vt:variant>
        <vt:lpwstr/>
      </vt:variant>
      <vt:variant>
        <vt:i4>6750264</vt:i4>
      </vt:variant>
      <vt:variant>
        <vt:i4>39</vt:i4>
      </vt:variant>
      <vt:variant>
        <vt:i4>0</vt:i4>
      </vt:variant>
      <vt:variant>
        <vt:i4>5</vt:i4>
      </vt:variant>
      <vt:variant>
        <vt:lpwstr>http://www.nevo.co.il/law/72813/117.b.1</vt:lpwstr>
      </vt:variant>
      <vt:variant>
        <vt:lpwstr/>
      </vt:variant>
      <vt:variant>
        <vt:i4>7929967</vt:i4>
      </vt:variant>
      <vt:variant>
        <vt:i4>36</vt:i4>
      </vt:variant>
      <vt:variant>
        <vt:i4>0</vt:i4>
      </vt:variant>
      <vt:variant>
        <vt:i4>5</vt:i4>
      </vt:variant>
      <vt:variant>
        <vt:lpwstr>http://www.nevo.co.il/law/72813</vt:lpwstr>
      </vt:variant>
      <vt:variant>
        <vt:lpwstr/>
      </vt:variant>
      <vt:variant>
        <vt:i4>393227</vt:i4>
      </vt:variant>
      <vt:variant>
        <vt:i4>33</vt:i4>
      </vt:variant>
      <vt:variant>
        <vt:i4>0</vt:i4>
      </vt:variant>
      <vt:variant>
        <vt:i4>5</vt:i4>
      </vt:variant>
      <vt:variant>
        <vt:lpwstr>http://www.nevo.co.il/law/70301/40jc</vt:lpwstr>
      </vt:variant>
      <vt:variant>
        <vt:lpwstr/>
      </vt:variant>
      <vt:variant>
        <vt:i4>458763</vt:i4>
      </vt:variant>
      <vt:variant>
        <vt:i4>30</vt:i4>
      </vt:variant>
      <vt:variant>
        <vt:i4>0</vt:i4>
      </vt:variant>
      <vt:variant>
        <vt:i4>5</vt:i4>
      </vt:variant>
      <vt:variant>
        <vt:lpwstr>http://www.nevo.co.il/law/70301/40jb</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6619233</vt:i4>
      </vt:variant>
      <vt:variant>
        <vt:i4>21</vt:i4>
      </vt:variant>
      <vt:variant>
        <vt:i4>0</vt:i4>
      </vt:variant>
      <vt:variant>
        <vt:i4>5</vt:i4>
      </vt:variant>
      <vt:variant>
        <vt:lpwstr>http://www.nevo.co.il/law/70301/40c</vt:lpwstr>
      </vt:variant>
      <vt:variant>
        <vt:lpwstr/>
      </vt:variant>
      <vt:variant>
        <vt:i4>7995492</vt:i4>
      </vt:variant>
      <vt:variant>
        <vt:i4>18</vt:i4>
      </vt:variant>
      <vt:variant>
        <vt:i4>0</vt:i4>
      </vt:variant>
      <vt:variant>
        <vt:i4>5</vt:i4>
      </vt:variant>
      <vt:variant>
        <vt:lpwstr>http://www.nevo.co.il/law/70301</vt:lpwstr>
      </vt:variant>
      <vt:variant>
        <vt:lpwstr/>
      </vt:variant>
      <vt:variant>
        <vt:i4>6750264</vt:i4>
      </vt:variant>
      <vt:variant>
        <vt:i4>15</vt:i4>
      </vt:variant>
      <vt:variant>
        <vt:i4>0</vt:i4>
      </vt:variant>
      <vt:variant>
        <vt:i4>5</vt:i4>
      </vt:variant>
      <vt:variant>
        <vt:lpwstr>http://www.nevo.co.il/law/72813/117.b.8</vt:lpwstr>
      </vt:variant>
      <vt:variant>
        <vt:lpwstr/>
      </vt:variant>
      <vt:variant>
        <vt:i4>6750264</vt:i4>
      </vt:variant>
      <vt:variant>
        <vt:i4>12</vt:i4>
      </vt:variant>
      <vt:variant>
        <vt:i4>0</vt:i4>
      </vt:variant>
      <vt:variant>
        <vt:i4>5</vt:i4>
      </vt:variant>
      <vt:variant>
        <vt:lpwstr>http://www.nevo.co.il/law/72813/117.b.6</vt:lpwstr>
      </vt:variant>
      <vt:variant>
        <vt:lpwstr/>
      </vt:variant>
      <vt:variant>
        <vt:i4>6750264</vt:i4>
      </vt:variant>
      <vt:variant>
        <vt:i4>9</vt:i4>
      </vt:variant>
      <vt:variant>
        <vt:i4>0</vt:i4>
      </vt:variant>
      <vt:variant>
        <vt:i4>5</vt:i4>
      </vt:variant>
      <vt:variant>
        <vt:lpwstr>http://www.nevo.co.il/law/72813/117.b.1</vt:lpwstr>
      </vt:variant>
      <vt:variant>
        <vt:lpwstr/>
      </vt:variant>
      <vt:variant>
        <vt:i4>7929967</vt:i4>
      </vt:variant>
      <vt:variant>
        <vt:i4>6</vt:i4>
      </vt:variant>
      <vt:variant>
        <vt:i4>0</vt:i4>
      </vt:variant>
      <vt:variant>
        <vt:i4>5</vt:i4>
      </vt:variant>
      <vt:variant>
        <vt:lpwstr>http://www.nevo.co.il/law/72813</vt:lpwstr>
      </vt:variant>
      <vt:variant>
        <vt:lpwstr/>
      </vt:variant>
      <vt:variant>
        <vt:i4>7995492</vt:i4>
      </vt:variant>
      <vt:variant>
        <vt:i4>3</vt:i4>
      </vt:variant>
      <vt:variant>
        <vt:i4>0</vt:i4>
      </vt:variant>
      <vt:variant>
        <vt:i4>5</vt:i4>
      </vt:variant>
      <vt:variant>
        <vt:lpwstr>http://www.nevo.co.il/law/70301</vt:lpwstr>
      </vt:variant>
      <vt:variant>
        <vt:lpwstr/>
      </vt:variant>
      <vt:variant>
        <vt:i4>7929967</vt:i4>
      </vt:variant>
      <vt:variant>
        <vt:i4>0</vt:i4>
      </vt:variant>
      <vt:variant>
        <vt:i4>0</vt:i4>
      </vt:variant>
      <vt:variant>
        <vt:i4>5</vt:i4>
      </vt:variant>
      <vt:variant>
        <vt:lpwstr>http://www.nevo.co.il/law/72813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2025-04-25T11:05:00Z</dcterms:created>
  <dcterms:modified xsi:type="dcterms:W3CDTF">2025-04-25T11:05:00Z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14020</vt:lpwstr>
  </property>
  <property fmtid="{D5CDD505-2E9C-101B-9397-08002B2CF9AE}" pid="6" name="NEWPARTB">
    <vt:lpwstr>05</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ג'לאל חבשי</vt:lpwstr>
  </property>
  <property fmtid="{D5CDD505-2E9C-101B-9397-08002B2CF9AE}" pid="10" name="LAWYER">
    <vt:lpwstr>אסתר דויט;ניצה אורצקי</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20161103</vt:lpwstr>
  </property>
  <property fmtid="{D5CDD505-2E9C-101B-9397-08002B2CF9AE}" pid="14" name="TYPE_N_DATE">
    <vt:lpwstr>38020161103</vt:lpwstr>
  </property>
  <property fmtid="{D5CDD505-2E9C-101B-9397-08002B2CF9AE}" pid="15" name="CASESLISTTMP1">
    <vt:lpwstr>3895876</vt:lpwstr>
  </property>
  <property fmtid="{D5CDD505-2E9C-101B-9397-08002B2CF9AE}" pid="16" name="WORDNUMPAGES">
    <vt:lpwstr>7</vt:lpwstr>
  </property>
  <property fmtid="{D5CDD505-2E9C-101B-9397-08002B2CF9AE}" pid="17" name="TYPE_ABS_DATE">
    <vt:lpwstr>380020161103</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72813/117.b.1;117.b.6;117.b.8</vt:lpwstr>
  </property>
  <property fmtid="{D5CDD505-2E9C-101B-9397-08002B2CF9AE}" pid="36" name="LAWLISTTMP2">
    <vt:lpwstr>70301/040c;40jc;040c.a;40ja;40jb</vt:lpwstr>
  </property>
</Properties>
</file>