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F5556" w14:textId="77777777" w:rsidR="008B04D7" w:rsidRPr="00AA3805" w:rsidRDefault="008B04D7">
      <w:pPr>
        <w:pStyle w:val="a4"/>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3973"/>
        <w:gridCol w:w="1399"/>
        <w:gridCol w:w="3348"/>
      </w:tblGrid>
      <w:tr w:rsidR="008B04D7" w:rsidRPr="00AA3805" w14:paraId="7339B349" w14:textId="77777777">
        <w:trPr>
          <w:trHeight w:hRule="exact" w:val="418"/>
          <w:jc w:val="center"/>
        </w:trPr>
        <w:tc>
          <w:tcPr>
            <w:tcW w:w="8720" w:type="dxa"/>
            <w:gridSpan w:val="3"/>
          </w:tcPr>
          <w:p w14:paraId="3BA99158" w14:textId="77777777" w:rsidR="008B04D7" w:rsidRPr="00AA3805" w:rsidRDefault="00AA3805">
            <w:pPr>
              <w:pStyle w:val="a4"/>
              <w:tabs>
                <w:tab w:val="clear" w:pos="8306"/>
              </w:tabs>
              <w:jc w:val="center"/>
              <w:rPr>
                <w:rFonts w:ascii="Tahoma" w:hAnsi="Tahoma" w:cs="Tahoma"/>
                <w:b/>
                <w:bCs/>
                <w:color w:val="000080"/>
                <w:sz w:val="20"/>
                <w:szCs w:val="20"/>
                <w:rtl/>
              </w:rPr>
            </w:pPr>
            <w:r w:rsidRPr="00AA3805">
              <w:rPr>
                <w:rFonts w:ascii="Tahoma" w:hAnsi="Tahoma" w:cs="Tahoma"/>
                <w:b/>
                <w:bCs/>
                <w:color w:val="000080"/>
                <w:sz w:val="20"/>
                <w:szCs w:val="20"/>
                <w:rtl/>
              </w:rPr>
              <w:t>בית משפט השלום בבאר שבע</w:t>
            </w:r>
          </w:p>
        </w:tc>
      </w:tr>
      <w:tr w:rsidR="008B04D7" w:rsidRPr="00AA3805" w14:paraId="2C5D8271" w14:textId="77777777">
        <w:trPr>
          <w:trHeight w:val="337"/>
          <w:jc w:val="center"/>
        </w:trPr>
        <w:tc>
          <w:tcPr>
            <w:tcW w:w="3973" w:type="dxa"/>
          </w:tcPr>
          <w:p w14:paraId="079FDAF4" w14:textId="77777777" w:rsidR="008B04D7" w:rsidRPr="00AA3805" w:rsidRDefault="00AA3805">
            <w:pPr>
              <w:rPr>
                <w:b/>
                <w:bCs/>
                <w:sz w:val="26"/>
                <w:szCs w:val="26"/>
                <w:rtl/>
              </w:rPr>
            </w:pPr>
            <w:r w:rsidRPr="00AA3805">
              <w:rPr>
                <w:b/>
                <w:bCs/>
                <w:sz w:val="26"/>
                <w:szCs w:val="26"/>
                <w:rtl/>
              </w:rPr>
              <w:t>ת"פ</w:t>
            </w:r>
            <w:r w:rsidRPr="00AA3805">
              <w:rPr>
                <w:rFonts w:hint="cs"/>
                <w:b/>
                <w:bCs/>
                <w:sz w:val="26"/>
                <w:szCs w:val="26"/>
                <w:rtl/>
              </w:rPr>
              <w:t xml:space="preserve"> </w:t>
            </w:r>
            <w:r w:rsidRPr="00AA3805">
              <w:rPr>
                <w:b/>
                <w:bCs/>
                <w:sz w:val="26"/>
                <w:szCs w:val="26"/>
                <w:rtl/>
              </w:rPr>
              <w:t>32606-11-15</w:t>
            </w:r>
            <w:r w:rsidRPr="00AA3805">
              <w:rPr>
                <w:rFonts w:hint="cs"/>
                <w:b/>
                <w:bCs/>
                <w:sz w:val="26"/>
                <w:szCs w:val="26"/>
                <w:rtl/>
              </w:rPr>
              <w:t xml:space="preserve"> </w:t>
            </w:r>
            <w:r w:rsidRPr="00AA3805">
              <w:rPr>
                <w:b/>
                <w:bCs/>
                <w:sz w:val="26"/>
                <w:szCs w:val="26"/>
                <w:rtl/>
              </w:rPr>
              <w:t>מדינת ישראל נ' אלאטרש</w:t>
            </w:r>
          </w:p>
          <w:p w14:paraId="1A9F779E" w14:textId="77777777" w:rsidR="008B04D7" w:rsidRPr="00AA3805" w:rsidRDefault="008B04D7">
            <w:pPr>
              <w:rPr>
                <w:b/>
                <w:bCs/>
                <w:sz w:val="26"/>
                <w:szCs w:val="26"/>
                <w:rtl/>
              </w:rPr>
            </w:pPr>
          </w:p>
        </w:tc>
        <w:tc>
          <w:tcPr>
            <w:tcW w:w="1399" w:type="dxa"/>
          </w:tcPr>
          <w:p w14:paraId="72BCABFB" w14:textId="77777777" w:rsidR="008B04D7" w:rsidRPr="00AA3805" w:rsidRDefault="008B04D7">
            <w:pPr>
              <w:pStyle w:val="a4"/>
              <w:jc w:val="right"/>
              <w:rPr>
                <w:b/>
                <w:bCs/>
                <w:sz w:val="26"/>
                <w:szCs w:val="26"/>
                <w:rtl/>
              </w:rPr>
            </w:pPr>
          </w:p>
        </w:tc>
        <w:tc>
          <w:tcPr>
            <w:tcW w:w="3348" w:type="dxa"/>
          </w:tcPr>
          <w:p w14:paraId="4B1EB63E" w14:textId="77777777" w:rsidR="008B04D7" w:rsidRPr="00AA3805" w:rsidRDefault="00AA3805">
            <w:pPr>
              <w:pStyle w:val="a4"/>
              <w:tabs>
                <w:tab w:val="clear" w:pos="4153"/>
              </w:tabs>
              <w:jc w:val="right"/>
              <w:rPr>
                <w:b/>
                <w:bCs/>
                <w:sz w:val="26"/>
                <w:szCs w:val="26"/>
                <w:rtl/>
              </w:rPr>
            </w:pPr>
            <w:r w:rsidRPr="00AA3805">
              <w:rPr>
                <w:b/>
                <w:bCs/>
                <w:sz w:val="26"/>
                <w:szCs w:val="26"/>
                <w:rtl/>
              </w:rPr>
              <w:t>25 דצמבר 2016</w:t>
            </w:r>
          </w:p>
          <w:p w14:paraId="74423E50" w14:textId="77777777" w:rsidR="008B04D7" w:rsidRPr="00AA3805" w:rsidRDefault="00AA3805">
            <w:pPr>
              <w:pStyle w:val="a4"/>
              <w:tabs>
                <w:tab w:val="clear" w:pos="4153"/>
              </w:tabs>
              <w:jc w:val="right"/>
              <w:rPr>
                <w:b/>
                <w:bCs/>
                <w:sz w:val="26"/>
                <w:szCs w:val="26"/>
                <w:rtl/>
              </w:rPr>
            </w:pPr>
            <w:r w:rsidRPr="00AA3805">
              <w:rPr>
                <w:b/>
                <w:bCs/>
                <w:sz w:val="26"/>
                <w:szCs w:val="26"/>
                <w:rtl/>
              </w:rPr>
              <w:t>תיק קשור בקשר מעצרים</w:t>
            </w:r>
          </w:p>
        </w:tc>
      </w:tr>
    </w:tbl>
    <w:p w14:paraId="1A61FACD" w14:textId="77777777" w:rsidR="008B04D7" w:rsidRPr="00AA3805" w:rsidRDefault="008B04D7">
      <w:pPr>
        <w:pStyle w:val="a4"/>
        <w:jc w:val="center"/>
        <w:rPr>
          <w:rFonts w:ascii="Tahoma" w:hAnsi="Tahoma" w:cs="Tahoma"/>
          <w:b/>
          <w:bCs/>
          <w:color w:val="000080"/>
          <w:sz w:val="20"/>
          <w:szCs w:val="20"/>
          <w:rtl/>
        </w:rPr>
      </w:pPr>
    </w:p>
    <w:p w14:paraId="3BDF4478" w14:textId="77777777" w:rsidR="008B04D7" w:rsidRPr="00AA3805" w:rsidRDefault="008B04D7">
      <w:pPr>
        <w:spacing w:line="360" w:lineRule="auto"/>
        <w:jc w:val="both"/>
        <w:rPr>
          <w:rFonts w:ascii="Arial" w:hAnsi="Arial"/>
          <w:rtl/>
        </w:rPr>
      </w:pPr>
    </w:p>
    <w:tbl>
      <w:tblPr>
        <w:bidiVisual/>
        <w:tblW w:w="0" w:type="auto"/>
        <w:jc w:val="center"/>
        <w:tblLook w:val="0000" w:firstRow="0" w:lastRow="0" w:firstColumn="0" w:lastColumn="0" w:noHBand="0" w:noVBand="0"/>
      </w:tblPr>
      <w:tblGrid>
        <w:gridCol w:w="4472"/>
        <w:gridCol w:w="4248"/>
      </w:tblGrid>
      <w:tr w:rsidR="008B04D7" w:rsidRPr="00AA3805" w14:paraId="7C278AFC" w14:textId="77777777">
        <w:trPr>
          <w:trHeight w:val="337"/>
          <w:jc w:val="center"/>
        </w:trPr>
        <w:tc>
          <w:tcPr>
            <w:tcW w:w="4472" w:type="dxa"/>
          </w:tcPr>
          <w:p w14:paraId="7F5279B2" w14:textId="77777777" w:rsidR="008B04D7" w:rsidRPr="00AA3805" w:rsidRDefault="00AA3805">
            <w:pPr>
              <w:pStyle w:val="a4"/>
              <w:bidi w:val="0"/>
              <w:spacing w:line="360" w:lineRule="auto"/>
              <w:ind w:left="-4428"/>
              <w:jc w:val="right"/>
              <w:rPr>
                <w:rFonts w:ascii="Times New Roman" w:hAnsi="Times New Roman"/>
              </w:rPr>
            </w:pPr>
            <w:r w:rsidRPr="00AA3805">
              <w:rPr>
                <w:rFonts w:hint="cs"/>
                <w:b/>
                <w:bCs/>
                <w:sz w:val="26"/>
                <w:szCs w:val="26"/>
                <w:rtl/>
              </w:rPr>
              <w:t>בפני כב' השופט ד"ר יובל ליבדרו</w:t>
            </w:r>
          </w:p>
        </w:tc>
        <w:tc>
          <w:tcPr>
            <w:tcW w:w="4248" w:type="dxa"/>
          </w:tcPr>
          <w:p w14:paraId="1A139428" w14:textId="77777777" w:rsidR="008B04D7" w:rsidRPr="00AA3805" w:rsidRDefault="008B04D7">
            <w:pPr>
              <w:pStyle w:val="a4"/>
              <w:jc w:val="right"/>
              <w:rPr>
                <w:b/>
                <w:bCs/>
                <w:sz w:val="26"/>
                <w:szCs w:val="26"/>
                <w:rtl/>
              </w:rPr>
            </w:pPr>
          </w:p>
        </w:tc>
      </w:tr>
    </w:tbl>
    <w:p w14:paraId="140BD831" w14:textId="77777777" w:rsidR="008B04D7" w:rsidRPr="00AA3805" w:rsidRDefault="008B04D7">
      <w:pPr>
        <w:spacing w:line="360" w:lineRule="auto"/>
        <w:jc w:val="both"/>
        <w:rPr>
          <w:rFonts w:ascii="Arial" w:hAnsi="Arial"/>
          <w:rtl/>
        </w:rPr>
      </w:pPr>
    </w:p>
    <w:p w14:paraId="25717FFB" w14:textId="77777777" w:rsidR="008B04D7" w:rsidRPr="00AA3805" w:rsidRDefault="008B04D7">
      <w:pPr>
        <w:spacing w:line="360" w:lineRule="auto"/>
        <w:jc w:val="both"/>
        <w:rPr>
          <w:rtl/>
        </w:rPr>
      </w:pPr>
    </w:p>
    <w:tbl>
      <w:tblPr>
        <w:bidiVisual/>
        <w:tblW w:w="8802" w:type="dxa"/>
        <w:tblInd w:w="-28" w:type="dxa"/>
        <w:tblLook w:val="01E0" w:firstRow="1" w:lastRow="1" w:firstColumn="1" w:lastColumn="1" w:noHBand="0" w:noVBand="0"/>
      </w:tblPr>
      <w:tblGrid>
        <w:gridCol w:w="2880"/>
        <w:gridCol w:w="5922"/>
      </w:tblGrid>
      <w:tr w:rsidR="008B04D7" w:rsidRPr="00AA3805" w14:paraId="6E8D086D" w14:textId="77777777">
        <w:tc>
          <w:tcPr>
            <w:tcW w:w="2880" w:type="dxa"/>
            <w:shd w:val="clear" w:color="auto" w:fill="auto"/>
          </w:tcPr>
          <w:p w14:paraId="0E479229" w14:textId="77777777" w:rsidR="008B04D7" w:rsidRPr="00AA3805" w:rsidRDefault="00AA3805">
            <w:pPr>
              <w:ind w:left="26"/>
              <w:rPr>
                <w:rFonts w:ascii="Times New Roman" w:eastAsia="Times New Roman" w:hAnsi="Times New Roman"/>
                <w:b/>
                <w:bCs/>
                <w:sz w:val="26"/>
                <w:szCs w:val="26"/>
                <w:rtl/>
              </w:rPr>
            </w:pPr>
            <w:bookmarkStart w:id="1" w:name="FirstAppellant"/>
            <w:bookmarkStart w:id="2" w:name="FirstLawyer"/>
            <w:r w:rsidRPr="00AA3805">
              <w:rPr>
                <w:rFonts w:ascii="Times New Roman" w:eastAsia="Times New Roman" w:hAnsi="Times New Roman" w:hint="cs"/>
                <w:b/>
                <w:bCs/>
                <w:sz w:val="26"/>
                <w:szCs w:val="26"/>
                <w:rtl/>
              </w:rPr>
              <w:t>המאשימה:</w:t>
            </w:r>
          </w:p>
        </w:tc>
        <w:tc>
          <w:tcPr>
            <w:tcW w:w="5922" w:type="dxa"/>
            <w:shd w:val="clear" w:color="auto" w:fill="auto"/>
          </w:tcPr>
          <w:p w14:paraId="6ABED76E" w14:textId="77777777" w:rsidR="008B04D7" w:rsidRPr="00AA3805" w:rsidRDefault="00AA3805">
            <w:pPr>
              <w:rPr>
                <w:rFonts w:ascii="Times New Roman" w:eastAsia="Times New Roman" w:hAnsi="Times New Roman"/>
                <w:b/>
                <w:bCs/>
                <w:sz w:val="26"/>
                <w:szCs w:val="26"/>
                <w:rtl/>
              </w:rPr>
            </w:pPr>
            <w:r w:rsidRPr="00AA3805">
              <w:rPr>
                <w:rFonts w:ascii="Times New Roman" w:eastAsia="Times New Roman" w:hAnsi="Times New Roman" w:hint="cs"/>
                <w:rtl/>
              </w:rPr>
              <w:t>מדינת ישראל</w:t>
            </w:r>
          </w:p>
          <w:p w14:paraId="365B7B11" w14:textId="77777777" w:rsidR="008B04D7" w:rsidRPr="00AA3805" w:rsidRDefault="00AA3805">
            <w:pPr>
              <w:rPr>
                <w:rFonts w:ascii="Times New Roman" w:eastAsia="Times New Roman" w:hAnsi="Times New Roman"/>
                <w:b/>
                <w:bCs/>
                <w:sz w:val="26"/>
                <w:szCs w:val="26"/>
                <w:rtl/>
              </w:rPr>
            </w:pPr>
            <w:r w:rsidRPr="00AA3805">
              <w:rPr>
                <w:rFonts w:ascii="Times New Roman" w:eastAsia="Times New Roman" w:hAnsi="Times New Roman" w:hint="cs"/>
                <w:b/>
                <w:bCs/>
                <w:sz w:val="26"/>
                <w:szCs w:val="26"/>
                <w:rtl/>
              </w:rPr>
              <w:t>ע"י ב"כ עו"ד חן יבין</w:t>
            </w:r>
          </w:p>
        </w:tc>
      </w:tr>
      <w:bookmarkEnd w:id="1"/>
      <w:bookmarkEnd w:id="2"/>
      <w:tr w:rsidR="008B04D7" w:rsidRPr="00AA3805" w14:paraId="2A7690C1" w14:textId="77777777">
        <w:tc>
          <w:tcPr>
            <w:tcW w:w="8802" w:type="dxa"/>
            <w:gridSpan w:val="2"/>
            <w:shd w:val="clear" w:color="auto" w:fill="auto"/>
          </w:tcPr>
          <w:p w14:paraId="338921DA" w14:textId="77777777" w:rsidR="008B04D7" w:rsidRPr="00AA3805" w:rsidRDefault="008B04D7">
            <w:pPr>
              <w:jc w:val="both"/>
              <w:rPr>
                <w:rFonts w:ascii="Arial" w:eastAsia="Times New Roman" w:hAnsi="Arial"/>
                <w:b/>
                <w:bCs/>
                <w:sz w:val="26"/>
                <w:szCs w:val="26"/>
                <w:rtl/>
              </w:rPr>
            </w:pPr>
          </w:p>
          <w:p w14:paraId="2EE48389" w14:textId="77777777" w:rsidR="008B04D7" w:rsidRPr="00AA3805" w:rsidRDefault="00AA3805">
            <w:pPr>
              <w:jc w:val="center"/>
              <w:rPr>
                <w:rFonts w:ascii="Arial" w:eastAsia="Times New Roman" w:hAnsi="Arial" w:hint="cs"/>
                <w:b/>
                <w:bCs/>
                <w:sz w:val="26"/>
                <w:szCs w:val="26"/>
                <w:rtl/>
              </w:rPr>
            </w:pPr>
            <w:r w:rsidRPr="00AA3805">
              <w:rPr>
                <w:rFonts w:ascii="Arial" w:eastAsia="Times New Roman" w:hAnsi="Arial"/>
                <w:b/>
                <w:bCs/>
                <w:sz w:val="26"/>
                <w:szCs w:val="26"/>
                <w:rtl/>
              </w:rPr>
              <w:t>נגד</w:t>
            </w:r>
            <w:r w:rsidR="00134E57">
              <w:rPr>
                <w:rFonts w:ascii="Arial" w:eastAsia="Times New Roman" w:hAnsi="Arial" w:hint="cs"/>
                <w:b/>
                <w:bCs/>
                <w:sz w:val="26"/>
                <w:szCs w:val="26"/>
                <w:rtl/>
              </w:rPr>
              <w:t xml:space="preserve"> </w:t>
            </w:r>
          </w:p>
          <w:p w14:paraId="0F96E25C" w14:textId="77777777" w:rsidR="008B04D7" w:rsidRPr="00AA3805" w:rsidRDefault="008B04D7">
            <w:pPr>
              <w:jc w:val="center"/>
              <w:rPr>
                <w:rFonts w:ascii="Arial" w:eastAsia="Times New Roman" w:hAnsi="Arial"/>
                <w:b/>
                <w:bCs/>
                <w:sz w:val="26"/>
                <w:szCs w:val="26"/>
              </w:rPr>
            </w:pPr>
          </w:p>
        </w:tc>
      </w:tr>
      <w:tr w:rsidR="008B04D7" w:rsidRPr="00AA3805" w14:paraId="69822D77" w14:textId="77777777">
        <w:tc>
          <w:tcPr>
            <w:tcW w:w="2880" w:type="dxa"/>
            <w:shd w:val="clear" w:color="auto" w:fill="auto"/>
          </w:tcPr>
          <w:p w14:paraId="219C11D5" w14:textId="77777777" w:rsidR="008B04D7" w:rsidRPr="00AA3805" w:rsidRDefault="00AA3805">
            <w:pPr>
              <w:ind w:left="26"/>
              <w:rPr>
                <w:rFonts w:ascii="Times New Roman" w:eastAsia="Times New Roman" w:hAnsi="Times New Roman"/>
                <w:b/>
                <w:bCs/>
                <w:sz w:val="26"/>
                <w:szCs w:val="26"/>
                <w:rtl/>
              </w:rPr>
            </w:pPr>
            <w:r w:rsidRPr="00AA3805">
              <w:rPr>
                <w:rFonts w:ascii="Times New Roman" w:eastAsia="Times New Roman" w:hAnsi="Times New Roman" w:hint="cs"/>
                <w:b/>
                <w:bCs/>
                <w:sz w:val="26"/>
                <w:szCs w:val="26"/>
                <w:rtl/>
              </w:rPr>
              <w:t>הנאשם:</w:t>
            </w:r>
          </w:p>
        </w:tc>
        <w:tc>
          <w:tcPr>
            <w:tcW w:w="5922" w:type="dxa"/>
            <w:shd w:val="clear" w:color="auto" w:fill="auto"/>
          </w:tcPr>
          <w:p w14:paraId="7B64EA6C" w14:textId="77777777" w:rsidR="008B04D7" w:rsidRPr="00AA3805" w:rsidRDefault="00AA3805">
            <w:pPr>
              <w:rPr>
                <w:rFonts w:ascii="Times New Roman" w:eastAsia="Times New Roman" w:hAnsi="Times New Roman"/>
                <w:b/>
                <w:bCs/>
                <w:sz w:val="26"/>
                <w:szCs w:val="26"/>
                <w:rtl/>
              </w:rPr>
            </w:pPr>
            <w:r w:rsidRPr="00AA3805">
              <w:rPr>
                <w:rFonts w:ascii="Times New Roman" w:eastAsia="Times New Roman" w:hAnsi="Times New Roman" w:hint="cs"/>
                <w:rtl/>
              </w:rPr>
              <w:t xml:space="preserve">סאלם אלאטרש – בעצמו </w:t>
            </w:r>
            <w:r w:rsidRPr="00AA3805">
              <w:rPr>
                <w:rFonts w:ascii="Times New Roman" w:eastAsia="Times New Roman" w:hAnsi="Times New Roman" w:cs="Times New Roman" w:hint="cs"/>
                <w:rtl/>
              </w:rPr>
              <w:br/>
            </w:r>
            <w:r w:rsidRPr="00AA3805">
              <w:rPr>
                <w:rFonts w:ascii="Times New Roman" w:eastAsia="Times New Roman" w:hAnsi="Times New Roman" w:hint="cs"/>
                <w:rtl/>
              </w:rPr>
              <w:t>ע"י ב"כ עו"ד אסתר בר-ציון</w:t>
            </w:r>
          </w:p>
        </w:tc>
      </w:tr>
    </w:tbl>
    <w:p w14:paraId="42170E5D" w14:textId="77777777" w:rsidR="008B04D7" w:rsidRPr="00AA3805" w:rsidRDefault="008B04D7">
      <w:pPr>
        <w:spacing w:line="360" w:lineRule="auto"/>
        <w:jc w:val="both"/>
        <w:rPr>
          <w:rtl/>
        </w:rPr>
      </w:pPr>
    </w:p>
    <w:p w14:paraId="098EE15A" w14:textId="77777777" w:rsidR="008B04D7" w:rsidRPr="00AA3805" w:rsidRDefault="00AA3805">
      <w:pPr>
        <w:spacing w:line="360" w:lineRule="auto"/>
        <w:jc w:val="both"/>
        <w:rPr>
          <w:sz w:val="6"/>
          <w:szCs w:val="6"/>
          <w:rtl/>
        </w:rPr>
      </w:pPr>
      <w:r w:rsidRPr="00AA3805">
        <w:rPr>
          <w:sz w:val="6"/>
          <w:szCs w:val="6"/>
          <w:rtl/>
        </w:rPr>
        <w:t>&lt;#1#&gt;</w:t>
      </w:r>
    </w:p>
    <w:p w14:paraId="4967EBD2" w14:textId="77777777" w:rsidR="00134E57" w:rsidRDefault="00AA3805">
      <w:pPr>
        <w:spacing w:line="360" w:lineRule="auto"/>
        <w:jc w:val="center"/>
        <w:rPr>
          <w:rFonts w:ascii="Arial" w:hAnsi="Arial"/>
          <w:sz w:val="28"/>
          <w:szCs w:val="28"/>
          <w:rtl/>
        </w:rPr>
      </w:pPr>
      <w:r w:rsidRPr="00AA3805">
        <w:rPr>
          <w:rFonts w:ascii="Arial" w:hAnsi="Arial"/>
          <w:b/>
          <w:color w:val="FF0000"/>
          <w:sz w:val="28"/>
          <w:rtl/>
        </w:rPr>
        <w:t>במסמך זה הושמטו פרוטוקולים</w:t>
      </w:r>
      <w:bookmarkStart w:id="3" w:name="LawTable"/>
      <w:bookmarkEnd w:id="3"/>
    </w:p>
    <w:p w14:paraId="32CEC4FC" w14:textId="77777777" w:rsidR="00134E57" w:rsidRPr="00134E57" w:rsidRDefault="00134E57" w:rsidP="00134E57">
      <w:pPr>
        <w:spacing w:after="120" w:line="240" w:lineRule="exact"/>
        <w:ind w:left="283" w:hanging="283"/>
        <w:jc w:val="both"/>
        <w:rPr>
          <w:rFonts w:ascii="FrankRuehl" w:hAnsi="FrankRuehl" w:cs="FrankRuehl"/>
          <w:rtl/>
        </w:rPr>
      </w:pPr>
    </w:p>
    <w:p w14:paraId="4167CE64" w14:textId="77777777" w:rsidR="00134E57" w:rsidRPr="00134E57" w:rsidRDefault="00134E57" w:rsidP="00134E57">
      <w:pPr>
        <w:spacing w:after="120" w:line="240" w:lineRule="exact"/>
        <w:ind w:left="283" w:hanging="283"/>
        <w:jc w:val="both"/>
        <w:rPr>
          <w:rFonts w:ascii="FrankRuehl" w:hAnsi="FrankRuehl" w:cs="FrankRuehl"/>
          <w:rtl/>
        </w:rPr>
      </w:pPr>
      <w:r w:rsidRPr="00134E57">
        <w:rPr>
          <w:rFonts w:ascii="FrankRuehl" w:hAnsi="FrankRuehl" w:cs="FrankRuehl"/>
          <w:rtl/>
        </w:rPr>
        <w:t xml:space="preserve">חקיקה שאוזכרה: </w:t>
      </w:r>
    </w:p>
    <w:p w14:paraId="466599CF" w14:textId="77777777" w:rsidR="00134E57" w:rsidRPr="00134E57" w:rsidRDefault="00134E57" w:rsidP="00134E57">
      <w:pPr>
        <w:spacing w:after="120" w:line="240" w:lineRule="exact"/>
        <w:ind w:left="283" w:hanging="283"/>
        <w:jc w:val="both"/>
        <w:rPr>
          <w:rFonts w:ascii="FrankRuehl" w:hAnsi="FrankRuehl" w:cs="FrankRuehl"/>
          <w:rtl/>
        </w:rPr>
      </w:pPr>
      <w:hyperlink r:id="rId6" w:history="1">
        <w:r w:rsidRPr="00134E57">
          <w:rPr>
            <w:rFonts w:ascii="FrankRuehl" w:hAnsi="FrankRuehl" w:cs="FrankRuehl"/>
            <w:color w:val="0000FF"/>
            <w:u w:val="single"/>
            <w:rtl/>
          </w:rPr>
          <w:t>חוק העונשין, תשל"ז-1977</w:t>
        </w:r>
      </w:hyperlink>
      <w:r w:rsidRPr="00134E57">
        <w:rPr>
          <w:rFonts w:ascii="FrankRuehl" w:hAnsi="FrankRuehl" w:cs="FrankRuehl"/>
          <w:rtl/>
        </w:rPr>
        <w:t xml:space="preserve">: סע'  </w:t>
      </w:r>
      <w:hyperlink r:id="rId7" w:history="1">
        <w:r w:rsidRPr="00134E57">
          <w:rPr>
            <w:rFonts w:ascii="FrankRuehl" w:hAnsi="FrankRuehl" w:cs="FrankRuehl"/>
            <w:color w:val="0000FF"/>
            <w:u w:val="single"/>
            <w:rtl/>
          </w:rPr>
          <w:t>31</w:t>
        </w:r>
      </w:hyperlink>
      <w:r w:rsidRPr="00134E57">
        <w:rPr>
          <w:rFonts w:ascii="FrankRuehl" w:hAnsi="FrankRuehl" w:cs="FrankRuehl"/>
          <w:rtl/>
        </w:rPr>
        <w:t xml:space="preserve">, </w:t>
      </w:r>
      <w:hyperlink r:id="rId8" w:history="1">
        <w:r w:rsidRPr="00134E57">
          <w:rPr>
            <w:rFonts w:ascii="FrankRuehl" w:hAnsi="FrankRuehl" w:cs="FrankRuehl"/>
            <w:color w:val="0000FF"/>
            <w:u w:val="single"/>
            <w:rtl/>
          </w:rPr>
          <w:t>144</w:t>
        </w:r>
      </w:hyperlink>
      <w:r w:rsidRPr="00134E57">
        <w:rPr>
          <w:rFonts w:ascii="FrankRuehl" w:hAnsi="FrankRuehl" w:cs="FrankRuehl"/>
          <w:rtl/>
        </w:rPr>
        <w:t xml:space="preserve">, </w:t>
      </w:r>
      <w:hyperlink r:id="rId9" w:history="1">
        <w:r w:rsidRPr="00134E57">
          <w:rPr>
            <w:rFonts w:ascii="FrankRuehl" w:hAnsi="FrankRuehl" w:cs="FrankRuehl"/>
            <w:color w:val="0000FF"/>
            <w:u w:val="single"/>
            <w:rtl/>
          </w:rPr>
          <w:t>144(א)</w:t>
        </w:r>
      </w:hyperlink>
    </w:p>
    <w:p w14:paraId="42CA7EFA" w14:textId="77777777" w:rsidR="00134E57" w:rsidRPr="00134E57" w:rsidRDefault="00134E57" w:rsidP="00134E57">
      <w:pPr>
        <w:spacing w:after="120" w:line="240" w:lineRule="exact"/>
        <w:ind w:left="283" w:hanging="283"/>
        <w:jc w:val="both"/>
        <w:rPr>
          <w:rFonts w:ascii="FrankRuehl" w:hAnsi="FrankRuehl" w:cs="FrankRuehl"/>
          <w:rtl/>
        </w:rPr>
      </w:pPr>
    </w:p>
    <w:p w14:paraId="6D76226C" w14:textId="77777777" w:rsidR="00AA3805" w:rsidRPr="00AA3805" w:rsidRDefault="00AA3805" w:rsidP="00AA3805">
      <w:pPr>
        <w:spacing w:line="360" w:lineRule="auto"/>
        <w:jc w:val="center"/>
        <w:rPr>
          <w:rFonts w:ascii="Arial" w:hAnsi="Arial"/>
          <w:b/>
          <w:bCs/>
          <w:sz w:val="28"/>
          <w:szCs w:val="28"/>
          <w:u w:val="single"/>
          <w:rtl/>
        </w:rPr>
      </w:pPr>
      <w:bookmarkStart w:id="4" w:name="LawTable_End"/>
      <w:bookmarkStart w:id="5" w:name="PsakDin"/>
      <w:bookmarkEnd w:id="0"/>
      <w:bookmarkEnd w:id="4"/>
      <w:r w:rsidRPr="00AA3805">
        <w:rPr>
          <w:rFonts w:ascii="Arial" w:hAnsi="Arial"/>
          <w:b/>
          <w:bCs/>
          <w:sz w:val="28"/>
          <w:szCs w:val="28"/>
          <w:u w:val="single"/>
          <w:rtl/>
        </w:rPr>
        <w:t>גזר דין</w:t>
      </w:r>
    </w:p>
    <w:bookmarkEnd w:id="5"/>
    <w:p w14:paraId="68136EC3" w14:textId="77777777" w:rsidR="008B04D7" w:rsidRDefault="00AA3805">
      <w:pPr>
        <w:spacing w:line="360" w:lineRule="auto"/>
        <w:jc w:val="both"/>
        <w:rPr>
          <w:rtl/>
        </w:rPr>
      </w:pPr>
      <w:r>
        <w:rPr>
          <w:rtl/>
        </w:rPr>
        <w:t xml:space="preserve"> </w:t>
      </w:r>
    </w:p>
    <w:p w14:paraId="4C8D0D79" w14:textId="77777777" w:rsidR="008B04D7" w:rsidRDefault="00AA3805">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על פי הודאתו במסגרת הסדר טיעון בכתב אישום מתוקן המייחס לו עבירות של סיוע להחזקת נשק וסיוע להחזקת תחמושת, עבירות לפי </w:t>
      </w:r>
      <w:hyperlink r:id="rId10" w:history="1">
        <w:r w:rsidR="00134E57" w:rsidRPr="00134E57">
          <w:rPr>
            <w:color w:val="0000FF"/>
            <w:u w:val="single"/>
            <w:rtl/>
          </w:rPr>
          <w:t>סעיפים 31</w:t>
        </w:r>
      </w:hyperlink>
      <w:r>
        <w:rPr>
          <w:rFonts w:hint="cs"/>
          <w:rtl/>
        </w:rPr>
        <w:t xml:space="preserve"> + </w:t>
      </w:r>
      <w:hyperlink r:id="rId11" w:history="1">
        <w:r w:rsidR="00134E57" w:rsidRPr="00134E57">
          <w:rPr>
            <w:color w:val="0000FF"/>
            <w:u w:val="single"/>
            <w:rtl/>
          </w:rPr>
          <w:t>144(א)</w:t>
        </w:r>
      </w:hyperlink>
      <w:r>
        <w:rPr>
          <w:rFonts w:hint="cs"/>
          <w:rtl/>
        </w:rPr>
        <w:t xml:space="preserve"> ו- </w:t>
      </w:r>
      <w:hyperlink r:id="rId12" w:history="1">
        <w:r w:rsidR="00134E57" w:rsidRPr="00134E57">
          <w:rPr>
            <w:color w:val="0000FF"/>
            <w:u w:val="single"/>
            <w:rtl/>
          </w:rPr>
          <w:t>31</w:t>
        </w:r>
      </w:hyperlink>
      <w:r>
        <w:rPr>
          <w:rFonts w:hint="cs"/>
          <w:rtl/>
        </w:rPr>
        <w:t xml:space="preserve"> +  </w:t>
      </w:r>
      <w:hyperlink r:id="rId13" w:history="1">
        <w:r w:rsidR="00134E57" w:rsidRPr="00134E57">
          <w:rPr>
            <w:color w:val="0000FF"/>
            <w:u w:val="single"/>
            <w:rtl/>
          </w:rPr>
          <w:t>144(א)</w:t>
        </w:r>
      </w:hyperlink>
      <w:r>
        <w:rPr>
          <w:rFonts w:hint="cs"/>
          <w:rtl/>
        </w:rPr>
        <w:t xml:space="preserve"> סיפא ל</w:t>
      </w:r>
      <w:hyperlink r:id="rId14" w:history="1">
        <w:r w:rsidRPr="00AA3805">
          <w:rPr>
            <w:color w:val="0000FF"/>
            <w:u w:val="single"/>
            <w:rtl/>
          </w:rPr>
          <w:t>חוק העונשין</w:t>
        </w:r>
      </w:hyperlink>
      <w:r>
        <w:rPr>
          <w:rFonts w:hint="cs"/>
          <w:rtl/>
        </w:rPr>
        <w:t>, התשל"ז-1977.</w:t>
      </w:r>
      <w:bookmarkStart w:id="7" w:name="ABSTRACT_END"/>
      <w:bookmarkEnd w:id="7"/>
    </w:p>
    <w:p w14:paraId="5A4AC49B" w14:textId="77777777" w:rsidR="008B04D7" w:rsidRDefault="008B04D7">
      <w:pPr>
        <w:spacing w:line="360" w:lineRule="auto"/>
        <w:ind w:left="720" w:hanging="720"/>
        <w:jc w:val="both"/>
        <w:rPr>
          <w:rtl/>
        </w:rPr>
      </w:pPr>
    </w:p>
    <w:p w14:paraId="01654C7F" w14:textId="77777777" w:rsidR="008B04D7" w:rsidRDefault="00AA3805">
      <w:pPr>
        <w:spacing w:line="360" w:lineRule="auto"/>
        <w:ind w:left="720" w:hanging="720"/>
        <w:jc w:val="both"/>
        <w:rPr>
          <w:rtl/>
        </w:rPr>
      </w:pPr>
      <w:r>
        <w:rPr>
          <w:rFonts w:hint="cs"/>
          <w:rtl/>
        </w:rPr>
        <w:t>2.</w:t>
      </w:r>
      <w:r>
        <w:rPr>
          <w:rFonts w:hint="cs"/>
          <w:rtl/>
        </w:rPr>
        <w:tab/>
        <w:t xml:space="preserve">בהתאם לעובדות כתב האישום המתוקן, ביום 4.11.15, סייע הנאשם לאחר להחזיק אקדח וכן סייע לאותו אחר להחזיק בתחמושת הכוללת שלוש מחסניות ואקדח ושלושים כדורים בקוטר 9 מ"מ. </w:t>
      </w:r>
    </w:p>
    <w:p w14:paraId="263463FA" w14:textId="77777777" w:rsidR="008B04D7" w:rsidRDefault="008B04D7">
      <w:pPr>
        <w:spacing w:line="360" w:lineRule="auto"/>
        <w:ind w:left="720" w:hanging="720"/>
        <w:jc w:val="both"/>
        <w:rPr>
          <w:rtl/>
        </w:rPr>
      </w:pPr>
    </w:p>
    <w:p w14:paraId="42EC3E5F" w14:textId="77777777" w:rsidR="008B04D7" w:rsidRDefault="00AA3805">
      <w:pPr>
        <w:spacing w:line="360" w:lineRule="auto"/>
        <w:ind w:left="720" w:hanging="720"/>
        <w:jc w:val="both"/>
        <w:rPr>
          <w:rtl/>
        </w:rPr>
      </w:pPr>
      <w:r>
        <w:rPr>
          <w:rFonts w:hint="cs"/>
          <w:rtl/>
        </w:rPr>
        <w:t>3.</w:t>
      </w:r>
      <w:r>
        <w:rPr>
          <w:rFonts w:hint="cs"/>
          <w:rtl/>
        </w:rPr>
        <w:tab/>
        <w:t xml:space="preserve">במסגרת ההסדר הוסכם כי הצדדים יעתרו לעונשים של 6 חודשי מאסר לריצוי בעבודות שירות, מאסר על תנאי וקנס בסך של 15,000 ₪. </w:t>
      </w:r>
    </w:p>
    <w:p w14:paraId="7C218B9A" w14:textId="77777777" w:rsidR="008B04D7" w:rsidRDefault="008B04D7">
      <w:pPr>
        <w:spacing w:line="360" w:lineRule="auto"/>
        <w:ind w:left="720" w:hanging="720"/>
        <w:jc w:val="both"/>
        <w:rPr>
          <w:rtl/>
        </w:rPr>
      </w:pPr>
    </w:p>
    <w:p w14:paraId="2DF5873C" w14:textId="77777777" w:rsidR="008B04D7" w:rsidRDefault="00AA3805">
      <w:pPr>
        <w:spacing w:line="360" w:lineRule="auto"/>
        <w:ind w:left="720" w:hanging="720"/>
        <w:jc w:val="both"/>
      </w:pPr>
      <w:r>
        <w:rPr>
          <w:rFonts w:hint="cs"/>
          <w:rtl/>
        </w:rPr>
        <w:t>4.</w:t>
      </w:r>
      <w:r>
        <w:rPr>
          <w:rFonts w:hint="cs"/>
          <w:rtl/>
        </w:rPr>
        <w:tab/>
        <w:t>בהתחשב בהודאת הנאשם, הודאה שיש בה משום קבלת אחריות וחסכון בזמן שיפוטי;  בהתחשב בעובדה שהנאשם נעדר עבר פלילי; בהתחשב בנסיבותיו האישיות של הנאשם, לרבות במצבו הנפשי, אני מוצא לנכון לכבד את ההסדר. הסדר זה הינו סביר ומאזן נכונה בין האינטרס הציבורי לאינטרס האישי של הנאשם.</w:t>
      </w:r>
    </w:p>
    <w:p w14:paraId="3F51DF0A" w14:textId="77777777" w:rsidR="008B04D7" w:rsidRDefault="00AA3805">
      <w:pPr>
        <w:pStyle w:val="ListParagraph"/>
        <w:spacing w:line="360" w:lineRule="auto"/>
        <w:jc w:val="both"/>
        <w:rPr>
          <w:rtl/>
        </w:rPr>
      </w:pPr>
      <w:r>
        <w:rPr>
          <w:rFonts w:hint="cs"/>
          <w:rtl/>
        </w:rPr>
        <w:lastRenderedPageBreak/>
        <w:t>אציין עוד, כי מצאתי לאמץ את ההסדר גם בשים לב לעובדה שההסכמה העונשית בין הצדדים, שעמדה בבסיס ההסדר, נמצאת בגדרי מתחם העונש ההולם את האירוע מושא כתב האישום, אם כי ברף התחתון שלו.</w:t>
      </w:r>
    </w:p>
    <w:p w14:paraId="42E65F18" w14:textId="77777777" w:rsidR="008B04D7" w:rsidRDefault="008B04D7">
      <w:pPr>
        <w:pStyle w:val="ListParagraph"/>
        <w:spacing w:line="360" w:lineRule="auto"/>
        <w:jc w:val="both"/>
      </w:pPr>
    </w:p>
    <w:p w14:paraId="1ADAFB1B" w14:textId="77777777" w:rsidR="008B04D7" w:rsidRDefault="00AA3805">
      <w:pPr>
        <w:spacing w:line="360" w:lineRule="auto"/>
        <w:ind w:left="720" w:hanging="720"/>
        <w:jc w:val="both"/>
        <w:rPr>
          <w:rtl/>
        </w:rPr>
      </w:pPr>
      <w:r>
        <w:rPr>
          <w:rFonts w:hint="cs"/>
          <w:rtl/>
        </w:rPr>
        <w:t>5.</w:t>
      </w:r>
      <w:r>
        <w:rPr>
          <w:rFonts w:hint="cs"/>
          <w:rtl/>
        </w:rPr>
        <w:tab/>
        <w:t>אשר על כן, אני גוזר על הנאשם את העונשים הבאים:</w:t>
      </w:r>
    </w:p>
    <w:p w14:paraId="5DDFF70D" w14:textId="77777777" w:rsidR="008B04D7" w:rsidRDefault="008B04D7">
      <w:pPr>
        <w:spacing w:line="360" w:lineRule="auto"/>
        <w:ind w:left="1440" w:hanging="720"/>
        <w:jc w:val="both"/>
        <w:rPr>
          <w:rtl/>
        </w:rPr>
      </w:pPr>
    </w:p>
    <w:p w14:paraId="7415890F" w14:textId="77777777" w:rsidR="008B04D7" w:rsidRDefault="00AA3805">
      <w:pPr>
        <w:spacing w:line="360" w:lineRule="auto"/>
        <w:ind w:left="1440" w:hanging="720"/>
        <w:jc w:val="both"/>
        <w:rPr>
          <w:rtl/>
        </w:rPr>
      </w:pPr>
      <w:r>
        <w:rPr>
          <w:rFonts w:hint="cs"/>
          <w:rtl/>
        </w:rPr>
        <w:t>א.</w:t>
      </w:r>
      <w:r>
        <w:rPr>
          <w:rFonts w:hint="cs"/>
          <w:rtl/>
        </w:rPr>
        <w:tab/>
        <w:t>6 חודשי מאסר לריצוי בעבודות שירות. בהתאם לחוות דעת הממונה, הנאשם יבצע את העבודות במרכז הטניס בערד,</w:t>
      </w:r>
      <w:r>
        <w:rPr>
          <w:rFonts w:hint="cs"/>
        </w:rPr>
        <w:t xml:space="preserve"> </w:t>
      </w:r>
      <w:r>
        <w:rPr>
          <w:rFonts w:hint="cs"/>
          <w:rtl/>
        </w:rPr>
        <w:t xml:space="preserve">משך 5 ימים בשבוע, 8.5 שעות בכל יום, החל מיום 19.4.2017. </w:t>
      </w:r>
    </w:p>
    <w:p w14:paraId="7937EE65" w14:textId="77777777" w:rsidR="008B04D7" w:rsidRDefault="00AA3805">
      <w:pPr>
        <w:spacing w:line="360" w:lineRule="auto"/>
        <w:ind w:left="1440" w:hanging="720"/>
        <w:jc w:val="both"/>
        <w:rPr>
          <w:rtl/>
        </w:rPr>
      </w:pPr>
      <w:r>
        <w:rPr>
          <w:rFonts w:hint="cs"/>
          <w:rtl/>
        </w:rPr>
        <w:tab/>
        <w:t>הובהרה לנאשם חשיבות שיתוף הפעולה בביצוע העבודות ונפקות העדר שיתוף פעולה.</w:t>
      </w:r>
    </w:p>
    <w:p w14:paraId="71C192E6" w14:textId="77777777" w:rsidR="008B04D7" w:rsidRDefault="008B04D7">
      <w:pPr>
        <w:spacing w:line="360" w:lineRule="auto"/>
        <w:ind w:left="1440" w:hanging="720"/>
        <w:jc w:val="both"/>
        <w:rPr>
          <w:rtl/>
        </w:rPr>
      </w:pPr>
    </w:p>
    <w:p w14:paraId="2A2D6549" w14:textId="77777777" w:rsidR="008B04D7" w:rsidRDefault="00AA3805">
      <w:pPr>
        <w:spacing w:line="360" w:lineRule="auto"/>
        <w:ind w:left="1440" w:hanging="720"/>
        <w:jc w:val="both"/>
        <w:rPr>
          <w:rtl/>
        </w:rPr>
      </w:pPr>
      <w:r>
        <w:rPr>
          <w:rFonts w:hint="cs"/>
          <w:rtl/>
        </w:rPr>
        <w:t>ב.</w:t>
      </w:r>
      <w:r>
        <w:rPr>
          <w:rFonts w:hint="cs"/>
          <w:rtl/>
        </w:rPr>
        <w:tab/>
        <w:t xml:space="preserve">8 חודשי מאסר על תנאי, לתקופה של 3 שנים מהיום, שהנאשם לא יעבור על עבירת נשק בהתאם </w:t>
      </w:r>
      <w:hyperlink r:id="rId15" w:history="1">
        <w:r w:rsidR="00134E57" w:rsidRPr="00134E57">
          <w:rPr>
            <w:color w:val="0000FF"/>
            <w:u w:val="single"/>
            <w:rtl/>
          </w:rPr>
          <w:t>לסעיף 144</w:t>
        </w:r>
      </w:hyperlink>
      <w:r>
        <w:rPr>
          <w:rFonts w:hint="cs"/>
          <w:rtl/>
        </w:rPr>
        <w:t xml:space="preserve"> ל</w:t>
      </w:r>
      <w:hyperlink r:id="rId16" w:history="1">
        <w:r w:rsidRPr="00AA3805">
          <w:rPr>
            <w:color w:val="0000FF"/>
            <w:u w:val="single"/>
            <w:rtl/>
          </w:rPr>
          <w:t>חוק העונשין</w:t>
        </w:r>
      </w:hyperlink>
      <w:r>
        <w:rPr>
          <w:rFonts w:hint="cs"/>
          <w:rtl/>
        </w:rPr>
        <w:t xml:space="preserve">, על חלופותיו השונות. </w:t>
      </w:r>
    </w:p>
    <w:p w14:paraId="2A93725E" w14:textId="77777777" w:rsidR="008B04D7" w:rsidRDefault="008B04D7">
      <w:pPr>
        <w:spacing w:line="360" w:lineRule="auto"/>
        <w:ind w:left="1440" w:hanging="720"/>
        <w:jc w:val="both"/>
        <w:rPr>
          <w:rtl/>
        </w:rPr>
      </w:pPr>
    </w:p>
    <w:p w14:paraId="7597599C" w14:textId="77777777" w:rsidR="008B04D7" w:rsidRDefault="00AA3805">
      <w:pPr>
        <w:spacing w:line="360" w:lineRule="auto"/>
        <w:ind w:left="1440" w:hanging="720"/>
        <w:jc w:val="both"/>
        <w:rPr>
          <w:rtl/>
        </w:rPr>
      </w:pPr>
      <w:r>
        <w:rPr>
          <w:rFonts w:hint="cs"/>
          <w:rtl/>
        </w:rPr>
        <w:t>ג.</w:t>
      </w:r>
      <w:r>
        <w:rPr>
          <w:rFonts w:hint="cs"/>
          <w:rtl/>
        </w:rPr>
        <w:tab/>
        <w:t>קנס בסך 15,000 ₪ או 60 ימי מאסר תמורתו. לבקשת ב"כ הנאשם ההפקדה בסך של 2,000 ₪ שהופקדה במסגרת הליך המעצר הקשור לתיק זה יקוזז לטובת הקנס, וזאת ככל שאין מניעה. יתרת הקנס תשולם ב- 6 שיעורים חודשיים שווים ורצופים, החל מיום 1.2.2017. ככל שיש מניעה לביצוע הקיזוז, הקנס כולו ישולם ב- 6 שיעורים שווים חודשיים ורצופים החל מיום 1.2.2017.</w:t>
      </w:r>
    </w:p>
    <w:p w14:paraId="4A55B13A" w14:textId="77777777" w:rsidR="008B04D7" w:rsidRDefault="008B04D7">
      <w:pPr>
        <w:spacing w:line="360" w:lineRule="auto"/>
        <w:jc w:val="both"/>
        <w:rPr>
          <w:rtl/>
        </w:rPr>
      </w:pPr>
    </w:p>
    <w:p w14:paraId="547CEC24" w14:textId="77777777" w:rsidR="008B04D7" w:rsidRDefault="00AA3805">
      <w:pPr>
        <w:spacing w:line="360" w:lineRule="auto"/>
        <w:jc w:val="both"/>
        <w:rPr>
          <w:rtl/>
        </w:rPr>
      </w:pPr>
      <w:r>
        <w:rPr>
          <w:rFonts w:hint="cs"/>
          <w:rtl/>
        </w:rPr>
        <w:t xml:space="preserve">ניתן בזאת צו להשמדת המוצג </w:t>
      </w:r>
      <w:r>
        <w:rPr>
          <w:rtl/>
        </w:rPr>
        <w:t>–</w:t>
      </w:r>
      <w:r>
        <w:rPr>
          <w:rFonts w:hint="cs"/>
          <w:rtl/>
        </w:rPr>
        <w:t xml:space="preserve"> מחסניות, תחמושת, נשק, וזאת בכפוף לחלוף תקופת הערעור.</w:t>
      </w:r>
    </w:p>
    <w:p w14:paraId="577BF466" w14:textId="77777777" w:rsidR="008B04D7" w:rsidRDefault="008B04D7">
      <w:pPr>
        <w:spacing w:line="360" w:lineRule="auto"/>
        <w:jc w:val="both"/>
        <w:rPr>
          <w:b/>
          <w:bCs/>
          <w:rtl/>
        </w:rPr>
      </w:pPr>
    </w:p>
    <w:p w14:paraId="495BC64B" w14:textId="77777777" w:rsidR="008B04D7" w:rsidRDefault="00AA3805">
      <w:pPr>
        <w:spacing w:line="360" w:lineRule="auto"/>
        <w:jc w:val="both"/>
        <w:rPr>
          <w:b/>
          <w:bCs/>
          <w:rtl/>
        </w:rPr>
      </w:pPr>
      <w:r>
        <w:rPr>
          <w:rFonts w:hint="cs"/>
          <w:b/>
          <w:bCs/>
          <w:rtl/>
        </w:rPr>
        <w:t xml:space="preserve">העתק הפרוטוקול יישלח לממונה על עבודות השירות. </w:t>
      </w:r>
    </w:p>
    <w:p w14:paraId="60D311E5" w14:textId="77777777" w:rsidR="008B04D7" w:rsidRDefault="008B04D7">
      <w:pPr>
        <w:spacing w:line="360" w:lineRule="auto"/>
        <w:jc w:val="both"/>
        <w:rPr>
          <w:b/>
          <w:bCs/>
          <w:rtl/>
        </w:rPr>
      </w:pPr>
    </w:p>
    <w:p w14:paraId="1C62788D" w14:textId="77777777" w:rsidR="008B04D7" w:rsidRDefault="00AA3805">
      <w:pPr>
        <w:spacing w:line="360" w:lineRule="auto"/>
        <w:jc w:val="both"/>
        <w:rPr>
          <w:rtl/>
        </w:rPr>
      </w:pPr>
      <w:r>
        <w:rPr>
          <w:rFonts w:hint="cs"/>
          <w:b/>
          <w:bCs/>
          <w:rtl/>
        </w:rPr>
        <w:t>זכות ערעור תוך 45 יום מהיום לבית המשפט המחוזי.</w:t>
      </w:r>
    </w:p>
    <w:p w14:paraId="08B78474" w14:textId="77777777" w:rsidR="008B04D7" w:rsidRDefault="00AA3805">
      <w:pPr>
        <w:spacing w:line="360" w:lineRule="auto"/>
        <w:jc w:val="both"/>
        <w:rPr>
          <w:sz w:val="6"/>
          <w:szCs w:val="6"/>
        </w:rPr>
      </w:pPr>
      <w:r>
        <w:rPr>
          <w:sz w:val="6"/>
          <w:szCs w:val="6"/>
          <w:rtl/>
        </w:rPr>
        <w:t>&lt;#3#&gt;</w:t>
      </w:r>
    </w:p>
    <w:p w14:paraId="036117B5" w14:textId="77777777" w:rsidR="008B04D7" w:rsidRDefault="00AA3805">
      <w:pPr>
        <w:jc w:val="center"/>
        <w:rPr>
          <w:rtl/>
        </w:rPr>
      </w:pPr>
      <w:r w:rsidRPr="00AA3805">
        <w:rPr>
          <w:b/>
          <w:bCs/>
          <w:color w:val="FFFFFF"/>
          <w:sz w:val="2"/>
          <w:szCs w:val="2"/>
          <w:rtl/>
        </w:rPr>
        <w:t>5129371</w:t>
      </w:r>
      <w:r>
        <w:rPr>
          <w:b/>
          <w:bCs/>
          <w:rtl/>
        </w:rPr>
        <w:t xml:space="preserve">ניתנה והודעה היום כ"ה כסלו תשע"ז, 25/12/2016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B04D7" w14:paraId="77DAC1CE" w14:textId="77777777">
        <w:trPr>
          <w:trHeight w:val="364"/>
          <w:jc w:val="right"/>
        </w:trPr>
        <w:tc>
          <w:tcPr>
            <w:tcW w:w="3708" w:type="dxa"/>
            <w:shd w:val="clear" w:color="auto" w:fill="auto"/>
          </w:tcPr>
          <w:p w14:paraId="3ED72BC2" w14:textId="77777777" w:rsidR="008B04D7" w:rsidRPr="00AA3805" w:rsidRDefault="00AA3805">
            <w:pPr>
              <w:jc w:val="center"/>
              <w:rPr>
                <w:rFonts w:ascii="Times New Roman" w:eastAsia="Times New Roman" w:hAnsi="Times New Roman" w:cs="Times New Roman"/>
                <w:color w:val="FFFFFF"/>
                <w:sz w:val="2"/>
                <w:szCs w:val="2"/>
              </w:rPr>
            </w:pPr>
            <w:r w:rsidRPr="00AA3805">
              <w:rPr>
                <w:rFonts w:ascii="Times New Roman" w:eastAsia="Times New Roman" w:hAnsi="Times New Roman" w:cs="Times New Roman"/>
                <w:color w:val="FFFFFF"/>
                <w:sz w:val="2"/>
                <w:szCs w:val="2"/>
                <w:rtl/>
              </w:rPr>
              <w:t>54678313</w:t>
            </w:r>
          </w:p>
          <w:p w14:paraId="5FB6835F" w14:textId="77777777" w:rsidR="008B04D7" w:rsidRDefault="008B04D7">
            <w:pPr>
              <w:jc w:val="center"/>
              <w:rPr>
                <w:rFonts w:ascii="Times New Roman" w:eastAsia="Times New Roman" w:hAnsi="Times New Roman" w:cs="Times New Roman"/>
                <w:rtl/>
              </w:rPr>
            </w:pPr>
          </w:p>
        </w:tc>
      </w:tr>
      <w:tr w:rsidR="008B04D7" w14:paraId="13BF06C4" w14:textId="77777777">
        <w:trPr>
          <w:trHeight w:val="415"/>
          <w:jc w:val="right"/>
        </w:trPr>
        <w:tc>
          <w:tcPr>
            <w:tcW w:w="3708" w:type="dxa"/>
            <w:shd w:val="clear" w:color="auto" w:fill="auto"/>
          </w:tcPr>
          <w:p w14:paraId="1E49E410" w14:textId="77777777" w:rsidR="008B04D7" w:rsidRDefault="00AA3805">
            <w:pPr>
              <w:jc w:val="center"/>
              <w:rPr>
                <w:rFonts w:ascii="Times New Roman" w:eastAsia="Times New Roman" w:hAnsi="Times New Roman"/>
                <w:b/>
                <w:bCs/>
                <w:rtl/>
              </w:rPr>
            </w:pPr>
            <w:r>
              <w:rPr>
                <w:rFonts w:ascii="Times New Roman" w:eastAsia="Times New Roman" w:hAnsi="Times New Roman" w:hint="cs"/>
                <w:b/>
                <w:bCs/>
                <w:rtl/>
              </w:rPr>
              <w:t>ד"ר יובל ליבדרו, שופט</w:t>
            </w:r>
          </w:p>
        </w:tc>
      </w:tr>
    </w:tbl>
    <w:p w14:paraId="22735596" w14:textId="77777777" w:rsidR="008B04D7" w:rsidRDefault="008B04D7">
      <w:pPr>
        <w:jc w:val="right"/>
        <w:rPr>
          <w:rtl/>
        </w:rPr>
      </w:pPr>
    </w:p>
    <w:p w14:paraId="3DA720CD" w14:textId="77777777" w:rsidR="008B04D7" w:rsidRDefault="00AA3805">
      <w:r>
        <w:rPr>
          <w:rtl/>
        </w:rPr>
        <w:t>הוקלד</w:t>
      </w:r>
      <w:r>
        <w:t xml:space="preserve"> </w:t>
      </w:r>
      <w:r>
        <w:rPr>
          <w:rtl/>
        </w:rPr>
        <w:t>על</w:t>
      </w:r>
      <w:r>
        <w:t xml:space="preserve"> </w:t>
      </w:r>
      <w:r>
        <w:rPr>
          <w:rtl/>
        </w:rPr>
        <w:t>ידי</w:t>
      </w:r>
      <w:r>
        <w:t xml:space="preserve"> </w:t>
      </w:r>
      <w:r>
        <w:rPr>
          <w:rtl/>
        </w:rPr>
        <w:t>ליאורה</w:t>
      </w:r>
      <w:r>
        <w:t xml:space="preserve"> </w:t>
      </w:r>
      <w:r>
        <w:rPr>
          <w:rtl/>
        </w:rPr>
        <w:t>כהן</w:t>
      </w:r>
    </w:p>
    <w:p w14:paraId="4FA232FC" w14:textId="77777777" w:rsidR="00AA3805" w:rsidRPr="00AA3805" w:rsidRDefault="00AA3805" w:rsidP="00AA3805">
      <w:pPr>
        <w:keepNext/>
        <w:rPr>
          <w:color w:val="000000"/>
          <w:sz w:val="22"/>
          <w:szCs w:val="22"/>
          <w:rtl/>
        </w:rPr>
      </w:pPr>
    </w:p>
    <w:p w14:paraId="1C8AD793" w14:textId="77777777" w:rsidR="00AA3805" w:rsidRPr="00AA3805" w:rsidRDefault="00AA3805" w:rsidP="00AA3805">
      <w:pPr>
        <w:keepNext/>
        <w:rPr>
          <w:color w:val="000000"/>
          <w:sz w:val="22"/>
          <w:szCs w:val="22"/>
          <w:rtl/>
        </w:rPr>
      </w:pPr>
      <w:r w:rsidRPr="00AA3805">
        <w:rPr>
          <w:color w:val="000000"/>
          <w:sz w:val="22"/>
          <w:szCs w:val="22"/>
          <w:rtl/>
        </w:rPr>
        <w:t>ד"ר יובל ליבדרו 54678313</w:t>
      </w:r>
    </w:p>
    <w:p w14:paraId="157CD6B5" w14:textId="77777777" w:rsidR="00AA3805" w:rsidRDefault="00AA3805" w:rsidP="00AA3805">
      <w:r w:rsidRPr="00AA3805">
        <w:rPr>
          <w:color w:val="000000"/>
          <w:rtl/>
        </w:rPr>
        <w:t>נוסח מסמך זה כפוף לשינויי ניסוח ועריכה</w:t>
      </w:r>
    </w:p>
    <w:p w14:paraId="714588FC" w14:textId="77777777" w:rsidR="00AA3805" w:rsidRDefault="00AA3805" w:rsidP="00AA3805">
      <w:pPr>
        <w:rPr>
          <w:rtl/>
        </w:rPr>
      </w:pPr>
    </w:p>
    <w:p w14:paraId="13A52456" w14:textId="77777777" w:rsidR="00AA3805" w:rsidRDefault="00AA3805" w:rsidP="00AA3805">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416FA33A" w14:textId="77777777" w:rsidR="008B04D7" w:rsidRPr="00AA3805" w:rsidRDefault="008B04D7" w:rsidP="00AA3805">
      <w:pPr>
        <w:jc w:val="center"/>
        <w:rPr>
          <w:color w:val="0000FF"/>
          <w:u w:val="single"/>
        </w:rPr>
      </w:pPr>
    </w:p>
    <w:sectPr w:rsidR="008B04D7" w:rsidRPr="00AA3805" w:rsidSect="00AA3805">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974FA" w14:textId="77777777" w:rsidR="00962826" w:rsidRDefault="00962826">
      <w:r>
        <w:separator/>
      </w:r>
    </w:p>
  </w:endnote>
  <w:endnote w:type="continuationSeparator" w:id="0">
    <w:p w14:paraId="3364E145" w14:textId="77777777" w:rsidR="00962826" w:rsidRDefault="00962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438B6" w14:textId="77777777" w:rsidR="00962826" w:rsidRDefault="00962826" w:rsidP="00AA38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19</w:t>
    </w:r>
    <w:r>
      <w:rPr>
        <w:rFonts w:ascii="FrankRuehl" w:hAnsi="FrankRuehl" w:cs="FrankRuehl"/>
        <w:rtl/>
      </w:rPr>
      <w:fldChar w:fldCharType="end"/>
    </w:r>
  </w:p>
  <w:p w14:paraId="2AF08898" w14:textId="77777777" w:rsidR="00962826" w:rsidRPr="00AA3805" w:rsidRDefault="00962826" w:rsidP="00AA3805">
    <w:pPr>
      <w:pStyle w:val="a5"/>
      <w:pBdr>
        <w:top w:val="single" w:sz="4" w:space="1" w:color="auto"/>
        <w:between w:val="single" w:sz="4" w:space="0" w:color="auto"/>
      </w:pBdr>
      <w:spacing w:after="60"/>
      <w:jc w:val="center"/>
      <w:rPr>
        <w:rFonts w:ascii="FrankRuehl" w:hAnsi="FrankRuehl" w:cs="FrankRuehl"/>
        <w:color w:val="000000"/>
      </w:rPr>
    </w:pPr>
    <w:r w:rsidRPr="00AA380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D70F6" w14:textId="77777777" w:rsidR="00962826" w:rsidRDefault="00962826" w:rsidP="00AA380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764D7">
      <w:rPr>
        <w:rFonts w:ascii="FrankRuehl" w:hAnsi="FrankRuehl" w:cs="FrankRuehl"/>
        <w:noProof/>
        <w:rtl/>
      </w:rPr>
      <w:t>1</w:t>
    </w:r>
    <w:r>
      <w:rPr>
        <w:rFonts w:ascii="FrankRuehl" w:hAnsi="FrankRuehl" w:cs="FrankRuehl"/>
        <w:rtl/>
      </w:rPr>
      <w:fldChar w:fldCharType="end"/>
    </w:r>
  </w:p>
  <w:p w14:paraId="41B38866" w14:textId="77777777" w:rsidR="00962826" w:rsidRPr="00AA3805" w:rsidRDefault="00962826" w:rsidP="00AA3805">
    <w:pPr>
      <w:pStyle w:val="a5"/>
      <w:pBdr>
        <w:top w:val="single" w:sz="4" w:space="1" w:color="auto"/>
        <w:between w:val="single" w:sz="4" w:space="0" w:color="auto"/>
      </w:pBdr>
      <w:spacing w:after="60"/>
      <w:jc w:val="center"/>
      <w:rPr>
        <w:rFonts w:ascii="FrankRuehl" w:hAnsi="FrankRuehl" w:cs="FrankRuehl"/>
        <w:color w:val="000000"/>
      </w:rPr>
    </w:pPr>
    <w:r w:rsidRPr="00AA3805">
      <w:rPr>
        <w:rFonts w:ascii="FrankRuehl" w:hAnsi="FrankRuehl" w:cs="FrankRuehl"/>
        <w:color w:val="000000"/>
      </w:rPr>
      <w:pict w14:anchorId="659A45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21248" w14:textId="77777777" w:rsidR="00962826" w:rsidRDefault="00962826">
      <w:r>
        <w:separator/>
      </w:r>
    </w:p>
  </w:footnote>
  <w:footnote w:type="continuationSeparator" w:id="0">
    <w:p w14:paraId="565D75E3" w14:textId="77777777" w:rsidR="00962826" w:rsidRDefault="00962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DE09E" w14:textId="77777777" w:rsidR="00962826" w:rsidRPr="00AA3805" w:rsidRDefault="00962826" w:rsidP="00AA380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32606-11-15</w:t>
    </w:r>
    <w:r>
      <w:rPr>
        <w:color w:val="000000"/>
        <w:sz w:val="22"/>
        <w:szCs w:val="22"/>
        <w:rtl/>
      </w:rPr>
      <w:tab/>
      <w:t xml:space="preserve"> מדינת ישראל נ' סאלם אלאטרש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8D344" w14:textId="77777777" w:rsidR="00962826" w:rsidRPr="00AA3805" w:rsidRDefault="00962826" w:rsidP="00AA3805">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32606-11-15</w:t>
    </w:r>
    <w:r>
      <w:rPr>
        <w:color w:val="000000"/>
        <w:sz w:val="22"/>
        <w:szCs w:val="22"/>
        <w:rtl/>
      </w:rPr>
      <w:tab/>
      <w:t xml:space="preserve"> מדינת ישראל נ' סאלם אלאטרש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04D7"/>
    <w:rsid w:val="00134E57"/>
    <w:rsid w:val="00715F9B"/>
    <w:rsid w:val="008764D7"/>
    <w:rsid w:val="00897568"/>
    <w:rsid w:val="008B04D7"/>
    <w:rsid w:val="00962826"/>
    <w:rsid w:val="00AA3805"/>
    <w:rsid w:val="00C64BA5"/>
    <w:rsid w:val="00E828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7AE35C"/>
  <w15:chartTrackingRefBased/>
  <w15:docId w15:val="{DB9E7E7E-FC4C-4952-9030-3E50EA74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332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333321"/>
  </w:style>
  <w:style w:type="paragraph" w:styleId="a4">
    <w:name w:val="header"/>
    <w:basedOn w:val="a"/>
    <w:rsid w:val="00333321"/>
    <w:pPr>
      <w:tabs>
        <w:tab w:val="center" w:pos="4153"/>
        <w:tab w:val="right" w:pos="8306"/>
      </w:tabs>
    </w:pPr>
  </w:style>
  <w:style w:type="paragraph" w:styleId="a5">
    <w:name w:val="footer"/>
    <w:basedOn w:val="a"/>
    <w:rsid w:val="00333321"/>
    <w:pPr>
      <w:tabs>
        <w:tab w:val="center" w:pos="4153"/>
        <w:tab w:val="right" w:pos="8306"/>
      </w:tabs>
    </w:pPr>
  </w:style>
  <w:style w:type="character" w:styleId="a6">
    <w:name w:val="page number"/>
    <w:basedOn w:val="a0"/>
    <w:rsid w:val="00333321"/>
  </w:style>
  <w:style w:type="paragraph" w:customStyle="1" w:styleId="12">
    <w:name w:val="רגיל + ‏12 נק'"/>
    <w:aliases w:val="מיושר לשני הצדדים,מרווח בין שורות:  שורה וחצי"/>
    <w:basedOn w:val="a"/>
    <w:rsid w:val="00333321"/>
    <w:rPr>
      <w:rFonts w:ascii="Times New Roman" w:eastAsia="Times New Roman" w:hAnsi="Times New Roman"/>
      <w:b/>
      <w:bCs/>
      <w:u w:val="single"/>
    </w:rPr>
  </w:style>
  <w:style w:type="paragraph" w:customStyle="1" w:styleId="ListParagraph">
    <w:name w:val="List Paragraph"/>
    <w:basedOn w:val="a"/>
    <w:rsid w:val="00333321"/>
    <w:pPr>
      <w:ind w:left="720"/>
      <w:contextualSpacing/>
    </w:pPr>
    <w:rPr>
      <w:rFonts w:ascii="Times New Roman" w:eastAsia="Times New Roman" w:hAnsi="Times New Roman"/>
    </w:rPr>
  </w:style>
  <w:style w:type="character" w:styleId="Hyperlink">
    <w:name w:val="Hyperlink"/>
    <w:basedOn w:val="a0"/>
    <w:rsid w:val="00AA3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law/70301/144.a"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31" TargetMode="External"/><Relationship Id="rId12" Type="http://schemas.openxmlformats.org/officeDocument/2006/relationships/hyperlink" Target="http://www.nevo.co.il/law/70301/31"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5" Type="http://schemas.openxmlformats.org/officeDocument/2006/relationships/endnotes" Target="endnotes.xml"/><Relationship Id="rId15" Type="http://schemas.openxmlformats.org/officeDocument/2006/relationships/hyperlink" Target="http://www.nevo.co.il/law/70301/144" TargetMode="External"/><Relationship Id="rId23" Type="http://schemas.openxmlformats.org/officeDocument/2006/relationships/theme" Target="theme/theme1.xml"/><Relationship Id="rId10" Type="http://schemas.openxmlformats.org/officeDocument/2006/relationships/hyperlink" Target="http://www.nevo.co.il/law/70301/31"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3113</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2025-01-19T17:37:00Z</dcterms:created>
  <dcterms:modified xsi:type="dcterms:W3CDTF">2025-01-19T17:37:00Z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32606</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סאלם אלאטרש</vt:lpwstr>
  </property>
  <property fmtid="{D5CDD505-2E9C-101B-9397-08002B2CF9AE}" pid="10" name="LAWYER">
    <vt:lpwstr>חן יבין;אסתר בר ציון</vt:lpwstr>
  </property>
  <property fmtid="{D5CDD505-2E9C-101B-9397-08002B2CF9AE}" pid="11" name="JUDGE">
    <vt:lpwstr>ד#ר יובל ליבדרו</vt:lpwstr>
  </property>
  <property fmtid="{D5CDD505-2E9C-101B-9397-08002B2CF9AE}" pid="12" name="CITY">
    <vt:lpwstr>ב"ש</vt:lpwstr>
  </property>
  <property fmtid="{D5CDD505-2E9C-101B-9397-08002B2CF9AE}" pid="13" name="DATE">
    <vt:lpwstr>20161225</vt:lpwstr>
  </property>
  <property fmtid="{D5CDD505-2E9C-101B-9397-08002B2CF9AE}" pid="14" name="TYPE_N_DATE">
    <vt:lpwstr>38020161225</vt:lpwstr>
  </property>
  <property fmtid="{D5CDD505-2E9C-101B-9397-08002B2CF9AE}" pid="15" name="WORDNUMPAGES">
    <vt:lpwstr>2</vt:lpwstr>
  </property>
  <property fmtid="{D5CDD505-2E9C-101B-9397-08002B2CF9AE}" pid="16" name="TYPE_ABS_DATE">
    <vt:lpwstr>380020161225</vt:lpwstr>
  </property>
  <property fmtid="{D5CDD505-2E9C-101B-9397-08002B2CF9AE}" pid="17" name="ISABSTRACT">
    <vt:lpwstr>Y</vt:lpwstr>
  </property>
  <property fmtid="{D5CDD505-2E9C-101B-9397-08002B2CF9AE}" pid="18" name="LAWLISTTMP1">
    <vt:lpwstr>70301/031:2;144.a:2;144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