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8C3F01" w:rsidRPr="008B4C0D" w14:paraId="742BEFE9" w14:textId="77777777" w:rsidTr="00B76AC8">
        <w:trPr>
          <w:trHeight w:hRule="exact" w:val="418"/>
          <w:jc w:val="center"/>
        </w:trPr>
        <w:tc>
          <w:tcPr>
            <w:tcW w:w="8721" w:type="dxa"/>
            <w:gridSpan w:val="2"/>
          </w:tcPr>
          <w:p w14:paraId="6A73B677" w14:textId="77777777" w:rsidR="008C3F01" w:rsidRPr="008B4C0D" w:rsidRDefault="008C3F01" w:rsidP="0009614A">
            <w:pPr>
              <w:pStyle w:val="a3"/>
              <w:jc w:val="center"/>
              <w:rPr>
                <w:rFonts w:ascii="Tahoma" w:hAnsi="Tahoma" w:cs="Tahoma"/>
                <w:color w:val="000080"/>
                <w:rtl/>
              </w:rPr>
            </w:pPr>
            <w:bookmarkStart w:id="0" w:name="LastJudge"/>
            <w:r w:rsidRPr="008B4C0D">
              <w:rPr>
                <w:rFonts w:ascii="Tahoma" w:hAnsi="Tahoma" w:cs="Tahoma"/>
                <w:b/>
                <w:bCs/>
                <w:color w:val="000080"/>
                <w:rtl/>
              </w:rPr>
              <w:t>בית משפט השלום בכפר סבא</w:t>
            </w:r>
          </w:p>
        </w:tc>
      </w:tr>
      <w:tr w:rsidR="008C3F01" w:rsidRPr="008B4C0D" w14:paraId="6B4694DD" w14:textId="77777777" w:rsidTr="00B76AC8">
        <w:trPr>
          <w:trHeight w:val="337"/>
          <w:jc w:val="center"/>
        </w:trPr>
        <w:tc>
          <w:tcPr>
            <w:tcW w:w="5048" w:type="dxa"/>
          </w:tcPr>
          <w:p w14:paraId="549FA113" w14:textId="77777777" w:rsidR="008C3F01" w:rsidRPr="008B4C0D" w:rsidRDefault="008C3F01" w:rsidP="0009614A">
            <w:pPr>
              <w:rPr>
                <w:rFonts w:cs="FrankRuehl"/>
                <w:sz w:val="28"/>
                <w:szCs w:val="28"/>
                <w:rtl/>
              </w:rPr>
            </w:pPr>
            <w:r w:rsidRPr="008B4C0D">
              <w:rPr>
                <w:rFonts w:cs="FrankRuehl"/>
                <w:sz w:val="28"/>
                <w:szCs w:val="28"/>
                <w:rtl/>
              </w:rPr>
              <w:t>ת"פ</w:t>
            </w:r>
            <w:r w:rsidRPr="008B4C0D">
              <w:rPr>
                <w:rFonts w:cs="FrankRuehl" w:hint="cs"/>
                <w:sz w:val="28"/>
                <w:szCs w:val="28"/>
                <w:rtl/>
              </w:rPr>
              <w:t xml:space="preserve"> </w:t>
            </w:r>
            <w:r w:rsidRPr="008B4C0D">
              <w:rPr>
                <w:rFonts w:cs="FrankRuehl"/>
                <w:sz w:val="28"/>
                <w:szCs w:val="28"/>
                <w:rtl/>
              </w:rPr>
              <w:t>26525-12-15</w:t>
            </w:r>
            <w:r w:rsidRPr="008B4C0D">
              <w:rPr>
                <w:rFonts w:cs="FrankRuehl" w:hint="cs"/>
                <w:sz w:val="28"/>
                <w:szCs w:val="28"/>
                <w:rtl/>
              </w:rPr>
              <w:t xml:space="preserve"> </w:t>
            </w:r>
            <w:r w:rsidRPr="008B4C0D">
              <w:rPr>
                <w:rFonts w:cs="FrankRuehl"/>
                <w:sz w:val="28"/>
                <w:szCs w:val="28"/>
                <w:rtl/>
              </w:rPr>
              <w:t>מדינת ישראל נ' עאמר ואח'</w:t>
            </w:r>
          </w:p>
          <w:p w14:paraId="0AF3313E" w14:textId="77777777" w:rsidR="008C3F01" w:rsidRPr="008B4C0D" w:rsidRDefault="008C3F01" w:rsidP="0009614A">
            <w:pPr>
              <w:pStyle w:val="a3"/>
              <w:rPr>
                <w:rFonts w:cs="FrankRuehl"/>
                <w:sz w:val="28"/>
                <w:szCs w:val="28"/>
                <w:rtl/>
              </w:rPr>
            </w:pPr>
          </w:p>
        </w:tc>
        <w:tc>
          <w:tcPr>
            <w:tcW w:w="3673" w:type="dxa"/>
          </w:tcPr>
          <w:p w14:paraId="2EB4DB1C" w14:textId="77777777" w:rsidR="008C3F01" w:rsidRPr="008B4C0D" w:rsidRDefault="008C3F01" w:rsidP="0009614A">
            <w:pPr>
              <w:pStyle w:val="a3"/>
              <w:jc w:val="right"/>
              <w:rPr>
                <w:rFonts w:cs="FrankRuehl"/>
                <w:sz w:val="28"/>
                <w:szCs w:val="28"/>
                <w:rtl/>
              </w:rPr>
            </w:pPr>
            <w:r w:rsidRPr="008B4C0D">
              <w:rPr>
                <w:rFonts w:cs="FrankRuehl" w:hint="cs"/>
                <w:sz w:val="28"/>
                <w:szCs w:val="28"/>
                <w:rtl/>
              </w:rPr>
              <w:t>27 דצמבר 2017</w:t>
            </w:r>
          </w:p>
        </w:tc>
      </w:tr>
    </w:tbl>
    <w:p w14:paraId="0DC9DE5F" w14:textId="77777777" w:rsidR="008C3F01" w:rsidRPr="008B4C0D" w:rsidRDefault="008C3F01" w:rsidP="008C3F01">
      <w:pPr>
        <w:pStyle w:val="a3"/>
        <w:rPr>
          <w:rtl/>
        </w:rPr>
      </w:pPr>
      <w:r w:rsidRPr="008B4C0D">
        <w:rPr>
          <w:rFonts w:hint="cs"/>
          <w:rtl/>
        </w:rPr>
        <w:t xml:space="preserve"> </w:t>
      </w:r>
    </w:p>
    <w:p w14:paraId="14648E33" w14:textId="77777777" w:rsidR="008C3F01" w:rsidRPr="008B4C0D" w:rsidRDefault="008C3F01" w:rsidP="008C3F01">
      <w:pPr>
        <w:pStyle w:val="a3"/>
      </w:pPr>
      <w:r w:rsidRPr="008B4C0D">
        <w:rPr>
          <w:rFonts w:cs="Times New Roman" w:hint="cs"/>
          <w:b/>
          <w:bCs/>
          <w:sz w:val="26"/>
          <w:szCs w:val="28"/>
          <w:rtl/>
        </w:rPr>
        <w:t xml:space="preserve"> </w:t>
      </w:r>
    </w:p>
    <w:p w14:paraId="70AFEA07" w14:textId="77777777" w:rsidR="008C3F01" w:rsidRPr="008B4C0D" w:rsidRDefault="008C3F01" w:rsidP="008C3F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C3F01" w:rsidRPr="008B4C0D" w14:paraId="5051D7D9" w14:textId="77777777" w:rsidTr="008C3F01">
        <w:trPr>
          <w:trHeight w:val="295"/>
          <w:jc w:val="center"/>
        </w:trPr>
        <w:tc>
          <w:tcPr>
            <w:tcW w:w="923" w:type="dxa"/>
            <w:tcBorders>
              <w:top w:val="nil"/>
              <w:left w:val="nil"/>
              <w:bottom w:val="nil"/>
              <w:right w:val="nil"/>
            </w:tcBorders>
            <w:shd w:val="clear" w:color="auto" w:fill="auto"/>
          </w:tcPr>
          <w:p w14:paraId="27B214E4" w14:textId="77777777" w:rsidR="008C3F01" w:rsidRPr="008B4C0D" w:rsidRDefault="008C3F01" w:rsidP="008C3F01">
            <w:pPr>
              <w:jc w:val="both"/>
              <w:rPr>
                <w:rFonts w:ascii="Arial" w:hAnsi="Arial"/>
                <w:sz w:val="26"/>
                <w:szCs w:val="26"/>
              </w:rPr>
            </w:pPr>
            <w:r w:rsidRPr="008B4C0D">
              <w:rPr>
                <w:rFonts w:ascii="Arial" w:hAnsi="Arial" w:hint="cs"/>
                <w:sz w:val="26"/>
                <w:szCs w:val="26"/>
                <w:rtl/>
              </w:rPr>
              <w:t>ל</w:t>
            </w:r>
            <w:r w:rsidRPr="008B4C0D">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75D83C87" w14:textId="77777777" w:rsidR="008C3F01" w:rsidRPr="008B4C0D" w:rsidRDefault="008C3F01" w:rsidP="0009614A">
            <w:pPr>
              <w:rPr>
                <w:rFonts w:ascii="Arial" w:hAnsi="Arial"/>
                <w:b/>
                <w:bCs/>
                <w:sz w:val="26"/>
                <w:szCs w:val="26"/>
                <w:rtl/>
              </w:rPr>
            </w:pPr>
            <w:r w:rsidRPr="008B4C0D">
              <w:rPr>
                <w:rFonts w:ascii="Arial" w:hAnsi="Arial" w:hint="cs"/>
                <w:b/>
                <w:bCs/>
                <w:sz w:val="26"/>
                <w:szCs w:val="26"/>
                <w:rtl/>
              </w:rPr>
              <w:t>כב' ה</w:t>
            </w:r>
            <w:r w:rsidRPr="008B4C0D">
              <w:rPr>
                <w:rFonts w:ascii="Arial" w:hAnsi="Arial"/>
                <w:b/>
                <w:bCs/>
                <w:sz w:val="26"/>
                <w:szCs w:val="26"/>
                <w:rtl/>
              </w:rPr>
              <w:t>שופט</w:t>
            </w:r>
            <w:r w:rsidRPr="008B4C0D">
              <w:rPr>
                <w:rFonts w:ascii="Arial" w:hAnsi="Arial" w:hint="cs"/>
                <w:b/>
                <w:bCs/>
                <w:sz w:val="26"/>
                <w:szCs w:val="26"/>
                <w:rtl/>
              </w:rPr>
              <w:t xml:space="preserve">  </w:t>
            </w:r>
            <w:r w:rsidRPr="008B4C0D">
              <w:rPr>
                <w:rFonts w:ascii="Arial" w:hAnsi="Arial"/>
                <w:b/>
                <w:bCs/>
                <w:sz w:val="26"/>
                <w:szCs w:val="26"/>
                <w:rtl/>
              </w:rPr>
              <w:t>מיכאל קרשן</w:t>
            </w:r>
          </w:p>
          <w:p w14:paraId="0396EEBF" w14:textId="77777777" w:rsidR="008C3F01" w:rsidRPr="008B4C0D" w:rsidRDefault="008C3F01" w:rsidP="008C3F01">
            <w:pPr>
              <w:jc w:val="both"/>
              <w:rPr>
                <w:rFonts w:ascii="Arial" w:hAnsi="Arial"/>
                <w:sz w:val="26"/>
                <w:szCs w:val="26"/>
              </w:rPr>
            </w:pPr>
          </w:p>
        </w:tc>
      </w:tr>
      <w:tr w:rsidR="008C3F01" w:rsidRPr="008B4C0D" w14:paraId="5BC359E2" w14:textId="77777777" w:rsidTr="008C3F01">
        <w:trPr>
          <w:trHeight w:val="355"/>
          <w:jc w:val="center"/>
        </w:trPr>
        <w:tc>
          <w:tcPr>
            <w:tcW w:w="923" w:type="dxa"/>
            <w:tcBorders>
              <w:top w:val="nil"/>
              <w:left w:val="nil"/>
              <w:bottom w:val="nil"/>
              <w:right w:val="nil"/>
            </w:tcBorders>
            <w:shd w:val="clear" w:color="auto" w:fill="auto"/>
          </w:tcPr>
          <w:p w14:paraId="6ED27E17" w14:textId="77777777" w:rsidR="008C3F01" w:rsidRPr="008B4C0D" w:rsidRDefault="008C3F01" w:rsidP="008C3F01">
            <w:pPr>
              <w:jc w:val="both"/>
              <w:rPr>
                <w:rFonts w:ascii="Arial" w:hAnsi="Arial"/>
                <w:sz w:val="26"/>
                <w:szCs w:val="26"/>
                <w:rtl/>
              </w:rPr>
            </w:pPr>
            <w:bookmarkStart w:id="1" w:name="FirstAppellant"/>
          </w:p>
          <w:p w14:paraId="1C3C2587" w14:textId="77777777" w:rsidR="008C3F01" w:rsidRPr="008B4C0D" w:rsidRDefault="008C3F01" w:rsidP="008C3F01">
            <w:pPr>
              <w:jc w:val="both"/>
              <w:rPr>
                <w:rFonts w:ascii="Arial" w:hAnsi="Arial"/>
                <w:sz w:val="26"/>
                <w:szCs w:val="26"/>
              </w:rPr>
            </w:pPr>
            <w:r w:rsidRPr="008B4C0D">
              <w:rPr>
                <w:rFonts w:ascii="Arial" w:hAnsi="Arial" w:hint="cs"/>
                <w:sz w:val="26"/>
                <w:szCs w:val="26"/>
                <w:rtl/>
              </w:rPr>
              <w:t>בעניין:</w:t>
            </w:r>
          </w:p>
        </w:tc>
        <w:tc>
          <w:tcPr>
            <w:tcW w:w="4126" w:type="dxa"/>
            <w:tcBorders>
              <w:top w:val="nil"/>
              <w:left w:val="nil"/>
              <w:bottom w:val="nil"/>
              <w:right w:val="nil"/>
            </w:tcBorders>
            <w:shd w:val="clear" w:color="auto" w:fill="auto"/>
          </w:tcPr>
          <w:p w14:paraId="4A78788B" w14:textId="77777777" w:rsidR="008C3F01" w:rsidRPr="008B4C0D" w:rsidRDefault="008C3F01" w:rsidP="008C3F01">
            <w:pPr>
              <w:jc w:val="both"/>
              <w:rPr>
                <w:rFonts w:ascii="Arial" w:hAnsi="Arial"/>
                <w:sz w:val="26"/>
                <w:szCs w:val="26"/>
                <w:rtl/>
              </w:rPr>
            </w:pPr>
          </w:p>
          <w:p w14:paraId="0AB557CC" w14:textId="77777777" w:rsidR="008C3F01" w:rsidRPr="008B4C0D" w:rsidRDefault="008C3F01" w:rsidP="0009614A">
            <w:pPr>
              <w:rPr>
                <w:rFonts w:ascii="Arial" w:hAnsi="Arial"/>
                <w:sz w:val="26"/>
                <w:szCs w:val="26"/>
              </w:rPr>
            </w:pPr>
            <w:r w:rsidRPr="008B4C0D">
              <w:rPr>
                <w:rFonts w:ascii="Arial" w:hAnsi="Arial" w:hint="cs"/>
                <w:sz w:val="26"/>
                <w:szCs w:val="26"/>
                <w:rtl/>
              </w:rPr>
              <w:t>ה</w:t>
            </w:r>
            <w:r w:rsidRPr="008B4C0D">
              <w:rPr>
                <w:rFonts w:ascii="Arial" w:hAnsi="Arial"/>
                <w:sz w:val="26"/>
                <w:szCs w:val="26"/>
                <w:rtl/>
              </w:rPr>
              <w:t>מאשימה</w:t>
            </w:r>
          </w:p>
        </w:tc>
        <w:tc>
          <w:tcPr>
            <w:tcW w:w="3771" w:type="dxa"/>
            <w:tcBorders>
              <w:top w:val="nil"/>
              <w:left w:val="nil"/>
              <w:bottom w:val="nil"/>
              <w:right w:val="nil"/>
            </w:tcBorders>
            <w:shd w:val="clear" w:color="auto" w:fill="auto"/>
          </w:tcPr>
          <w:p w14:paraId="69F5E4C7" w14:textId="77777777" w:rsidR="008C3F01" w:rsidRPr="008B4C0D" w:rsidRDefault="008C3F01" w:rsidP="0009614A">
            <w:pPr>
              <w:rPr>
                <w:rFonts w:ascii="Arial" w:hAnsi="Arial"/>
                <w:sz w:val="26"/>
                <w:szCs w:val="26"/>
                <w:rtl/>
              </w:rPr>
            </w:pPr>
          </w:p>
          <w:p w14:paraId="1956A4ED" w14:textId="77777777" w:rsidR="008C3F01" w:rsidRPr="008B4C0D" w:rsidRDefault="008C3F01" w:rsidP="0009614A">
            <w:pPr>
              <w:rPr>
                <w:sz w:val="26"/>
                <w:szCs w:val="26"/>
              </w:rPr>
            </w:pPr>
            <w:r w:rsidRPr="008B4C0D">
              <w:rPr>
                <w:rFonts w:ascii="Arial" w:hAnsi="Arial"/>
                <w:sz w:val="26"/>
                <w:szCs w:val="26"/>
                <w:rtl/>
              </w:rPr>
              <w:t>מדינת ישראל</w:t>
            </w:r>
          </w:p>
          <w:p w14:paraId="2C01CA87" w14:textId="77777777" w:rsidR="008C3F01" w:rsidRPr="008B4C0D" w:rsidRDefault="008C3F01" w:rsidP="008C3F01">
            <w:pPr>
              <w:jc w:val="both"/>
              <w:rPr>
                <w:rFonts w:ascii="Arial" w:hAnsi="Arial"/>
                <w:sz w:val="26"/>
                <w:szCs w:val="26"/>
              </w:rPr>
            </w:pPr>
          </w:p>
        </w:tc>
      </w:tr>
      <w:bookmarkEnd w:id="1"/>
      <w:tr w:rsidR="008C3F01" w:rsidRPr="008B4C0D" w14:paraId="27DD7726" w14:textId="77777777" w:rsidTr="008C3F01">
        <w:trPr>
          <w:trHeight w:val="355"/>
          <w:jc w:val="center"/>
        </w:trPr>
        <w:tc>
          <w:tcPr>
            <w:tcW w:w="923" w:type="dxa"/>
            <w:tcBorders>
              <w:top w:val="nil"/>
              <w:left w:val="nil"/>
              <w:bottom w:val="nil"/>
              <w:right w:val="nil"/>
            </w:tcBorders>
            <w:shd w:val="clear" w:color="auto" w:fill="auto"/>
          </w:tcPr>
          <w:p w14:paraId="705C1FD2" w14:textId="77777777" w:rsidR="008C3F01" w:rsidRPr="008B4C0D" w:rsidRDefault="008C3F01" w:rsidP="008C3F01">
            <w:pPr>
              <w:jc w:val="both"/>
              <w:rPr>
                <w:rFonts w:ascii="Arial" w:hAnsi="Arial"/>
                <w:sz w:val="26"/>
                <w:szCs w:val="26"/>
                <w:rtl/>
              </w:rPr>
            </w:pPr>
          </w:p>
        </w:tc>
        <w:tc>
          <w:tcPr>
            <w:tcW w:w="4126" w:type="dxa"/>
            <w:tcBorders>
              <w:top w:val="nil"/>
              <w:left w:val="nil"/>
              <w:bottom w:val="nil"/>
              <w:right w:val="nil"/>
            </w:tcBorders>
            <w:shd w:val="clear" w:color="auto" w:fill="auto"/>
          </w:tcPr>
          <w:p w14:paraId="193DAAA3" w14:textId="77777777" w:rsidR="008C3F01" w:rsidRPr="008B4C0D" w:rsidRDefault="008C3F01" w:rsidP="008C3F01">
            <w:pPr>
              <w:jc w:val="both"/>
              <w:rPr>
                <w:sz w:val="26"/>
                <w:szCs w:val="26"/>
                <w:rtl/>
              </w:rPr>
            </w:pPr>
          </w:p>
        </w:tc>
        <w:tc>
          <w:tcPr>
            <w:tcW w:w="3771" w:type="dxa"/>
            <w:tcBorders>
              <w:top w:val="nil"/>
              <w:left w:val="nil"/>
              <w:bottom w:val="nil"/>
              <w:right w:val="nil"/>
            </w:tcBorders>
            <w:shd w:val="clear" w:color="auto" w:fill="auto"/>
          </w:tcPr>
          <w:p w14:paraId="6DC7DFB1" w14:textId="77777777" w:rsidR="008C3F01" w:rsidRPr="008B4C0D" w:rsidRDefault="008C3F01" w:rsidP="008C3F01">
            <w:pPr>
              <w:jc w:val="right"/>
              <w:rPr>
                <w:rFonts w:ascii="Arial" w:hAnsi="Arial"/>
                <w:sz w:val="26"/>
                <w:szCs w:val="26"/>
                <w:rtl/>
              </w:rPr>
            </w:pPr>
          </w:p>
        </w:tc>
      </w:tr>
      <w:tr w:rsidR="008C3F01" w:rsidRPr="008B4C0D" w14:paraId="4D0D77DF" w14:textId="77777777" w:rsidTr="008C3F01">
        <w:trPr>
          <w:trHeight w:val="355"/>
          <w:jc w:val="center"/>
        </w:trPr>
        <w:tc>
          <w:tcPr>
            <w:tcW w:w="923" w:type="dxa"/>
            <w:tcBorders>
              <w:top w:val="nil"/>
              <w:left w:val="nil"/>
              <w:bottom w:val="nil"/>
              <w:right w:val="nil"/>
            </w:tcBorders>
            <w:shd w:val="clear" w:color="auto" w:fill="auto"/>
          </w:tcPr>
          <w:p w14:paraId="7630AB5E" w14:textId="77777777" w:rsidR="008C3F01" w:rsidRPr="008B4C0D" w:rsidRDefault="008C3F01" w:rsidP="008C3F01">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442B28B0" w14:textId="77777777" w:rsidR="008C3F01" w:rsidRPr="008B4C0D" w:rsidRDefault="008C3F01" w:rsidP="008C3F01">
            <w:pPr>
              <w:jc w:val="center"/>
              <w:rPr>
                <w:rFonts w:ascii="Arial" w:hAnsi="Arial"/>
                <w:b/>
                <w:bCs/>
                <w:sz w:val="26"/>
                <w:szCs w:val="26"/>
                <w:rtl/>
              </w:rPr>
            </w:pPr>
          </w:p>
          <w:p w14:paraId="46C4C55F" w14:textId="77777777" w:rsidR="008C3F01" w:rsidRPr="008B4C0D" w:rsidRDefault="008C3F01" w:rsidP="008C3F01">
            <w:pPr>
              <w:jc w:val="center"/>
              <w:rPr>
                <w:rFonts w:ascii="Arial" w:hAnsi="Arial"/>
                <w:b/>
                <w:bCs/>
                <w:sz w:val="26"/>
                <w:szCs w:val="26"/>
                <w:rtl/>
              </w:rPr>
            </w:pPr>
            <w:r w:rsidRPr="008B4C0D">
              <w:rPr>
                <w:rFonts w:ascii="Arial" w:hAnsi="Arial"/>
                <w:b/>
                <w:bCs/>
                <w:sz w:val="26"/>
                <w:szCs w:val="26"/>
                <w:rtl/>
              </w:rPr>
              <w:t>נגד</w:t>
            </w:r>
          </w:p>
          <w:p w14:paraId="05D4BAC3" w14:textId="77777777" w:rsidR="008C3F01" w:rsidRPr="008B4C0D" w:rsidRDefault="008C3F01" w:rsidP="008C3F01">
            <w:pPr>
              <w:jc w:val="both"/>
              <w:rPr>
                <w:rFonts w:ascii="Arial" w:hAnsi="Arial"/>
                <w:sz w:val="26"/>
                <w:szCs w:val="26"/>
              </w:rPr>
            </w:pPr>
          </w:p>
        </w:tc>
      </w:tr>
      <w:tr w:rsidR="008C3F01" w:rsidRPr="008B4C0D" w14:paraId="7BE2A0DE" w14:textId="77777777" w:rsidTr="008C3F01">
        <w:trPr>
          <w:trHeight w:val="355"/>
          <w:jc w:val="center"/>
        </w:trPr>
        <w:tc>
          <w:tcPr>
            <w:tcW w:w="923" w:type="dxa"/>
            <w:tcBorders>
              <w:top w:val="nil"/>
              <w:left w:val="nil"/>
              <w:bottom w:val="nil"/>
              <w:right w:val="nil"/>
            </w:tcBorders>
            <w:shd w:val="clear" w:color="auto" w:fill="auto"/>
          </w:tcPr>
          <w:p w14:paraId="18BC8639" w14:textId="77777777" w:rsidR="008C3F01" w:rsidRPr="008B4C0D" w:rsidRDefault="008C3F01" w:rsidP="008C3F01">
            <w:pPr>
              <w:jc w:val="both"/>
              <w:rPr>
                <w:rFonts w:ascii="Arial" w:hAnsi="Arial"/>
                <w:sz w:val="26"/>
                <w:szCs w:val="26"/>
                <w:rtl/>
              </w:rPr>
            </w:pPr>
          </w:p>
        </w:tc>
        <w:tc>
          <w:tcPr>
            <w:tcW w:w="4126" w:type="dxa"/>
            <w:tcBorders>
              <w:top w:val="nil"/>
              <w:left w:val="nil"/>
              <w:bottom w:val="nil"/>
              <w:right w:val="nil"/>
            </w:tcBorders>
            <w:shd w:val="clear" w:color="auto" w:fill="auto"/>
          </w:tcPr>
          <w:p w14:paraId="1375F4E1" w14:textId="77777777" w:rsidR="008C3F01" w:rsidRPr="008B4C0D" w:rsidRDefault="008C3F01" w:rsidP="008C3F01">
            <w:pPr>
              <w:jc w:val="both"/>
              <w:rPr>
                <w:sz w:val="26"/>
                <w:szCs w:val="26"/>
                <w:rtl/>
              </w:rPr>
            </w:pPr>
            <w:r w:rsidRPr="008B4C0D">
              <w:rPr>
                <w:rFonts w:ascii="Arial" w:hAnsi="Arial" w:hint="cs"/>
                <w:sz w:val="26"/>
                <w:szCs w:val="26"/>
                <w:rtl/>
              </w:rPr>
              <w:t>ה</w:t>
            </w:r>
            <w:r w:rsidRPr="008B4C0D">
              <w:rPr>
                <w:rFonts w:ascii="Arial" w:hAnsi="Arial"/>
                <w:sz w:val="26"/>
                <w:szCs w:val="26"/>
                <w:rtl/>
              </w:rPr>
              <w:t>נאשמים</w:t>
            </w:r>
          </w:p>
        </w:tc>
        <w:tc>
          <w:tcPr>
            <w:tcW w:w="3771" w:type="dxa"/>
            <w:tcBorders>
              <w:top w:val="nil"/>
              <w:left w:val="nil"/>
              <w:bottom w:val="nil"/>
              <w:right w:val="nil"/>
            </w:tcBorders>
            <w:shd w:val="clear" w:color="auto" w:fill="auto"/>
          </w:tcPr>
          <w:p w14:paraId="2F4009BF" w14:textId="77777777" w:rsidR="008C3F01" w:rsidRPr="008B4C0D" w:rsidRDefault="008C3F01" w:rsidP="008C3F01">
            <w:pPr>
              <w:jc w:val="right"/>
              <w:rPr>
                <w:rFonts w:ascii="Arial" w:hAnsi="Arial"/>
                <w:sz w:val="26"/>
                <w:szCs w:val="26"/>
              </w:rPr>
            </w:pPr>
          </w:p>
          <w:p w14:paraId="46C2AC18" w14:textId="77777777" w:rsidR="008C3F01" w:rsidRPr="008B4C0D" w:rsidRDefault="008C3F01" w:rsidP="008C3F01">
            <w:pPr>
              <w:jc w:val="both"/>
            </w:pPr>
            <w:r w:rsidRPr="008B4C0D">
              <w:rPr>
                <w:rFonts w:ascii="Arial" w:hAnsi="Arial"/>
                <w:sz w:val="26"/>
                <w:szCs w:val="26"/>
                <w:rtl/>
              </w:rPr>
              <w:t>1</w:t>
            </w:r>
            <w:r w:rsidRPr="008B4C0D">
              <w:rPr>
                <w:rFonts w:ascii="Arial" w:hAnsi="Arial" w:hint="cs"/>
                <w:sz w:val="26"/>
                <w:szCs w:val="26"/>
                <w:rtl/>
              </w:rPr>
              <w:t>.</w:t>
            </w:r>
            <w:r w:rsidRPr="008B4C0D">
              <w:rPr>
                <w:rFonts w:ascii="Arial" w:hAnsi="Arial"/>
                <w:sz w:val="26"/>
                <w:szCs w:val="26"/>
                <w:rtl/>
              </w:rPr>
              <w:t>סאדן עאמר</w:t>
            </w:r>
          </w:p>
          <w:p w14:paraId="3550E80A" w14:textId="77777777" w:rsidR="008C3F01" w:rsidRPr="008B4C0D" w:rsidRDefault="008C3F01" w:rsidP="008C3F01">
            <w:pPr>
              <w:jc w:val="both"/>
            </w:pPr>
            <w:r w:rsidRPr="008B4C0D">
              <w:rPr>
                <w:rFonts w:ascii="Arial" w:hAnsi="Arial"/>
                <w:sz w:val="26"/>
                <w:szCs w:val="26"/>
                <w:rtl/>
              </w:rPr>
              <w:t>2</w:t>
            </w:r>
            <w:r w:rsidRPr="008B4C0D">
              <w:rPr>
                <w:rFonts w:ascii="Arial" w:hAnsi="Arial" w:hint="cs"/>
                <w:sz w:val="26"/>
                <w:szCs w:val="26"/>
                <w:rtl/>
              </w:rPr>
              <w:t>.</w:t>
            </w:r>
            <w:r w:rsidRPr="008B4C0D">
              <w:rPr>
                <w:rFonts w:ascii="Arial" w:hAnsi="Arial"/>
                <w:sz w:val="26"/>
                <w:szCs w:val="26"/>
                <w:rtl/>
              </w:rPr>
              <w:t>האדי עאמר</w:t>
            </w:r>
          </w:p>
        </w:tc>
      </w:tr>
      <w:tr w:rsidR="008C3F01" w:rsidRPr="008B4C0D" w14:paraId="5E77EA50" w14:textId="77777777" w:rsidTr="008C3F01">
        <w:trPr>
          <w:trHeight w:val="355"/>
          <w:jc w:val="center"/>
        </w:trPr>
        <w:tc>
          <w:tcPr>
            <w:tcW w:w="923" w:type="dxa"/>
            <w:tcBorders>
              <w:top w:val="nil"/>
              <w:left w:val="nil"/>
              <w:bottom w:val="nil"/>
              <w:right w:val="nil"/>
            </w:tcBorders>
            <w:shd w:val="clear" w:color="auto" w:fill="auto"/>
          </w:tcPr>
          <w:p w14:paraId="404271AA" w14:textId="77777777" w:rsidR="008C3F01" w:rsidRPr="008B4C0D" w:rsidRDefault="008C3F01" w:rsidP="008C3F01">
            <w:pPr>
              <w:jc w:val="both"/>
              <w:rPr>
                <w:rFonts w:ascii="Arial" w:hAnsi="Arial"/>
                <w:sz w:val="26"/>
                <w:szCs w:val="26"/>
                <w:rtl/>
              </w:rPr>
            </w:pPr>
          </w:p>
        </w:tc>
        <w:tc>
          <w:tcPr>
            <w:tcW w:w="4126" w:type="dxa"/>
            <w:tcBorders>
              <w:top w:val="nil"/>
              <w:left w:val="nil"/>
              <w:bottom w:val="nil"/>
              <w:right w:val="nil"/>
            </w:tcBorders>
            <w:shd w:val="clear" w:color="auto" w:fill="auto"/>
          </w:tcPr>
          <w:p w14:paraId="500F5AE7" w14:textId="77777777" w:rsidR="008C3F01" w:rsidRPr="008B4C0D" w:rsidRDefault="008C3F01" w:rsidP="008C3F01">
            <w:pPr>
              <w:jc w:val="both"/>
              <w:rPr>
                <w:sz w:val="26"/>
                <w:szCs w:val="26"/>
                <w:rtl/>
              </w:rPr>
            </w:pPr>
          </w:p>
        </w:tc>
        <w:tc>
          <w:tcPr>
            <w:tcW w:w="3771" w:type="dxa"/>
            <w:tcBorders>
              <w:top w:val="nil"/>
              <w:left w:val="nil"/>
              <w:bottom w:val="nil"/>
              <w:right w:val="nil"/>
            </w:tcBorders>
            <w:shd w:val="clear" w:color="auto" w:fill="auto"/>
          </w:tcPr>
          <w:p w14:paraId="781F2914" w14:textId="77777777" w:rsidR="008C3F01" w:rsidRPr="008B4C0D" w:rsidRDefault="008C3F01" w:rsidP="008C3F01">
            <w:pPr>
              <w:jc w:val="right"/>
              <w:rPr>
                <w:rFonts w:ascii="Arial" w:hAnsi="Arial"/>
                <w:sz w:val="26"/>
                <w:szCs w:val="26"/>
              </w:rPr>
            </w:pPr>
          </w:p>
        </w:tc>
      </w:tr>
    </w:tbl>
    <w:p w14:paraId="3964D741" w14:textId="77777777" w:rsidR="008C3F01" w:rsidRPr="008B4C0D" w:rsidRDefault="008C3F01" w:rsidP="008C3F01">
      <w:pPr>
        <w:rPr>
          <w:rtl/>
        </w:rPr>
      </w:pPr>
      <w:r w:rsidRPr="008B4C0D">
        <w:rPr>
          <w:rFonts w:hint="cs"/>
          <w:rtl/>
        </w:rPr>
        <w:t>נוכחים:</w:t>
      </w:r>
    </w:p>
    <w:p w14:paraId="6CA2AA6F" w14:textId="77777777" w:rsidR="008C3F01" w:rsidRPr="008B4C0D" w:rsidRDefault="008C3F01" w:rsidP="008C3F01">
      <w:pPr>
        <w:rPr>
          <w:rtl/>
        </w:rPr>
      </w:pPr>
      <w:bookmarkStart w:id="2" w:name="FirstLawyer"/>
      <w:r w:rsidRPr="008B4C0D">
        <w:rPr>
          <w:rFonts w:hint="cs"/>
          <w:rtl/>
        </w:rPr>
        <w:t>ב"כ</w:t>
      </w:r>
      <w:bookmarkEnd w:id="2"/>
      <w:r w:rsidRPr="008B4C0D">
        <w:rPr>
          <w:rFonts w:hint="cs"/>
          <w:rtl/>
        </w:rPr>
        <w:t xml:space="preserve"> המאשימה עו"ד נעמי מששה</w:t>
      </w:r>
    </w:p>
    <w:p w14:paraId="37714BA7" w14:textId="77777777" w:rsidR="008C3F01" w:rsidRPr="008B4C0D" w:rsidRDefault="008C3F01" w:rsidP="008C3F01">
      <w:pPr>
        <w:rPr>
          <w:rtl/>
        </w:rPr>
      </w:pPr>
      <w:r w:rsidRPr="008B4C0D">
        <w:rPr>
          <w:rFonts w:hint="cs"/>
          <w:rtl/>
        </w:rPr>
        <w:t>ב"כ נאשם 1 עו"ד שרון גואטה</w:t>
      </w:r>
    </w:p>
    <w:p w14:paraId="10700BBB" w14:textId="77777777" w:rsidR="008C3F01" w:rsidRPr="008B4C0D" w:rsidRDefault="008C3F01" w:rsidP="008C3F01">
      <w:r w:rsidRPr="008B4C0D">
        <w:rPr>
          <w:rFonts w:hint="cs"/>
          <w:rtl/>
        </w:rPr>
        <w:t>נאשם 1 - בעצמו</w:t>
      </w:r>
    </w:p>
    <w:p w14:paraId="357EB20B" w14:textId="77777777" w:rsidR="008C3F01" w:rsidRPr="008B4C0D" w:rsidRDefault="008C3F01" w:rsidP="008C3F0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3F01" w14:paraId="4E4DF86D" w14:textId="77777777" w:rsidTr="008C3F01">
        <w:trPr>
          <w:trHeight w:val="355"/>
          <w:jc w:val="center"/>
        </w:trPr>
        <w:tc>
          <w:tcPr>
            <w:tcW w:w="8820" w:type="dxa"/>
            <w:tcBorders>
              <w:top w:val="nil"/>
              <w:left w:val="nil"/>
              <w:bottom w:val="nil"/>
              <w:right w:val="nil"/>
            </w:tcBorders>
            <w:shd w:val="clear" w:color="auto" w:fill="auto"/>
          </w:tcPr>
          <w:p w14:paraId="588110CF" w14:textId="77777777" w:rsidR="00535D51" w:rsidRDefault="00535D51" w:rsidP="008C3F01">
            <w:pPr>
              <w:jc w:val="center"/>
              <w:rPr>
                <w:rFonts w:ascii="Arial" w:hAnsi="Arial"/>
                <w:b/>
                <w:bCs/>
                <w:sz w:val="32"/>
                <w:szCs w:val="32"/>
                <w:rtl/>
              </w:rPr>
            </w:pPr>
          </w:p>
          <w:p w14:paraId="6A6EB39B" w14:textId="77777777" w:rsidR="008B4C0D" w:rsidRDefault="008B4C0D" w:rsidP="008C3F01">
            <w:pPr>
              <w:jc w:val="center"/>
              <w:rPr>
                <w:rFonts w:ascii="Arial" w:hAnsi="Arial"/>
                <w:b/>
                <w:bCs/>
                <w:sz w:val="32"/>
                <w:szCs w:val="32"/>
                <w:rtl/>
              </w:rPr>
            </w:pPr>
          </w:p>
          <w:p w14:paraId="33ED3C6B" w14:textId="77777777" w:rsidR="00535D51" w:rsidRDefault="00535D51" w:rsidP="008B4C0D">
            <w:pPr>
              <w:jc w:val="center"/>
              <w:rPr>
                <w:rFonts w:ascii="Arial" w:hAnsi="Arial"/>
                <w:sz w:val="32"/>
                <w:szCs w:val="32"/>
                <w:rtl/>
              </w:rPr>
            </w:pPr>
            <w:bookmarkStart w:id="3" w:name="PsakDin"/>
            <w:bookmarkStart w:id="4" w:name="LawTable"/>
            <w:bookmarkEnd w:id="4"/>
          </w:p>
          <w:p w14:paraId="2F33990F" w14:textId="77777777" w:rsidR="00535D51" w:rsidRPr="00535D51" w:rsidRDefault="00535D51" w:rsidP="00535D51">
            <w:pPr>
              <w:spacing w:after="120" w:line="240" w:lineRule="exact"/>
              <w:ind w:left="283" w:hanging="283"/>
              <w:jc w:val="both"/>
              <w:rPr>
                <w:rFonts w:ascii="FrankRuehl" w:hAnsi="FrankRuehl" w:cs="FrankRuehl"/>
                <w:rtl/>
              </w:rPr>
            </w:pPr>
          </w:p>
          <w:p w14:paraId="69839329" w14:textId="77777777" w:rsidR="00535D51" w:rsidRPr="00535D51" w:rsidRDefault="00535D51" w:rsidP="00535D51">
            <w:pPr>
              <w:spacing w:after="120" w:line="240" w:lineRule="exact"/>
              <w:ind w:left="283" w:hanging="283"/>
              <w:jc w:val="both"/>
              <w:rPr>
                <w:rFonts w:ascii="FrankRuehl" w:hAnsi="FrankRuehl" w:cs="FrankRuehl"/>
                <w:rtl/>
              </w:rPr>
            </w:pPr>
            <w:r w:rsidRPr="00535D51">
              <w:rPr>
                <w:rFonts w:ascii="FrankRuehl" w:hAnsi="FrankRuehl" w:cs="FrankRuehl"/>
                <w:rtl/>
              </w:rPr>
              <w:t xml:space="preserve">חקיקה שאוזכרה: </w:t>
            </w:r>
          </w:p>
          <w:p w14:paraId="77B18D5E" w14:textId="77777777" w:rsidR="00535D51" w:rsidRPr="00535D51" w:rsidRDefault="00535D51" w:rsidP="00535D51">
            <w:pPr>
              <w:spacing w:after="120" w:line="240" w:lineRule="exact"/>
              <w:ind w:left="283" w:hanging="283"/>
              <w:jc w:val="both"/>
              <w:rPr>
                <w:rFonts w:ascii="FrankRuehl" w:hAnsi="FrankRuehl" w:cs="FrankRuehl"/>
                <w:rtl/>
              </w:rPr>
            </w:pPr>
            <w:hyperlink r:id="rId7" w:history="1">
              <w:r w:rsidRPr="00535D51">
                <w:rPr>
                  <w:rFonts w:ascii="FrankRuehl" w:hAnsi="FrankRuehl" w:cs="FrankRuehl"/>
                  <w:color w:val="0000FF"/>
                  <w:u w:val="single"/>
                  <w:rtl/>
                </w:rPr>
                <w:t>חוק העונשין, תשל"ז-1977</w:t>
              </w:r>
            </w:hyperlink>
            <w:r w:rsidRPr="00535D51">
              <w:rPr>
                <w:rFonts w:ascii="FrankRuehl" w:hAnsi="FrankRuehl" w:cs="FrankRuehl"/>
                <w:rtl/>
              </w:rPr>
              <w:t xml:space="preserve">: סע'  </w:t>
            </w:r>
            <w:hyperlink r:id="rId8" w:history="1">
              <w:r w:rsidRPr="00535D51">
                <w:rPr>
                  <w:rFonts w:ascii="FrankRuehl" w:hAnsi="FrankRuehl" w:cs="FrankRuehl"/>
                  <w:color w:val="0000FF"/>
                  <w:u w:val="single"/>
                  <w:rtl/>
                </w:rPr>
                <w:t>144(א)</w:t>
              </w:r>
            </w:hyperlink>
          </w:p>
          <w:p w14:paraId="71894A8D" w14:textId="77777777" w:rsidR="00535D51" w:rsidRPr="00535D51" w:rsidRDefault="00535D51" w:rsidP="00535D51">
            <w:pPr>
              <w:spacing w:after="120" w:line="240" w:lineRule="exact"/>
              <w:ind w:left="283" w:hanging="283"/>
              <w:jc w:val="both"/>
              <w:rPr>
                <w:rFonts w:ascii="FrankRuehl" w:hAnsi="FrankRuehl" w:cs="FrankRuehl"/>
                <w:rtl/>
              </w:rPr>
            </w:pPr>
          </w:p>
          <w:p w14:paraId="3AFE09B8" w14:textId="77777777" w:rsidR="00535D51" w:rsidRPr="00535D51" w:rsidRDefault="00535D51" w:rsidP="008B4C0D">
            <w:pPr>
              <w:jc w:val="center"/>
              <w:rPr>
                <w:rFonts w:ascii="Arial" w:hAnsi="Arial"/>
                <w:sz w:val="32"/>
                <w:szCs w:val="32"/>
                <w:rtl/>
              </w:rPr>
            </w:pPr>
            <w:bookmarkStart w:id="5" w:name="LawTable_End"/>
            <w:bookmarkEnd w:id="5"/>
          </w:p>
          <w:p w14:paraId="3EC7B37B" w14:textId="77777777" w:rsidR="00B76AC8" w:rsidRPr="00B76AC8" w:rsidRDefault="00B76AC8" w:rsidP="008B4C0D">
            <w:pPr>
              <w:jc w:val="center"/>
              <w:rPr>
                <w:rFonts w:ascii="Arial" w:hAnsi="Arial"/>
                <w:sz w:val="32"/>
                <w:szCs w:val="32"/>
                <w:rtl/>
              </w:rPr>
            </w:pPr>
          </w:p>
          <w:p w14:paraId="0E3D5525" w14:textId="77777777" w:rsidR="008B4C0D" w:rsidRPr="008B4C0D" w:rsidRDefault="008B4C0D" w:rsidP="008B4C0D">
            <w:pPr>
              <w:jc w:val="center"/>
              <w:rPr>
                <w:rFonts w:ascii="Arial" w:hAnsi="Arial"/>
                <w:sz w:val="32"/>
                <w:szCs w:val="32"/>
                <w:rtl/>
              </w:rPr>
            </w:pPr>
          </w:p>
          <w:p w14:paraId="61F82FA6" w14:textId="77777777" w:rsidR="008B4C0D" w:rsidRPr="008B4C0D" w:rsidRDefault="008B4C0D" w:rsidP="008B4C0D">
            <w:pPr>
              <w:jc w:val="center"/>
              <w:rPr>
                <w:rFonts w:ascii="Arial" w:hAnsi="Arial"/>
                <w:b/>
                <w:bCs/>
                <w:sz w:val="32"/>
                <w:szCs w:val="32"/>
                <w:u w:val="single"/>
                <w:rtl/>
              </w:rPr>
            </w:pPr>
            <w:r w:rsidRPr="008B4C0D">
              <w:rPr>
                <w:rFonts w:ascii="Arial" w:hAnsi="Arial"/>
                <w:b/>
                <w:bCs/>
                <w:sz w:val="32"/>
                <w:szCs w:val="32"/>
                <w:u w:val="single"/>
                <w:rtl/>
              </w:rPr>
              <w:t>גזר דין</w:t>
            </w:r>
          </w:p>
          <w:bookmarkEnd w:id="3"/>
          <w:p w14:paraId="0948F0E3" w14:textId="77777777" w:rsidR="008C3F01" w:rsidRPr="008C3F01" w:rsidRDefault="008C3F01" w:rsidP="008C3F01">
            <w:pPr>
              <w:jc w:val="center"/>
              <w:rPr>
                <w:rFonts w:ascii="Arial" w:hAnsi="Arial"/>
                <w:sz w:val="32"/>
                <w:szCs w:val="32"/>
                <w:u w:val="single"/>
                <w:rtl/>
              </w:rPr>
            </w:pPr>
            <w:r w:rsidRPr="008C3F01">
              <w:rPr>
                <w:rFonts w:ascii="Arial" w:hAnsi="Arial" w:hint="cs"/>
                <w:sz w:val="32"/>
                <w:szCs w:val="32"/>
                <w:u w:val="single"/>
                <w:rtl/>
              </w:rPr>
              <w:t>(נאשם 1)</w:t>
            </w:r>
          </w:p>
        </w:tc>
      </w:tr>
      <w:bookmarkEnd w:id="0"/>
    </w:tbl>
    <w:p w14:paraId="20403DC6" w14:textId="77777777" w:rsidR="008C3F01" w:rsidRPr="00D16BE6" w:rsidRDefault="008C3F01" w:rsidP="008C3F01">
      <w:pPr>
        <w:rPr>
          <w:rFonts w:ascii="Arial" w:hAnsi="Arial"/>
          <w:sz w:val="26"/>
          <w:szCs w:val="26"/>
          <w:rtl/>
        </w:rPr>
      </w:pPr>
    </w:p>
    <w:p w14:paraId="5B8E960B" w14:textId="77777777" w:rsidR="008C3F01" w:rsidRDefault="008C3F01" w:rsidP="008C3F01">
      <w:pPr>
        <w:pStyle w:val="a9"/>
        <w:numPr>
          <w:ilvl w:val="0"/>
          <w:numId w:val="1"/>
        </w:numPr>
        <w:spacing w:line="360" w:lineRule="auto"/>
        <w:ind w:left="0" w:firstLine="0"/>
        <w:jc w:val="both"/>
        <w:rPr>
          <w:rFonts w:ascii="Arial" w:hAnsi="Arial"/>
        </w:rPr>
      </w:pPr>
      <w:bookmarkStart w:id="6" w:name="ABSTRACT_START"/>
      <w:bookmarkEnd w:id="6"/>
      <w:r>
        <w:rPr>
          <w:rFonts w:ascii="Arial" w:hAnsi="Arial" w:hint="cs"/>
          <w:rtl/>
        </w:rPr>
        <w:t xml:space="preserve">נאשם 1, סאדן עאמר יליד 1981, הורשע על יסוד הודאתו בעובדות כתב אישום מתוקן, במסגרת הסדר דיוני, בביצוע עבירה של החזקת נשק ותחמושת, לפי </w:t>
      </w:r>
      <w:hyperlink r:id="rId9" w:history="1">
        <w:r w:rsidR="00B76AC8" w:rsidRPr="00B76AC8">
          <w:rPr>
            <w:rFonts w:ascii="Arial" w:hAnsi="Arial"/>
            <w:color w:val="0000FF"/>
            <w:u w:val="single"/>
            <w:rtl/>
          </w:rPr>
          <w:t>סעיף 144(א)</w:t>
        </w:r>
      </w:hyperlink>
      <w:r>
        <w:rPr>
          <w:rFonts w:ascii="Arial" w:hAnsi="Arial" w:hint="cs"/>
          <w:rtl/>
        </w:rPr>
        <w:t xml:space="preserve"> רישא וסיפא ל</w:t>
      </w:r>
      <w:hyperlink r:id="rId10" w:history="1">
        <w:r w:rsidR="008B4C0D" w:rsidRPr="008B4C0D">
          <w:rPr>
            <w:rFonts w:ascii="Arial" w:hAnsi="Arial"/>
            <w:color w:val="0000FF"/>
            <w:u w:val="single"/>
            <w:rtl/>
          </w:rPr>
          <w:t>חוק העונשין</w:t>
        </w:r>
      </w:hyperlink>
      <w:r>
        <w:rPr>
          <w:rFonts w:ascii="Arial" w:hAnsi="Arial" w:hint="cs"/>
          <w:rtl/>
        </w:rPr>
        <w:t>, התשל"ז-1977.</w:t>
      </w:r>
    </w:p>
    <w:p w14:paraId="081EF7EB" w14:textId="77777777" w:rsidR="008C3F01" w:rsidRDefault="008C3F01" w:rsidP="008C3F01">
      <w:pPr>
        <w:pStyle w:val="a9"/>
        <w:spacing w:line="360" w:lineRule="auto"/>
        <w:ind w:left="0"/>
        <w:jc w:val="both"/>
        <w:rPr>
          <w:rFonts w:ascii="Arial" w:hAnsi="Arial"/>
        </w:rPr>
      </w:pPr>
    </w:p>
    <w:p w14:paraId="2719B6A2" w14:textId="77777777" w:rsidR="008C3F01" w:rsidRDefault="008C3F01" w:rsidP="008C3F01">
      <w:pPr>
        <w:pStyle w:val="a9"/>
        <w:spacing w:line="360" w:lineRule="auto"/>
        <w:ind w:left="0" w:firstLine="720"/>
        <w:jc w:val="both"/>
        <w:rPr>
          <w:rFonts w:ascii="Arial" w:hAnsi="Arial"/>
          <w:rtl/>
        </w:rPr>
      </w:pPr>
      <w:bookmarkStart w:id="7" w:name="ABSTRACT_END"/>
      <w:bookmarkEnd w:id="7"/>
      <w:r>
        <w:rPr>
          <w:rFonts w:ascii="Arial" w:hAnsi="Arial" w:hint="cs"/>
          <w:rtl/>
        </w:rPr>
        <w:lastRenderedPageBreak/>
        <w:t xml:space="preserve">לפי עובדות כתב האישום שתוקן בעניינם של שני הנאשמים, ביום 1.12.2015 בשעה 12:40 או בסמוך החזיק נאשם 1 ברובה ארוך קנה מסוג קלצ'ניקוב (להלן </w:t>
      </w:r>
      <w:r>
        <w:rPr>
          <w:rFonts w:ascii="Arial" w:hAnsi="Arial"/>
          <w:rtl/>
        </w:rPr>
        <w:t>–</w:t>
      </w:r>
      <w:r>
        <w:rPr>
          <w:rFonts w:ascii="Arial" w:hAnsi="Arial" w:hint="cs"/>
          <w:rtl/>
        </w:rPr>
        <w:t xml:space="preserve"> "</w:t>
      </w:r>
      <w:r>
        <w:rPr>
          <w:rFonts w:ascii="Arial" w:hAnsi="Arial" w:hint="cs"/>
          <w:b/>
          <w:bCs/>
          <w:rtl/>
        </w:rPr>
        <w:t>הרובה</w:t>
      </w:r>
      <w:r>
        <w:rPr>
          <w:rFonts w:ascii="Arial" w:hAnsi="Arial" w:hint="cs"/>
          <w:rtl/>
        </w:rPr>
        <w:t xml:space="preserve">") וכן במחסנית ובה 18 כדורי 7.62 מ"מ התואמים לרובה ובמחסנית נוספת ובה 13 כדורי 9 מ"מ התואמים לאקדח. </w:t>
      </w:r>
    </w:p>
    <w:p w14:paraId="20802A8A" w14:textId="77777777" w:rsidR="008C3F01" w:rsidRDefault="008C3F01" w:rsidP="008C3F01">
      <w:pPr>
        <w:pStyle w:val="a9"/>
        <w:spacing w:line="360" w:lineRule="auto"/>
        <w:ind w:left="0" w:firstLine="720"/>
        <w:jc w:val="both"/>
        <w:rPr>
          <w:rFonts w:ascii="Arial" w:hAnsi="Arial"/>
          <w:rtl/>
        </w:rPr>
      </w:pPr>
    </w:p>
    <w:p w14:paraId="6FECA0C2" w14:textId="77777777" w:rsidR="008C3F01" w:rsidRDefault="008C3F01" w:rsidP="008C3F01">
      <w:pPr>
        <w:pStyle w:val="a9"/>
        <w:spacing w:line="360" w:lineRule="auto"/>
        <w:ind w:left="0" w:firstLine="720"/>
        <w:jc w:val="both"/>
        <w:rPr>
          <w:rFonts w:ascii="Arial" w:hAnsi="Arial"/>
        </w:rPr>
      </w:pPr>
      <w:r>
        <w:rPr>
          <w:rFonts w:ascii="Arial" w:hAnsi="Arial" w:hint="cs"/>
          <w:rtl/>
        </w:rPr>
        <w:t>נאשם 2 סייע להחזקת הנשק בכך שאִפשר את החזקת הנשק ופעל למנוע גילויו.</w:t>
      </w:r>
    </w:p>
    <w:p w14:paraId="63E02E42" w14:textId="77777777" w:rsidR="008C3F01" w:rsidRDefault="008C3F01" w:rsidP="008C3F01">
      <w:pPr>
        <w:pStyle w:val="a9"/>
        <w:spacing w:line="360" w:lineRule="auto"/>
        <w:ind w:left="0" w:firstLine="720"/>
        <w:jc w:val="both"/>
        <w:rPr>
          <w:rFonts w:ascii="Arial" w:hAnsi="Arial"/>
          <w:rtl/>
        </w:rPr>
      </w:pPr>
    </w:p>
    <w:p w14:paraId="2A5B7684" w14:textId="77777777" w:rsidR="008C3F01" w:rsidRDefault="008C3F01" w:rsidP="008C3F01">
      <w:pPr>
        <w:pStyle w:val="a9"/>
        <w:numPr>
          <w:ilvl w:val="0"/>
          <w:numId w:val="1"/>
        </w:numPr>
        <w:spacing w:line="360" w:lineRule="auto"/>
        <w:ind w:left="0" w:firstLine="0"/>
        <w:jc w:val="both"/>
        <w:rPr>
          <w:rFonts w:ascii="Arial" w:hAnsi="Arial"/>
        </w:rPr>
      </w:pPr>
      <w:r>
        <w:rPr>
          <w:rFonts w:ascii="Arial" w:hAnsi="Arial" w:hint="cs"/>
          <w:rtl/>
        </w:rPr>
        <w:t>כבר עתה יצוין כי בעניינו של נאשם 2, שהורשע בהתאם להודאתו בעובדות כתב האישום המתוקן בביצוע עבירה של סיוע להחזקת נשק, נתקשרו הצדדים בהסדר טיעון "סגור" שכובד על ידי, והוא נדון לעונש של 4 חודשי מאסר בפועל לריצוי בעבודות שירות, מאסר על-תנאי וקנס.</w:t>
      </w:r>
    </w:p>
    <w:p w14:paraId="11DE65F2" w14:textId="77777777" w:rsidR="008C3F01" w:rsidRDefault="008C3F01" w:rsidP="008C3F01">
      <w:pPr>
        <w:pStyle w:val="a9"/>
        <w:spacing w:line="360" w:lineRule="auto"/>
        <w:ind w:left="0"/>
        <w:jc w:val="both"/>
        <w:rPr>
          <w:rFonts w:ascii="Arial" w:hAnsi="Arial"/>
        </w:rPr>
      </w:pPr>
    </w:p>
    <w:p w14:paraId="1BF9AD0A" w14:textId="77777777" w:rsidR="008C3F01" w:rsidRDefault="008C3F01" w:rsidP="008C3F01">
      <w:pPr>
        <w:pStyle w:val="a9"/>
        <w:numPr>
          <w:ilvl w:val="0"/>
          <w:numId w:val="1"/>
        </w:numPr>
        <w:spacing w:line="360" w:lineRule="auto"/>
        <w:ind w:left="0" w:firstLine="0"/>
        <w:jc w:val="both"/>
        <w:rPr>
          <w:rFonts w:ascii="Arial" w:hAnsi="Arial"/>
        </w:rPr>
      </w:pPr>
      <w:r>
        <w:rPr>
          <w:rFonts w:ascii="Arial" w:hAnsi="Arial" w:hint="cs"/>
          <w:rtl/>
        </w:rPr>
        <w:t xml:space="preserve">במסגרת ההסדר נערך תסקיר מבחן בעניינו של הנאשם. מהתסקיר עולה כי הנאשם נשוי ואב לשני ילדים, עובד כנהג חלוקה. הנאשם סיים 12 שנות לימוד עם בגרות מלאה ובהמשך רכש תעודת הנדסאי בניין, תחום בו לא עבד עקב היותו קורבן לתקיפה קשה שסיכנה את חייו. זמן קצר לפני מעורבותו בעבירה הנוכחית אובחנה אצל הנאשם בעיה רפואית בתפקוד הלב, הוא עבר טיפולים בקשר לכך ועודנו מטופל. הנאשם התחתן לראשונה בגיל 21 ועקב התנהגותו האלימה כלפי אשתו הראשונה השניים התגרשו. הנאשם שומר על קשר עם בתו בת ה-11 מנישואיו הראשונים. </w:t>
      </w:r>
    </w:p>
    <w:p w14:paraId="54700DFB" w14:textId="77777777" w:rsidR="008C3F01" w:rsidRDefault="008C3F01" w:rsidP="008C3F01">
      <w:pPr>
        <w:pStyle w:val="a9"/>
        <w:spacing w:line="360" w:lineRule="auto"/>
        <w:ind w:left="0"/>
        <w:jc w:val="both"/>
        <w:rPr>
          <w:rFonts w:ascii="Arial" w:hAnsi="Arial"/>
          <w:rtl/>
        </w:rPr>
      </w:pPr>
    </w:p>
    <w:p w14:paraId="69D53C9C" w14:textId="77777777" w:rsidR="008C3F01" w:rsidRDefault="008C3F01" w:rsidP="008C3F01">
      <w:pPr>
        <w:pStyle w:val="a9"/>
        <w:spacing w:line="360" w:lineRule="auto"/>
        <w:ind w:left="0" w:firstLine="720"/>
        <w:jc w:val="both"/>
        <w:rPr>
          <w:rFonts w:ascii="Arial" w:hAnsi="Arial"/>
          <w:rtl/>
        </w:rPr>
      </w:pPr>
      <w:r>
        <w:rPr>
          <w:rFonts w:ascii="Arial" w:hAnsi="Arial" w:hint="cs"/>
          <w:rtl/>
        </w:rPr>
        <w:t>שירות המבחן התרשם מאדם נורמטיבי דרך כלל, שפרט להרשעתו בעבר בעבירות אלימות כלפי אשתו הראשונה (בגינה ריצה עונש מאסר בן 15 חודשים), וכן בעבירות בניה ובהעסקת שב"ח, לא הסתבך בפלילים בשנים האחרונות. הנאשם שולב בקבוצה טיפולית בחסות שירות המבחן, נכח ברוב המפגשים אך הדף ניסיונות לעזור לו ושלל בעייתיות בהתנהגותו ובחירותיו. לדברי הנאשם הצטייד יחד עם אחיו בנשק לאחר שהותקף על ידי אחר, הושפל והיה בסערת רגשות. נערכה סולחה ליישוב הסכסוך. הנאשם התקשה להתייחס לחומרה שבהחזקת הנשק אך ביטא עמדות חברתיות השוללות החזקת נשק ושירות המבחן סבור כי להליך המשפטי נגדו אפקט מרתיע.</w:t>
      </w:r>
    </w:p>
    <w:p w14:paraId="34831220" w14:textId="77777777" w:rsidR="008C3F01" w:rsidRDefault="008C3F01" w:rsidP="008C3F01">
      <w:pPr>
        <w:pStyle w:val="a9"/>
        <w:spacing w:line="360" w:lineRule="auto"/>
        <w:ind w:left="0" w:firstLine="720"/>
        <w:jc w:val="both"/>
        <w:rPr>
          <w:rFonts w:ascii="Arial" w:hAnsi="Arial"/>
          <w:rtl/>
        </w:rPr>
      </w:pPr>
    </w:p>
    <w:p w14:paraId="235B2D38" w14:textId="77777777" w:rsidR="008C3F01" w:rsidRDefault="008C3F01" w:rsidP="008C3F01">
      <w:pPr>
        <w:pStyle w:val="a9"/>
        <w:spacing w:line="360" w:lineRule="auto"/>
        <w:ind w:left="0" w:firstLine="720"/>
        <w:jc w:val="both"/>
        <w:rPr>
          <w:rFonts w:ascii="Arial" w:hAnsi="Arial"/>
        </w:rPr>
      </w:pPr>
      <w:r>
        <w:rPr>
          <w:rFonts w:ascii="Arial" w:hAnsi="Arial" w:hint="cs"/>
          <w:rtl/>
        </w:rPr>
        <w:t>לדעת שירות המבחן רמת הסיכון במצבו להתנהגות אלימה הינה נמוכה, ואם יבצע עבירת אלימות חומרתה תהיה בינונית. כיוון שזו לנאשם עבירתו הראשונה מזה תשע שנים המליץ שירות המבחן לגזור עליו עונש מאסר שירוצה בעבודות שירות.</w:t>
      </w:r>
    </w:p>
    <w:p w14:paraId="7BE27DC7" w14:textId="77777777" w:rsidR="008C3F01" w:rsidRDefault="008C3F01" w:rsidP="008C3F01">
      <w:pPr>
        <w:pStyle w:val="a9"/>
        <w:spacing w:line="360" w:lineRule="auto"/>
        <w:ind w:left="0"/>
        <w:jc w:val="both"/>
        <w:rPr>
          <w:rFonts w:ascii="Arial" w:hAnsi="Arial"/>
        </w:rPr>
      </w:pPr>
    </w:p>
    <w:p w14:paraId="3B004397" w14:textId="77777777" w:rsidR="008C3F01" w:rsidRPr="00615ED2" w:rsidRDefault="008C3F01" w:rsidP="008C3F01">
      <w:pPr>
        <w:pStyle w:val="a9"/>
        <w:numPr>
          <w:ilvl w:val="0"/>
          <w:numId w:val="1"/>
        </w:numPr>
        <w:spacing w:line="360" w:lineRule="auto"/>
        <w:ind w:left="0" w:firstLine="0"/>
        <w:jc w:val="both"/>
        <w:rPr>
          <w:rFonts w:ascii="Arial" w:hAnsi="Arial"/>
          <w:rtl/>
        </w:rPr>
      </w:pPr>
      <w:r>
        <w:rPr>
          <w:rFonts w:ascii="Arial" w:hAnsi="Arial" w:hint="cs"/>
          <w:rtl/>
        </w:rPr>
        <w:t>בדיון שהתקיים ביום 5.7.2015 לפני כב' השופטת מרב גרינברג, מפאת יציאתי לשבתון, נעתר בית המשפט לבקשת הנאשם והורה לערוך לו חוות דעת לעניין התאמתו לריצוי עונש מאסר בעבודת שירות. יוער כי המאשימה התנגדה לכך ובית המשפט הבהיר לנאשם כי אין בהפנייתו לממונה כדי לקבוע כל מסמרות או לטפח ציפיות שווא אצל הנאשם.</w:t>
      </w:r>
    </w:p>
    <w:p w14:paraId="142DBAEB" w14:textId="77777777" w:rsidR="008C3F01" w:rsidRDefault="008C3F01" w:rsidP="008C3F01">
      <w:pPr>
        <w:pStyle w:val="a9"/>
        <w:spacing w:line="360" w:lineRule="auto"/>
        <w:ind w:left="0" w:firstLine="720"/>
        <w:jc w:val="both"/>
        <w:rPr>
          <w:rFonts w:ascii="Arial" w:hAnsi="Arial"/>
          <w:rtl/>
        </w:rPr>
      </w:pPr>
    </w:p>
    <w:p w14:paraId="396892A7" w14:textId="77777777" w:rsidR="008C3F01" w:rsidRDefault="008C3F01" w:rsidP="008C3F01">
      <w:pPr>
        <w:pStyle w:val="a9"/>
        <w:spacing w:line="360" w:lineRule="auto"/>
        <w:ind w:left="0" w:firstLine="720"/>
        <w:jc w:val="both"/>
        <w:rPr>
          <w:rFonts w:ascii="Arial" w:hAnsi="Arial"/>
          <w:rtl/>
        </w:rPr>
      </w:pPr>
      <w:r>
        <w:rPr>
          <w:rFonts w:ascii="Arial" w:hAnsi="Arial" w:hint="cs"/>
          <w:rtl/>
        </w:rPr>
        <w:t>הממונה על עבודות השירות מצא את הנאשם מתאים לבצע עבודת שירות.</w:t>
      </w:r>
    </w:p>
    <w:p w14:paraId="7BCEDCDE" w14:textId="77777777" w:rsidR="008C3F01" w:rsidRDefault="008C3F01" w:rsidP="008C3F01">
      <w:pPr>
        <w:spacing w:line="360" w:lineRule="auto"/>
        <w:jc w:val="both"/>
        <w:rPr>
          <w:rFonts w:ascii="Arial" w:hAnsi="Arial"/>
          <w:rtl/>
        </w:rPr>
      </w:pPr>
    </w:p>
    <w:p w14:paraId="49FC266F" w14:textId="77777777" w:rsidR="008C3F01" w:rsidRDefault="008C3F01" w:rsidP="008C3F01">
      <w:pPr>
        <w:pStyle w:val="a9"/>
        <w:numPr>
          <w:ilvl w:val="0"/>
          <w:numId w:val="1"/>
        </w:numPr>
        <w:spacing w:line="360" w:lineRule="auto"/>
        <w:ind w:left="0" w:firstLine="0"/>
        <w:jc w:val="both"/>
        <w:rPr>
          <w:rFonts w:ascii="Arial" w:hAnsi="Arial"/>
        </w:rPr>
      </w:pPr>
      <w:r>
        <w:rPr>
          <w:rFonts w:ascii="Arial" w:hAnsi="Arial" w:hint="cs"/>
          <w:rtl/>
        </w:rPr>
        <w:t>ב"כ המאשימה, עו"ד עדי ערד, עמדה על חומרתה הרבה של עבירת החזקת הנשק, עתרה למתחם עונש הולם שנע בין שנתיים מאסר לארבע שנות מאסר, ובקשה לגזור על הנאשם עונש בתחתית המתחם.</w:t>
      </w:r>
    </w:p>
    <w:p w14:paraId="695B5ED7" w14:textId="77777777" w:rsidR="008C3F01" w:rsidRDefault="008C3F01" w:rsidP="008C3F01">
      <w:pPr>
        <w:pStyle w:val="a9"/>
        <w:spacing w:line="360" w:lineRule="auto"/>
        <w:ind w:left="0"/>
        <w:jc w:val="both"/>
        <w:rPr>
          <w:rFonts w:ascii="Arial" w:hAnsi="Arial"/>
        </w:rPr>
      </w:pPr>
    </w:p>
    <w:p w14:paraId="71525B3C" w14:textId="77777777" w:rsidR="008C3F01" w:rsidRDefault="008C3F01" w:rsidP="008C3F01">
      <w:pPr>
        <w:pStyle w:val="a9"/>
        <w:numPr>
          <w:ilvl w:val="0"/>
          <w:numId w:val="1"/>
        </w:numPr>
        <w:spacing w:line="360" w:lineRule="auto"/>
        <w:ind w:left="0" w:firstLine="0"/>
        <w:jc w:val="both"/>
        <w:rPr>
          <w:rFonts w:ascii="Arial" w:hAnsi="Arial"/>
        </w:rPr>
      </w:pPr>
      <w:r>
        <w:rPr>
          <w:rFonts w:ascii="Arial" w:hAnsi="Arial" w:hint="cs"/>
          <w:rtl/>
        </w:rPr>
        <w:t>ב"כ הנאשם, עו"ד שרון גואטה, התמקדה בטיעוניה בעונש הקל שנגזר על נאשם 2. לדברי הסנגורית, לשני הנאשמים יוחסה אותה עבירה בתחילת הדרך, ופעולת הסיוע של נאשם 2 אינה נופלת, במקרה הנוכחי, מן הביצוע העיקרי של נאשם 1. ההגנה הגישה פסיקה שמכירה במצבים בהם עונשו של המבצע לא יהיה חמור מעונשו של המסייע.</w:t>
      </w:r>
    </w:p>
    <w:p w14:paraId="7F82F3AB" w14:textId="77777777" w:rsidR="008C3F01" w:rsidRDefault="008C3F01" w:rsidP="008C3F01">
      <w:pPr>
        <w:pStyle w:val="a9"/>
        <w:spacing w:line="360" w:lineRule="auto"/>
        <w:ind w:left="0"/>
        <w:jc w:val="both"/>
        <w:rPr>
          <w:rFonts w:ascii="Arial" w:hAnsi="Arial"/>
          <w:rtl/>
        </w:rPr>
      </w:pPr>
    </w:p>
    <w:p w14:paraId="5DCAF675" w14:textId="77777777" w:rsidR="008C3F01" w:rsidRDefault="008C3F01" w:rsidP="008C3F01">
      <w:pPr>
        <w:pStyle w:val="a9"/>
        <w:spacing w:line="360" w:lineRule="auto"/>
        <w:ind w:left="0" w:firstLine="720"/>
        <w:jc w:val="both"/>
        <w:rPr>
          <w:rFonts w:ascii="Arial" w:hAnsi="Arial"/>
          <w:rtl/>
        </w:rPr>
      </w:pPr>
      <w:r>
        <w:rPr>
          <w:rFonts w:ascii="Arial" w:hAnsi="Arial" w:hint="cs"/>
          <w:rtl/>
        </w:rPr>
        <w:t>עוד הפנתה הסנגורית לנסיבותיו האישיות של הנאשם, כעולה מן התסקיר, ציינה כי הנאשם היה נתון במעצר תקופה לא קצרה ואחר זאת בתנאים מגבילים, הפנתה לדוח ועדת דורנר שהביע ספקנות בנוגע ליעילותם של מאסרים קצרים, ועתרה לגזור על הנאשם עונש של ששה חודשי מאסר בפועל, שירוצו בעבודות שירות.</w:t>
      </w:r>
    </w:p>
    <w:p w14:paraId="4E5DD2C6" w14:textId="77777777" w:rsidR="008C3F01" w:rsidRDefault="008C3F01" w:rsidP="008C3F01">
      <w:pPr>
        <w:pStyle w:val="a9"/>
        <w:spacing w:line="360" w:lineRule="auto"/>
        <w:ind w:left="0" w:firstLine="720"/>
        <w:jc w:val="both"/>
        <w:rPr>
          <w:rFonts w:ascii="Arial" w:hAnsi="Arial"/>
          <w:rtl/>
        </w:rPr>
      </w:pPr>
    </w:p>
    <w:p w14:paraId="006BE1D5" w14:textId="77777777" w:rsidR="008C3F01" w:rsidRDefault="008C3F01" w:rsidP="008C3F01">
      <w:pPr>
        <w:pStyle w:val="a9"/>
        <w:spacing w:line="360" w:lineRule="auto"/>
        <w:ind w:left="0" w:firstLine="720"/>
        <w:jc w:val="both"/>
        <w:rPr>
          <w:rFonts w:ascii="Arial" w:hAnsi="Arial"/>
          <w:rtl/>
        </w:rPr>
      </w:pPr>
      <w:r>
        <w:rPr>
          <w:rFonts w:ascii="Arial" w:hAnsi="Arial" w:hint="cs"/>
          <w:rtl/>
        </w:rPr>
        <w:t>הנאשם בדברו האחרון לעונש עמד על הנסיבות שהביאוהו להחזיק בנשק, תיאר כיצד הסתבכותו בביצוע העבירה המיטה אסון על משפחתו ועל עסקו, הביע חרטה וביקש את רחמי בית המשפט.</w:t>
      </w:r>
    </w:p>
    <w:p w14:paraId="45C34B12" w14:textId="77777777" w:rsidR="008C3F01" w:rsidRDefault="008C3F01" w:rsidP="008C3F01">
      <w:pPr>
        <w:pStyle w:val="a9"/>
        <w:spacing w:line="360" w:lineRule="auto"/>
        <w:ind w:left="0"/>
        <w:jc w:val="both"/>
        <w:rPr>
          <w:rFonts w:ascii="Arial" w:hAnsi="Arial"/>
          <w:rtl/>
        </w:rPr>
      </w:pPr>
    </w:p>
    <w:p w14:paraId="7023CF33" w14:textId="77777777" w:rsidR="008C3F01" w:rsidRPr="006C6A00" w:rsidRDefault="008C3F01" w:rsidP="008C3F01">
      <w:pPr>
        <w:pStyle w:val="a9"/>
        <w:spacing w:line="360" w:lineRule="auto"/>
        <w:ind w:left="0"/>
        <w:jc w:val="both"/>
        <w:rPr>
          <w:rFonts w:ascii="Arial" w:hAnsi="Arial"/>
        </w:rPr>
      </w:pPr>
      <w:r>
        <w:rPr>
          <w:rFonts w:ascii="Arial" w:hAnsi="Arial" w:hint="cs"/>
          <w:b/>
          <w:bCs/>
          <w:u w:val="single"/>
          <w:rtl/>
        </w:rPr>
        <w:t>דיון</w:t>
      </w:r>
    </w:p>
    <w:p w14:paraId="28D0BEC8" w14:textId="77777777" w:rsidR="008C3F01" w:rsidRPr="00FC11E4" w:rsidRDefault="008C3F01" w:rsidP="008C3F01">
      <w:pPr>
        <w:pStyle w:val="a9"/>
        <w:numPr>
          <w:ilvl w:val="0"/>
          <w:numId w:val="1"/>
        </w:numPr>
        <w:spacing w:line="360" w:lineRule="auto"/>
        <w:ind w:left="0" w:firstLine="0"/>
        <w:jc w:val="both"/>
        <w:rPr>
          <w:rFonts w:ascii="Arial" w:hAnsi="Arial"/>
          <w:rtl/>
        </w:rPr>
      </w:pPr>
      <w:r>
        <w:rPr>
          <w:rtl/>
        </w:rPr>
        <w:t xml:space="preserve">הנאשם החזיק תחת שליטתו כלי נשק </w:t>
      </w:r>
      <w:r>
        <w:rPr>
          <w:rFonts w:hint="cs"/>
          <w:rtl/>
        </w:rPr>
        <w:t>ארוך, מחסנית ובה כדורים תואמים לנשק ומחסנית ובה כדורי אקדח.</w:t>
      </w:r>
      <w:r>
        <w:rPr>
          <w:rtl/>
        </w:rPr>
        <w:t xml:space="preserve"> המעשה בביצועו הסתבך הנאשם הוא מעשה חמור וטמונה בו סכנה ניכרת לשלום הציבור. עבירות הנשק הפכו למכת מדינה, ובאזורנו אף ל"מכת אזור". פגיעתן של העבירות קשה. נשק לא מורשה שמוחזק על ידי פלוני</w:t>
      </w:r>
      <w:r>
        <w:rPr>
          <w:rFonts w:hint="cs"/>
          <w:rtl/>
        </w:rPr>
        <w:t xml:space="preserve"> היום</w:t>
      </w:r>
      <w:r>
        <w:rPr>
          <w:rtl/>
        </w:rPr>
        <w:t>, מחר ייעשה בו שימוש לרעה על ידי פלוני עצמו או על ידי אחרים</w:t>
      </w:r>
      <w:r>
        <w:rPr>
          <w:rFonts w:ascii="Arial" w:hAnsi="Arial" w:hint="cs"/>
          <w:rtl/>
        </w:rPr>
        <w:t>.</w:t>
      </w:r>
    </w:p>
    <w:p w14:paraId="6B33BDD2" w14:textId="77777777" w:rsidR="008C3F01" w:rsidRDefault="008C3F01" w:rsidP="008C3F01">
      <w:pPr>
        <w:pStyle w:val="a9"/>
        <w:spacing w:line="360" w:lineRule="auto"/>
        <w:ind w:left="0" w:firstLine="720"/>
        <w:jc w:val="both"/>
        <w:rPr>
          <w:rFonts w:ascii="Arial" w:hAnsi="Arial"/>
          <w:rtl/>
        </w:rPr>
      </w:pPr>
    </w:p>
    <w:p w14:paraId="3B05FFD9" w14:textId="77777777" w:rsidR="008C3F01" w:rsidRDefault="008C3F01" w:rsidP="008C3F01">
      <w:pPr>
        <w:pStyle w:val="a9"/>
        <w:numPr>
          <w:ilvl w:val="0"/>
          <w:numId w:val="1"/>
        </w:numPr>
        <w:spacing w:line="360" w:lineRule="auto"/>
        <w:ind w:left="0" w:firstLine="0"/>
        <w:jc w:val="both"/>
        <w:rPr>
          <w:rtl/>
        </w:rPr>
      </w:pPr>
      <w:r>
        <w:rPr>
          <w:rtl/>
        </w:rPr>
        <w:t>בתי המשפט עמדו פעמים רבות על הסכנה הרבה הגלומה בהחזקת כלי ירייה על ידי מי שאינם מורשים לכך, סכנה שמצדיקה נקיטת יד קשה כלפי המורשעים בביצוע עבירה זו:</w:t>
      </w:r>
    </w:p>
    <w:p w14:paraId="70350AA9" w14:textId="77777777" w:rsidR="008C3F01" w:rsidRDefault="008C3F01" w:rsidP="008C3F01">
      <w:pPr>
        <w:spacing w:line="360" w:lineRule="auto"/>
        <w:jc w:val="both"/>
        <w:rPr>
          <w:rtl/>
        </w:rPr>
      </w:pPr>
    </w:p>
    <w:p w14:paraId="3DE6E5A3" w14:textId="77777777" w:rsidR="008C3F01" w:rsidRDefault="008C3F01" w:rsidP="008C3F01">
      <w:pPr>
        <w:spacing w:line="360" w:lineRule="auto"/>
        <w:ind w:left="1260" w:right="1440"/>
        <w:jc w:val="both"/>
        <w:rPr>
          <w:rFonts w:cs="FrankRuehl"/>
          <w:rtl/>
        </w:rPr>
      </w:pPr>
      <w:r>
        <w:rPr>
          <w:rFonts w:cs="FrankRuehl"/>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5E047BF3" w14:textId="77777777" w:rsidR="008C3F01" w:rsidRDefault="008C3F01" w:rsidP="008C3F01">
      <w:pPr>
        <w:spacing w:line="360" w:lineRule="auto"/>
        <w:ind w:left="1260" w:right="1440"/>
        <w:jc w:val="both"/>
        <w:rPr>
          <w:rFonts w:cs="FrankRuehl"/>
          <w:rtl/>
        </w:rPr>
      </w:pPr>
      <w:r>
        <w:rPr>
          <w:rFonts w:cs="FrankRuehl"/>
          <w:rtl/>
        </w:rPr>
        <w:t>[</w:t>
      </w:r>
      <w:hyperlink r:id="rId11" w:history="1">
        <w:r w:rsidR="008B4C0D" w:rsidRPr="008B4C0D">
          <w:rPr>
            <w:rFonts w:cs="FrankRuehl"/>
            <w:color w:val="0000FF"/>
            <w:u w:val="single"/>
            <w:rtl/>
          </w:rPr>
          <w:t>רע"פ 2718/04</w:t>
        </w:r>
      </w:hyperlink>
      <w:r>
        <w:rPr>
          <w:rFonts w:cs="FrankRuehl"/>
          <w:rtl/>
        </w:rPr>
        <w:t xml:space="preserve"> </w:t>
      </w:r>
      <w:r>
        <w:rPr>
          <w:rFonts w:cs="FrankRuehl"/>
          <w:b/>
          <w:bCs/>
          <w:rtl/>
        </w:rPr>
        <w:t>אבו דאחל נ' מדינת ישראל</w:t>
      </w:r>
      <w:r>
        <w:rPr>
          <w:rFonts w:cs="FrankRuehl"/>
          <w:rtl/>
        </w:rPr>
        <w:t>(2004)].</w:t>
      </w:r>
    </w:p>
    <w:p w14:paraId="6D13FC08" w14:textId="77777777" w:rsidR="008C3F01" w:rsidRDefault="008C3F01" w:rsidP="008C3F01">
      <w:pPr>
        <w:spacing w:line="360" w:lineRule="auto"/>
        <w:jc w:val="both"/>
        <w:rPr>
          <w:rtl/>
        </w:rPr>
      </w:pPr>
    </w:p>
    <w:p w14:paraId="32B8A82F" w14:textId="77777777" w:rsidR="008C3F01" w:rsidRDefault="008C3F01" w:rsidP="008C3F01">
      <w:pPr>
        <w:spacing w:line="360" w:lineRule="auto"/>
        <w:jc w:val="both"/>
        <w:rPr>
          <w:rtl/>
        </w:rPr>
      </w:pPr>
      <w:r>
        <w:rPr>
          <w:rtl/>
        </w:rPr>
        <w:tab/>
        <w:t xml:space="preserve">וכן- </w:t>
      </w:r>
    </w:p>
    <w:p w14:paraId="7118CE7D" w14:textId="77777777" w:rsidR="008C3F01" w:rsidRDefault="008C3F01" w:rsidP="008C3F01">
      <w:pPr>
        <w:spacing w:line="360" w:lineRule="auto"/>
        <w:jc w:val="both"/>
        <w:rPr>
          <w:rtl/>
        </w:rPr>
      </w:pPr>
    </w:p>
    <w:p w14:paraId="5FB6932F" w14:textId="77777777" w:rsidR="008C3F01" w:rsidRDefault="008C3F01" w:rsidP="008C3F01">
      <w:pPr>
        <w:spacing w:line="360" w:lineRule="auto"/>
        <w:ind w:left="1440" w:right="1440"/>
        <w:jc w:val="both"/>
        <w:rPr>
          <w:rFonts w:cs="FrankRuehl"/>
          <w:rtl/>
        </w:rPr>
      </w:pPr>
      <w:r>
        <w:rPr>
          <w:rFonts w:cs="FrankRuehl"/>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p>
    <w:p w14:paraId="7A3962FD" w14:textId="77777777" w:rsidR="008C3F01" w:rsidRDefault="008C3F01" w:rsidP="008C3F01">
      <w:pPr>
        <w:spacing w:line="360" w:lineRule="auto"/>
        <w:ind w:left="1440" w:right="1440"/>
        <w:jc w:val="both"/>
        <w:rPr>
          <w:rFonts w:cs="FrankRuehl"/>
          <w:rtl/>
        </w:rPr>
      </w:pPr>
      <w:r>
        <w:rPr>
          <w:rFonts w:cs="FrankRuehl"/>
          <w:rtl/>
        </w:rPr>
        <w:t>[</w:t>
      </w:r>
      <w:r w:rsidRPr="008B4C0D">
        <w:rPr>
          <w:rFonts w:cs="FrankRuehl"/>
          <w:color w:val="000000"/>
          <w:rtl/>
        </w:rPr>
        <w:t>ע"פ 3306/00</w:t>
      </w:r>
      <w:r>
        <w:rPr>
          <w:rFonts w:cs="FrankRuehl"/>
          <w:rtl/>
        </w:rPr>
        <w:t xml:space="preserve"> </w:t>
      </w:r>
      <w:r>
        <w:rPr>
          <w:rFonts w:cs="FrankRuehl"/>
          <w:b/>
          <w:bCs/>
          <w:rtl/>
        </w:rPr>
        <w:t>אבוסנינה נ' מדינת ישראל</w:t>
      </w:r>
      <w:r>
        <w:rPr>
          <w:rFonts w:cs="FrankRuehl"/>
          <w:rtl/>
        </w:rPr>
        <w:t xml:space="preserve"> (2000).</w:t>
      </w:r>
    </w:p>
    <w:p w14:paraId="069779DA" w14:textId="77777777" w:rsidR="008C3F01" w:rsidRDefault="008C3F01" w:rsidP="008C3F01">
      <w:pPr>
        <w:spacing w:line="360" w:lineRule="auto"/>
        <w:jc w:val="both"/>
        <w:rPr>
          <w:rFonts w:cs="FrankRuehl"/>
          <w:rtl/>
        </w:rPr>
      </w:pPr>
    </w:p>
    <w:p w14:paraId="7C2A5012" w14:textId="77777777" w:rsidR="008C3F01" w:rsidRDefault="008C3F01" w:rsidP="008C3F01">
      <w:pPr>
        <w:pStyle w:val="a9"/>
        <w:numPr>
          <w:ilvl w:val="0"/>
          <w:numId w:val="1"/>
        </w:numPr>
        <w:spacing w:line="360" w:lineRule="auto"/>
        <w:ind w:left="0" w:firstLine="0"/>
        <w:jc w:val="both"/>
        <w:rPr>
          <w:rtl/>
        </w:rPr>
      </w:pPr>
      <w:r>
        <w:rPr>
          <w:rtl/>
        </w:rPr>
        <w:t xml:space="preserve">המציאות הביטחונית השוררת בישראל וזמינותם של כלי הנשק החמים, מצדיקה אף היא החמרה בענישה [ראו והשוו </w:t>
      </w:r>
      <w:hyperlink r:id="rId12" w:history="1">
        <w:r w:rsidR="00535D51" w:rsidRPr="00535D51">
          <w:rPr>
            <w:color w:val="0000FF"/>
            <w:u w:val="single"/>
            <w:rtl/>
          </w:rPr>
          <w:t xml:space="preserve">ע"פ 1332/04  </w:t>
        </w:r>
      </w:hyperlink>
      <w:r>
        <w:rPr>
          <w:rtl/>
        </w:rPr>
        <w:t xml:space="preserve"> </w:t>
      </w:r>
      <w:r>
        <w:rPr>
          <w:b/>
          <w:bCs/>
          <w:rtl/>
        </w:rPr>
        <w:t>מדינת ישראל נ' פס</w:t>
      </w:r>
      <w:r>
        <w:rPr>
          <w:rtl/>
        </w:rPr>
        <w:t xml:space="preserve">, פ"ד נח(5) 541 (2004)]. </w:t>
      </w:r>
    </w:p>
    <w:p w14:paraId="7E4EC55C" w14:textId="77777777" w:rsidR="008C3F01" w:rsidRDefault="008C3F01" w:rsidP="008C3F01">
      <w:pPr>
        <w:spacing w:line="360" w:lineRule="auto"/>
        <w:ind w:left="720"/>
        <w:jc w:val="both"/>
        <w:rPr>
          <w:rtl/>
        </w:rPr>
      </w:pPr>
    </w:p>
    <w:p w14:paraId="2EF66052" w14:textId="77777777" w:rsidR="008C3F01" w:rsidRDefault="008C3F01" w:rsidP="008C3F01">
      <w:pPr>
        <w:pStyle w:val="a9"/>
        <w:numPr>
          <w:ilvl w:val="0"/>
          <w:numId w:val="1"/>
        </w:numPr>
        <w:spacing w:line="360" w:lineRule="auto"/>
        <w:ind w:left="0" w:firstLine="0"/>
        <w:jc w:val="both"/>
        <w:rPr>
          <w:rtl/>
        </w:rPr>
      </w:pPr>
      <w:r>
        <w:rPr>
          <w:rFonts w:hint="cs"/>
          <w:rtl/>
        </w:rPr>
        <w:t>הנאשם טען לפני שירות המבחן ולפניי כי החזיק בנשק זמן קצר לאחר שהותקף על ידי אחר. טענה זו לא בא זכרה בכתב האישום בעובדותיו הודה הנאשם והיא לא תשמש כשתשתית לגזירת הדין.</w:t>
      </w:r>
    </w:p>
    <w:p w14:paraId="3CD9F40B" w14:textId="77777777" w:rsidR="008C3F01" w:rsidRDefault="008C3F01" w:rsidP="008C3F01">
      <w:pPr>
        <w:spacing w:line="360" w:lineRule="auto"/>
        <w:ind w:left="720"/>
        <w:jc w:val="both"/>
        <w:rPr>
          <w:rtl/>
        </w:rPr>
      </w:pPr>
    </w:p>
    <w:p w14:paraId="10742410" w14:textId="77777777" w:rsidR="008C3F01" w:rsidRDefault="008C3F01" w:rsidP="008C3F01">
      <w:pPr>
        <w:pStyle w:val="a9"/>
        <w:numPr>
          <w:ilvl w:val="0"/>
          <w:numId w:val="1"/>
        </w:numPr>
        <w:spacing w:line="360" w:lineRule="auto"/>
        <w:ind w:left="0" w:firstLine="0"/>
        <w:jc w:val="both"/>
      </w:pPr>
      <w:r>
        <w:rPr>
          <w:rtl/>
        </w:rPr>
        <w:t>בהתחשב באמור לעיל,</w:t>
      </w:r>
      <w:r>
        <w:rPr>
          <w:rFonts w:hint="cs"/>
          <w:rtl/>
        </w:rPr>
        <w:t xml:space="preserve"> בעקרון ההלימה בין מעשה לעונש,</w:t>
      </w:r>
      <w:r>
        <w:rPr>
          <w:rtl/>
        </w:rPr>
        <w:t xml:space="preserve"> וברמת הענישה הנוהגת במקרים דומים</w:t>
      </w:r>
      <w:r>
        <w:rPr>
          <w:rFonts w:hint="cs"/>
          <w:rtl/>
        </w:rPr>
        <w:t xml:space="preserve"> [ראו </w:t>
      </w:r>
      <w:hyperlink r:id="rId13" w:history="1">
        <w:r w:rsidR="008B4C0D" w:rsidRPr="008B4C0D">
          <w:rPr>
            <w:color w:val="0000FF"/>
            <w:u w:val="single"/>
            <w:rtl/>
          </w:rPr>
          <w:t>עפ"ג 27108-01-16</w:t>
        </w:r>
      </w:hyperlink>
      <w:r>
        <w:rPr>
          <w:rFonts w:hint="cs"/>
          <w:rtl/>
        </w:rPr>
        <w:t xml:space="preserve"> (מרכז) </w:t>
      </w:r>
      <w:r>
        <w:rPr>
          <w:rFonts w:hint="cs"/>
          <w:b/>
          <w:bCs/>
          <w:rtl/>
        </w:rPr>
        <w:t>מדינת ישראל נ' נוסיראת</w:t>
      </w:r>
      <w:r>
        <w:rPr>
          <w:rFonts w:hint="cs"/>
          <w:rtl/>
        </w:rPr>
        <w:t xml:space="preserve"> (8.5.2016) וכן </w:t>
      </w:r>
      <w:hyperlink r:id="rId14" w:history="1">
        <w:r w:rsidR="008B4C0D" w:rsidRPr="008B4C0D">
          <w:rPr>
            <w:color w:val="0000FF"/>
            <w:u w:val="single"/>
            <w:rtl/>
          </w:rPr>
          <w:t>עפ"ג (מרכז) 50329-10-15</w:t>
        </w:r>
      </w:hyperlink>
      <w:r>
        <w:rPr>
          <w:rFonts w:hint="cs"/>
          <w:rtl/>
        </w:rPr>
        <w:t xml:space="preserve"> </w:t>
      </w:r>
      <w:r>
        <w:rPr>
          <w:rFonts w:hint="cs"/>
          <w:b/>
          <w:bCs/>
          <w:rtl/>
        </w:rPr>
        <w:t>מדינת ישראל נ' ענזי</w:t>
      </w:r>
      <w:r>
        <w:rPr>
          <w:rFonts w:hint="cs"/>
          <w:rtl/>
        </w:rPr>
        <w:t xml:space="preserve"> (26.1.2016)]</w:t>
      </w:r>
      <w:r>
        <w:rPr>
          <w:rtl/>
        </w:rPr>
        <w:t xml:space="preserve">, אני קובע כי </w:t>
      </w:r>
      <w:r>
        <w:rPr>
          <w:u w:val="single"/>
          <w:rtl/>
        </w:rPr>
        <w:t xml:space="preserve">מתחם העונש ההולם מקרה זה הוא בין </w:t>
      </w:r>
      <w:r>
        <w:rPr>
          <w:rFonts w:hint="cs"/>
          <w:u w:val="single"/>
          <w:rtl/>
        </w:rPr>
        <w:t>12</w:t>
      </w:r>
      <w:r>
        <w:rPr>
          <w:u w:val="single"/>
          <w:rtl/>
        </w:rPr>
        <w:t xml:space="preserve"> חודשי מאסר בפועל ועד 20 חודשי מאסר, וזאת כעונש עיקרי</w:t>
      </w:r>
      <w:r>
        <w:rPr>
          <w:rtl/>
        </w:rPr>
        <w:t>. אציין כי המאשימה עתרה אמנם למתחם עונש הולם חמור בהרבה, אך לא הציגה לעיוני ולוּ גזר דין אחד התומך בעמדתה זו.</w:t>
      </w:r>
    </w:p>
    <w:p w14:paraId="52983A06" w14:textId="77777777" w:rsidR="008C3F01" w:rsidRDefault="008C3F01" w:rsidP="008C3F01">
      <w:pPr>
        <w:pStyle w:val="a9"/>
        <w:spacing w:line="360" w:lineRule="auto"/>
        <w:ind w:left="0"/>
        <w:jc w:val="both"/>
      </w:pPr>
    </w:p>
    <w:p w14:paraId="34F6EB92" w14:textId="77777777" w:rsidR="008C3F01" w:rsidRDefault="008C3F01" w:rsidP="008C3F01">
      <w:pPr>
        <w:pStyle w:val="a9"/>
        <w:numPr>
          <w:ilvl w:val="0"/>
          <w:numId w:val="1"/>
        </w:numPr>
        <w:spacing w:line="360" w:lineRule="auto"/>
        <w:ind w:left="0" w:firstLine="0"/>
        <w:jc w:val="both"/>
      </w:pPr>
      <w:r>
        <w:rPr>
          <w:rFonts w:hint="cs"/>
          <w:rtl/>
        </w:rPr>
        <w:t>האמור בתסקיר לא שכנעני כי יש מקום לחורג לקולה בעניינו של נאשם זה מטעמי שיקום. הנאשם אמנם משתתף בקבוצה טיפולית אך שירות המבחן בעצמו אינו סבור כי הוא בר שיקום וראינו כי גם בשלב מאוחר זה לא נוטל הנאשם אחריות מלאה על מעשיו ואינו מכיר די הצורך בחומרת התנהגותו. ניכר כי המלצת שירות המבחן בעניינו של הנאשם אינה נובעת משיקולי שיקום, אלא מטעמי רחמים.</w:t>
      </w:r>
    </w:p>
    <w:p w14:paraId="7FB80F62" w14:textId="77777777" w:rsidR="008C3F01" w:rsidRDefault="008C3F01" w:rsidP="008C3F01">
      <w:pPr>
        <w:pStyle w:val="a9"/>
        <w:spacing w:line="360" w:lineRule="auto"/>
        <w:ind w:left="0"/>
        <w:jc w:val="both"/>
      </w:pPr>
    </w:p>
    <w:p w14:paraId="53333084" w14:textId="77777777" w:rsidR="008C3F01" w:rsidRDefault="008C3F01" w:rsidP="008C3F01">
      <w:pPr>
        <w:pStyle w:val="a9"/>
        <w:numPr>
          <w:ilvl w:val="0"/>
          <w:numId w:val="1"/>
        </w:numPr>
        <w:spacing w:line="360" w:lineRule="auto"/>
        <w:ind w:left="0" w:firstLine="0"/>
        <w:jc w:val="both"/>
      </w:pPr>
      <w:r>
        <w:rPr>
          <w:rFonts w:hint="cs"/>
          <w:rtl/>
        </w:rPr>
        <w:t>עם זה, העונש שנגזר (בהסכמה) על נאשם 2 חייב לשמש נקודת מוצא לעונש שייגזר על הנאשם, ולטעמי אף מחייב חריגה לקולה ממתחם העונש שקבעתי לעיל. כפי שציינתי למשל ב</w:t>
      </w:r>
      <w:hyperlink r:id="rId15" w:history="1">
        <w:r w:rsidR="008B4C0D" w:rsidRPr="008B4C0D">
          <w:rPr>
            <w:color w:val="0000FF"/>
            <w:u w:val="single"/>
            <w:rtl/>
          </w:rPr>
          <w:t>ת"פ 19312-03-13</w:t>
        </w:r>
      </w:hyperlink>
      <w:r>
        <w:rPr>
          <w:rFonts w:hint="cs"/>
          <w:rtl/>
        </w:rPr>
        <w:t xml:space="preserve"> </w:t>
      </w:r>
      <w:r>
        <w:rPr>
          <w:rFonts w:hint="cs"/>
          <w:b/>
          <w:bCs/>
          <w:rtl/>
        </w:rPr>
        <w:t>מדינת ישראל נ' עבדא</w:t>
      </w:r>
      <w:r>
        <w:rPr>
          <w:rFonts w:hint="cs"/>
          <w:rtl/>
        </w:rPr>
        <w:t xml:space="preserve"> (8.10.2013), מחייב עקרון האחידות בענישה לגזור עונשים דומים על נאשמים שביצעו מעשים דומים ונסיבותיהם דומות. </w:t>
      </w:r>
    </w:p>
    <w:p w14:paraId="6DD912FD" w14:textId="77777777" w:rsidR="008C3F01" w:rsidRDefault="008C3F01" w:rsidP="008C3F01">
      <w:pPr>
        <w:pStyle w:val="a9"/>
        <w:spacing w:line="360" w:lineRule="auto"/>
        <w:ind w:left="0"/>
        <w:jc w:val="both"/>
        <w:rPr>
          <w:rtl/>
        </w:rPr>
      </w:pPr>
    </w:p>
    <w:p w14:paraId="3BBA6859" w14:textId="77777777" w:rsidR="008C3F01" w:rsidRDefault="008C3F01" w:rsidP="008C3F01">
      <w:pPr>
        <w:pStyle w:val="a9"/>
        <w:spacing w:line="360" w:lineRule="auto"/>
        <w:ind w:left="0" w:firstLine="720"/>
        <w:jc w:val="both"/>
        <w:rPr>
          <w:rtl/>
        </w:rPr>
      </w:pPr>
      <w:r>
        <w:rPr>
          <w:rFonts w:hint="cs"/>
          <w:rtl/>
        </w:rPr>
        <w:t>לדעתי, עקרון האחידות בענישה גובר, בנסיבות מתאימות, על עקרונות גזירת העונש כפי שבאו לידי ביטוי בתיקון 113 ל</w:t>
      </w:r>
      <w:hyperlink r:id="rId16" w:history="1">
        <w:r w:rsidR="008B4C0D" w:rsidRPr="008B4C0D">
          <w:rPr>
            <w:color w:val="0000FF"/>
            <w:u w:val="single"/>
            <w:rtl/>
          </w:rPr>
          <w:t>חוק העונשין</w:t>
        </w:r>
      </w:hyperlink>
      <w:r>
        <w:rPr>
          <w:rFonts w:hint="cs"/>
          <w:rtl/>
        </w:rPr>
        <w:t xml:space="preserve">, התשל"ז-1977. </w:t>
      </w:r>
    </w:p>
    <w:p w14:paraId="794202A8" w14:textId="77777777" w:rsidR="008C3F01" w:rsidRDefault="008C3F01" w:rsidP="008C3F01">
      <w:pPr>
        <w:pStyle w:val="a9"/>
        <w:spacing w:line="360" w:lineRule="auto"/>
        <w:ind w:left="0" w:firstLine="720"/>
        <w:jc w:val="both"/>
        <w:rPr>
          <w:rtl/>
        </w:rPr>
      </w:pPr>
    </w:p>
    <w:p w14:paraId="746CEF8C" w14:textId="77777777" w:rsidR="008C3F01" w:rsidRDefault="008C3F01" w:rsidP="008C3F01">
      <w:pPr>
        <w:pStyle w:val="a9"/>
        <w:spacing w:line="360" w:lineRule="auto"/>
        <w:ind w:left="0" w:firstLine="720"/>
        <w:jc w:val="both"/>
        <w:rPr>
          <w:rtl/>
        </w:rPr>
      </w:pPr>
      <w:r>
        <w:rPr>
          <w:rFonts w:hint="cs"/>
          <w:rtl/>
        </w:rPr>
        <w:t xml:space="preserve">במקרה דנן אין כל אפשרות להתעלם מן העונש הקל שנגזר על נאשם 2 במסגרת הסדר הטיעון עמו. בכתב האישום המתוקן בעניינם של שני הנאשמים נאמר כי </w:t>
      </w:r>
      <w:r>
        <w:rPr>
          <w:rFonts w:ascii="Arial" w:hAnsi="Arial" w:hint="cs"/>
          <w:rtl/>
        </w:rPr>
        <w:t>נאשם 2 סייע להחזקת הנשק בכך שאִפשר את החזקת הנשק ופעל למנוע גילויו</w:t>
      </w:r>
      <w:r>
        <w:rPr>
          <w:rFonts w:hint="cs"/>
          <w:rtl/>
        </w:rPr>
        <w:t xml:space="preserve">. זהו סיוע בדרגה גבוהה והפעולה למניעת גילוי הנשק היא נסיבה מחמירה שכלל אינה מתקיימת בעניינו של הנאשם שלפניי. </w:t>
      </w:r>
    </w:p>
    <w:p w14:paraId="122ECC44" w14:textId="77777777" w:rsidR="008C3F01" w:rsidRDefault="008C3F01" w:rsidP="008C3F01">
      <w:pPr>
        <w:pStyle w:val="a9"/>
        <w:spacing w:line="360" w:lineRule="auto"/>
        <w:ind w:left="0" w:firstLine="720"/>
        <w:jc w:val="both"/>
        <w:rPr>
          <w:rtl/>
        </w:rPr>
      </w:pPr>
    </w:p>
    <w:p w14:paraId="285F10AA" w14:textId="77777777" w:rsidR="008C3F01" w:rsidRDefault="008C3F01" w:rsidP="008C3F01">
      <w:pPr>
        <w:pStyle w:val="a9"/>
        <w:spacing w:line="360" w:lineRule="auto"/>
        <w:ind w:left="0" w:firstLine="720"/>
        <w:jc w:val="both"/>
        <w:rPr>
          <w:rtl/>
        </w:rPr>
      </w:pPr>
      <w:r>
        <w:rPr>
          <w:rFonts w:hint="cs"/>
          <w:rtl/>
        </w:rPr>
        <w:t xml:space="preserve">אמנם, אין זה המקרה החריג בו ראוי להשוות את עונשו של המבצע לעונשו של המסייע, אך גם אין כל הצדקה לגזור עליו עונש חמור יותר מפי שניים העונש שנגזר על המסייע [ראו והשוו </w:t>
      </w:r>
      <w:hyperlink r:id="rId17" w:history="1">
        <w:r w:rsidR="008B4C0D" w:rsidRPr="008B4C0D">
          <w:rPr>
            <w:color w:val="0000FF"/>
            <w:u w:val="single"/>
            <w:rtl/>
          </w:rPr>
          <w:t>ע"פ 4592/15</w:t>
        </w:r>
      </w:hyperlink>
      <w:r>
        <w:rPr>
          <w:rFonts w:hint="cs"/>
          <w:rtl/>
        </w:rPr>
        <w:t xml:space="preserve"> </w:t>
      </w:r>
      <w:r>
        <w:rPr>
          <w:rFonts w:hint="cs"/>
          <w:b/>
          <w:bCs/>
          <w:rtl/>
        </w:rPr>
        <w:t>פדידה נד מדינת ישראל</w:t>
      </w:r>
      <w:r>
        <w:rPr>
          <w:rFonts w:hint="cs"/>
          <w:rtl/>
        </w:rPr>
        <w:t xml:space="preserve"> (8.2.2016)], כפי שעותרת התביעה.</w:t>
      </w:r>
    </w:p>
    <w:p w14:paraId="620F19EE" w14:textId="77777777" w:rsidR="008C3F01" w:rsidRDefault="008C3F01" w:rsidP="008C3F01">
      <w:pPr>
        <w:pStyle w:val="a9"/>
        <w:spacing w:line="360" w:lineRule="auto"/>
        <w:ind w:left="0" w:firstLine="720"/>
        <w:jc w:val="both"/>
        <w:rPr>
          <w:rtl/>
        </w:rPr>
      </w:pPr>
    </w:p>
    <w:p w14:paraId="7862A6EF" w14:textId="77777777" w:rsidR="008C3F01" w:rsidRDefault="008C3F01" w:rsidP="008C3F01">
      <w:pPr>
        <w:pStyle w:val="a9"/>
        <w:numPr>
          <w:ilvl w:val="0"/>
          <w:numId w:val="1"/>
        </w:numPr>
        <w:spacing w:line="360" w:lineRule="auto"/>
        <w:ind w:left="0" w:firstLine="0"/>
        <w:jc w:val="both"/>
      </w:pPr>
      <w:r>
        <w:rPr>
          <w:rFonts w:hint="cs"/>
          <w:rtl/>
        </w:rPr>
        <w:t xml:space="preserve">במצב דברים זה החלטתי לגזור על הנאשם עונש עיקרי של שמונה חודשי מאסר בפועל. </w:t>
      </w:r>
    </w:p>
    <w:p w14:paraId="7BAB191B" w14:textId="77777777" w:rsidR="008C3F01" w:rsidRDefault="008C3F01" w:rsidP="008C3F01">
      <w:pPr>
        <w:pStyle w:val="a9"/>
        <w:spacing w:line="360" w:lineRule="auto"/>
        <w:ind w:left="0"/>
        <w:jc w:val="both"/>
        <w:rPr>
          <w:rtl/>
        </w:rPr>
      </w:pPr>
    </w:p>
    <w:p w14:paraId="6DEF0B6E" w14:textId="77777777" w:rsidR="008C3F01" w:rsidRPr="0067626D" w:rsidRDefault="008C3F01" w:rsidP="008C3F01">
      <w:pPr>
        <w:pStyle w:val="a9"/>
        <w:spacing w:line="360" w:lineRule="auto"/>
        <w:ind w:left="0" w:firstLine="720"/>
        <w:jc w:val="both"/>
      </w:pPr>
      <w:r>
        <w:rPr>
          <w:rFonts w:hint="cs"/>
          <w:rtl/>
        </w:rPr>
        <w:t xml:space="preserve">אמת, </w:t>
      </w:r>
      <w:r>
        <w:rPr>
          <w:rFonts w:ascii="Arial" w:hAnsi="Arial"/>
          <w:rtl/>
        </w:rPr>
        <w:t>מן האמור בדוח הוועדה הציבורית לבחינת מדיניות הענישה והטיפול בעבריינים מנובמבר 2015 (</w:t>
      </w:r>
      <w:r w:rsidRPr="0067626D">
        <w:rPr>
          <w:rFonts w:ascii="Arial" w:hAnsi="Arial"/>
          <w:b/>
          <w:bCs/>
          <w:rtl/>
        </w:rPr>
        <w:t>דוח דורנר</w:t>
      </w:r>
      <w:r>
        <w:rPr>
          <w:rFonts w:ascii="Arial" w:hAnsi="Arial"/>
          <w:rtl/>
        </w:rPr>
        <w:t xml:space="preserve">), אשר אומץ על ידי הממשלה, </w:t>
      </w:r>
      <w:r>
        <w:rPr>
          <w:rFonts w:ascii="Arial" w:hAnsi="Arial" w:hint="cs"/>
          <w:rtl/>
        </w:rPr>
        <w:t xml:space="preserve">עולה </w:t>
      </w:r>
      <w:r>
        <w:rPr>
          <w:rFonts w:ascii="Arial" w:hAnsi="Arial"/>
          <w:rtl/>
        </w:rPr>
        <w:t>כי עונשי מאסר קצרים אינם משיגים, במרבית המקרים, את מטרות הענישה הקלאסיות, כגון הרתעה, אלא רק מעודדים את הנטייה לעבריינות</w:t>
      </w:r>
      <w:r>
        <w:rPr>
          <w:rFonts w:hint="cs"/>
          <w:rtl/>
        </w:rPr>
        <w:t xml:space="preserve">. אך הנאשם שלפניי כבר הסתבך בעבר בפלילים, ובכל מקרה </w:t>
      </w:r>
      <w:r>
        <w:rPr>
          <w:rtl/>
        </w:rPr>
        <w:t>–</w:t>
      </w:r>
      <w:r>
        <w:rPr>
          <w:rFonts w:hint="cs"/>
          <w:rtl/>
        </w:rPr>
        <w:t xml:space="preserve"> נוכח עמדתו העקבית של בית המשפט המחוזי בתחום הענישה בעבירות של החזקת הנשק, לא ראיתי במקרה זה אפשרות לסטות עוד ממתחם העונש ההולם כך שהנאשם יוכל לרצות את עונשו בעבודות שירות.</w:t>
      </w:r>
    </w:p>
    <w:p w14:paraId="06966716" w14:textId="77777777" w:rsidR="008C3F01" w:rsidRPr="00817DFD" w:rsidRDefault="008C3F01" w:rsidP="008C3F01">
      <w:pPr>
        <w:spacing w:line="360" w:lineRule="auto"/>
        <w:jc w:val="both"/>
        <w:rPr>
          <w:rtl/>
        </w:rPr>
      </w:pPr>
    </w:p>
    <w:p w14:paraId="52FD6EAA" w14:textId="77777777" w:rsidR="008C3F01" w:rsidRDefault="008C3F01" w:rsidP="008C3F01">
      <w:pPr>
        <w:pStyle w:val="a9"/>
        <w:numPr>
          <w:ilvl w:val="0"/>
          <w:numId w:val="1"/>
        </w:numPr>
        <w:spacing w:line="360" w:lineRule="auto"/>
        <w:ind w:left="0" w:firstLine="0"/>
        <w:jc w:val="both"/>
        <w:rPr>
          <w:rFonts w:ascii="Arial" w:hAnsi="Arial"/>
        </w:rPr>
      </w:pPr>
      <w:r>
        <w:rPr>
          <w:rFonts w:ascii="Arial" w:hAnsi="Arial" w:hint="cs"/>
          <w:rtl/>
        </w:rPr>
        <w:t>שקלתי את כל השיקולים לחומרה ולקולה. נתתי דעתי להודאת הנאשם בעובדות כתב אישום מתוקן מבלי שניהל משפט, לעברו הפלילי, לכל האמור בתסקיר המבחן לרבות ההבנה כי לא ביצע עבירות מאז שנת 2008, לכלל נסיבותיו האישיות וכן למעצרו ולתנאים המגבילים בהם היה נתון.</w:t>
      </w:r>
    </w:p>
    <w:p w14:paraId="5F8B4806" w14:textId="77777777" w:rsidR="008C3F01" w:rsidRDefault="008C3F01" w:rsidP="008C3F01">
      <w:pPr>
        <w:pStyle w:val="a9"/>
        <w:spacing w:line="360" w:lineRule="auto"/>
        <w:ind w:left="0"/>
        <w:jc w:val="both"/>
        <w:rPr>
          <w:rFonts w:ascii="Arial" w:hAnsi="Arial"/>
          <w:rtl/>
        </w:rPr>
      </w:pPr>
    </w:p>
    <w:p w14:paraId="7D56E6F7" w14:textId="77777777" w:rsidR="008C3F01" w:rsidRDefault="008C3F01" w:rsidP="008C3F01">
      <w:pPr>
        <w:pStyle w:val="a9"/>
        <w:spacing w:line="360" w:lineRule="auto"/>
        <w:ind w:left="0" w:firstLine="720"/>
        <w:jc w:val="both"/>
        <w:rPr>
          <w:rFonts w:ascii="Arial" w:hAnsi="Arial"/>
          <w:rtl/>
        </w:rPr>
      </w:pPr>
      <w:r>
        <w:rPr>
          <w:rFonts w:ascii="Arial" w:hAnsi="Arial" w:hint="cs"/>
          <w:rtl/>
        </w:rPr>
        <w:t>החלטתי לגזור עליו את העונשים הבאים:</w:t>
      </w:r>
    </w:p>
    <w:p w14:paraId="09E79B4D" w14:textId="77777777" w:rsidR="008C3F01" w:rsidRDefault="008C3F01" w:rsidP="008C3F01">
      <w:pPr>
        <w:pStyle w:val="a9"/>
        <w:spacing w:line="360" w:lineRule="auto"/>
        <w:ind w:left="0" w:firstLine="720"/>
        <w:jc w:val="both"/>
        <w:rPr>
          <w:rFonts w:ascii="Arial" w:hAnsi="Arial"/>
          <w:rtl/>
        </w:rPr>
      </w:pPr>
    </w:p>
    <w:p w14:paraId="153D9F55" w14:textId="77777777" w:rsidR="008C3F01" w:rsidRDefault="008C3F01" w:rsidP="008C3F01">
      <w:pPr>
        <w:pStyle w:val="a9"/>
        <w:numPr>
          <w:ilvl w:val="0"/>
          <w:numId w:val="2"/>
        </w:numPr>
        <w:spacing w:line="360" w:lineRule="auto"/>
        <w:jc w:val="both"/>
        <w:rPr>
          <w:rFonts w:ascii="Arial" w:hAnsi="Arial"/>
        </w:rPr>
      </w:pPr>
      <w:r>
        <w:rPr>
          <w:rFonts w:ascii="Arial" w:hAnsi="Arial" w:hint="cs"/>
          <w:rtl/>
        </w:rPr>
        <w:t>מאסר בפועל בן שמונה (8) חודשים, בניכוי ימי מעצרו מיום 1.12.2015 ועד ליום 13.1.2016.</w:t>
      </w:r>
    </w:p>
    <w:p w14:paraId="781648DB" w14:textId="77777777" w:rsidR="008C3F01" w:rsidRDefault="008C3F01" w:rsidP="008C3F01">
      <w:pPr>
        <w:pStyle w:val="a9"/>
        <w:spacing w:line="360" w:lineRule="auto"/>
        <w:ind w:left="1440"/>
        <w:jc w:val="both"/>
        <w:rPr>
          <w:rFonts w:ascii="Arial" w:hAnsi="Arial"/>
        </w:rPr>
      </w:pPr>
    </w:p>
    <w:p w14:paraId="09F5F69E" w14:textId="77777777" w:rsidR="008C3F01" w:rsidRDefault="008C3F01" w:rsidP="008C3F01">
      <w:pPr>
        <w:pStyle w:val="a9"/>
        <w:numPr>
          <w:ilvl w:val="0"/>
          <w:numId w:val="2"/>
        </w:numPr>
        <w:spacing w:line="360" w:lineRule="auto"/>
        <w:jc w:val="both"/>
        <w:rPr>
          <w:rFonts w:ascii="Arial" w:hAnsi="Arial"/>
        </w:rPr>
      </w:pPr>
      <w:r>
        <w:rPr>
          <w:rFonts w:ascii="Arial" w:hAnsi="Arial" w:hint="cs"/>
          <w:rtl/>
        </w:rPr>
        <w:t>מאסר על תנאי בן ששה (6) חודשים והתנאי הוא כי בתקופה בת שלוש שנים מיום שחרורו לא יעבור עבירה בה הורשע.</w:t>
      </w:r>
    </w:p>
    <w:p w14:paraId="3C02C505" w14:textId="77777777" w:rsidR="008C3F01" w:rsidRDefault="008C3F01" w:rsidP="008C3F01">
      <w:pPr>
        <w:pStyle w:val="a9"/>
        <w:spacing w:line="360" w:lineRule="auto"/>
        <w:ind w:left="1440"/>
        <w:jc w:val="both"/>
        <w:rPr>
          <w:rFonts w:ascii="Arial" w:hAnsi="Arial"/>
        </w:rPr>
      </w:pPr>
    </w:p>
    <w:p w14:paraId="514D1E71" w14:textId="77777777" w:rsidR="008C3F01" w:rsidRDefault="008C3F01" w:rsidP="008C3F01">
      <w:pPr>
        <w:pStyle w:val="a9"/>
        <w:numPr>
          <w:ilvl w:val="0"/>
          <w:numId w:val="2"/>
        </w:numPr>
        <w:spacing w:line="360" w:lineRule="auto"/>
        <w:jc w:val="both"/>
        <w:rPr>
          <w:rFonts w:ascii="Arial" w:hAnsi="Arial"/>
          <w:rtl/>
        </w:rPr>
      </w:pPr>
      <w:r>
        <w:rPr>
          <w:rFonts w:ascii="Arial" w:hAnsi="Arial" w:hint="cs"/>
          <w:rtl/>
        </w:rPr>
        <w:t>קנס בסך 4,000 ₪ או 40 ימי מאסר תמורתו. הקנס ישתלם בעשרה תשלומים חודשיים ושווים החל באחד בחודש הראשון לשחרורו ממאסר ובכל אחד בחודש שלאחריו.</w:t>
      </w:r>
    </w:p>
    <w:p w14:paraId="1695B5C9" w14:textId="77777777" w:rsidR="008C3F01" w:rsidRPr="004A01BB" w:rsidRDefault="008C3F01" w:rsidP="008C3F01">
      <w:pPr>
        <w:pStyle w:val="a9"/>
        <w:spacing w:line="360" w:lineRule="auto"/>
        <w:ind w:left="0" w:firstLine="720"/>
        <w:jc w:val="both"/>
        <w:rPr>
          <w:rFonts w:ascii="Arial" w:hAnsi="Arial"/>
          <w:rtl/>
        </w:rPr>
      </w:pPr>
    </w:p>
    <w:p w14:paraId="086BA69B" w14:textId="77777777" w:rsidR="008C3F01" w:rsidRDefault="008C3F01" w:rsidP="008C3F01">
      <w:pPr>
        <w:pStyle w:val="a9"/>
        <w:numPr>
          <w:ilvl w:val="0"/>
          <w:numId w:val="1"/>
        </w:numPr>
        <w:spacing w:line="360" w:lineRule="auto"/>
        <w:ind w:left="0" w:firstLine="0"/>
        <w:jc w:val="both"/>
        <w:rPr>
          <w:rFonts w:ascii="Arial" w:hAnsi="Arial"/>
        </w:rPr>
      </w:pPr>
      <w:r>
        <w:rPr>
          <w:rFonts w:ascii="Arial" w:hAnsi="Arial" w:hint="cs"/>
          <w:rtl/>
        </w:rPr>
        <w:t>זכות ערעור לבית המשפט המחוזי תוך 45 יום.</w:t>
      </w:r>
    </w:p>
    <w:p w14:paraId="24E33FD5" w14:textId="77777777" w:rsidR="008C3F01" w:rsidRDefault="008C3F01" w:rsidP="008C3F01">
      <w:pPr>
        <w:pStyle w:val="a9"/>
        <w:spacing w:line="360" w:lineRule="auto"/>
        <w:ind w:left="0"/>
        <w:jc w:val="both"/>
        <w:rPr>
          <w:rFonts w:ascii="Arial" w:hAnsi="Arial"/>
        </w:rPr>
      </w:pPr>
    </w:p>
    <w:p w14:paraId="3D1498B5" w14:textId="77777777" w:rsidR="008C3F01" w:rsidRPr="004A01BB" w:rsidRDefault="008C3F01" w:rsidP="008C3F01">
      <w:pPr>
        <w:pStyle w:val="a9"/>
        <w:numPr>
          <w:ilvl w:val="0"/>
          <w:numId w:val="1"/>
        </w:numPr>
        <w:spacing w:line="360" w:lineRule="auto"/>
        <w:ind w:left="0" w:firstLine="0"/>
        <w:jc w:val="both"/>
        <w:rPr>
          <w:rFonts w:ascii="Arial" w:hAnsi="Arial"/>
          <w:rtl/>
        </w:rPr>
      </w:pPr>
      <w:r>
        <w:rPr>
          <w:rFonts w:ascii="Arial" w:hAnsi="Arial" w:hint="cs"/>
          <w:rtl/>
        </w:rPr>
        <w:t xml:space="preserve">ניתן צו להשמדת/חילוט הנשק והתחמושת, אשר ייכנס לתוקף לאחר המועד החוקי להגשת ערעור, ואם יוגש ערעור </w:t>
      </w:r>
      <w:r>
        <w:rPr>
          <w:rFonts w:ascii="Arial" w:hAnsi="Arial"/>
          <w:rtl/>
        </w:rPr>
        <w:t>–</w:t>
      </w:r>
      <w:r>
        <w:rPr>
          <w:rFonts w:ascii="Arial" w:hAnsi="Arial" w:hint="cs"/>
          <w:rtl/>
        </w:rPr>
        <w:t xml:space="preserve"> לאחר פסק הדין בערעור. בכל מקרה תנהג המדינה במוצגים לפי כל דין.</w:t>
      </w:r>
    </w:p>
    <w:p w14:paraId="5A3338C9" w14:textId="77777777" w:rsidR="008C3F01" w:rsidRPr="004A01BB" w:rsidRDefault="008C3F01" w:rsidP="008C3F01">
      <w:pPr>
        <w:pStyle w:val="a9"/>
        <w:spacing w:line="360" w:lineRule="auto"/>
        <w:ind w:left="0" w:firstLine="720"/>
        <w:jc w:val="both"/>
        <w:rPr>
          <w:rFonts w:ascii="Arial" w:hAnsi="Arial"/>
          <w:rtl/>
        </w:rPr>
      </w:pPr>
    </w:p>
    <w:p w14:paraId="7A165979" w14:textId="77777777" w:rsidR="008C3F01" w:rsidRPr="004A01BB" w:rsidRDefault="008C3F01" w:rsidP="008C3F01">
      <w:pPr>
        <w:pStyle w:val="a9"/>
        <w:spacing w:line="360" w:lineRule="auto"/>
        <w:ind w:left="0" w:firstLine="720"/>
        <w:jc w:val="both"/>
        <w:rPr>
          <w:rFonts w:ascii="Arial" w:hAnsi="Arial"/>
          <w:rtl/>
        </w:rPr>
      </w:pPr>
    </w:p>
    <w:p w14:paraId="46736AB9" w14:textId="77777777" w:rsidR="008C3F01" w:rsidRPr="004A01BB" w:rsidRDefault="008C3F01" w:rsidP="008C3F01">
      <w:pPr>
        <w:pStyle w:val="a9"/>
        <w:spacing w:line="360" w:lineRule="auto"/>
        <w:ind w:left="0" w:firstLine="720"/>
        <w:jc w:val="both"/>
        <w:rPr>
          <w:rFonts w:ascii="Arial" w:hAnsi="Arial"/>
          <w:rtl/>
        </w:rPr>
      </w:pPr>
    </w:p>
    <w:p w14:paraId="54D2071C" w14:textId="77777777" w:rsidR="008C3F01" w:rsidRPr="00D16BE6" w:rsidRDefault="008C3F01" w:rsidP="008C3F01">
      <w:pPr>
        <w:rPr>
          <w:sz w:val="26"/>
          <w:szCs w:val="26"/>
          <w:rtl/>
        </w:rPr>
      </w:pPr>
    </w:p>
    <w:p w14:paraId="18679717" w14:textId="77777777" w:rsidR="008C3F01" w:rsidRPr="00D16BE6" w:rsidRDefault="008B4C0D" w:rsidP="008C3F01">
      <w:pPr>
        <w:rPr>
          <w:sz w:val="28"/>
          <w:szCs w:val="28"/>
          <w:rtl/>
        </w:rPr>
      </w:pPr>
      <w:r w:rsidRPr="008B4C0D">
        <w:rPr>
          <w:rFonts w:ascii="Arial" w:hAnsi="Arial"/>
          <w:color w:val="FFFFFF"/>
          <w:sz w:val="2"/>
          <w:szCs w:val="2"/>
          <w:rtl/>
        </w:rPr>
        <w:t>5129371</w:t>
      </w:r>
      <w:r>
        <w:rPr>
          <w:rFonts w:ascii="Arial" w:hAnsi="Arial"/>
          <w:sz w:val="26"/>
          <w:szCs w:val="26"/>
          <w:rtl/>
        </w:rPr>
        <w:t xml:space="preserve">ניתן היום,  ט' טבת תשע"ח, 27 דצמבר 2017, במעמד הנוכחים. </w:t>
      </w:r>
    </w:p>
    <w:p w14:paraId="591BFFA2" w14:textId="77777777" w:rsidR="008C3F01" w:rsidRPr="008B4C0D" w:rsidRDefault="008B4C0D" w:rsidP="008C3F01">
      <w:pPr>
        <w:jc w:val="center"/>
        <w:rPr>
          <w:color w:val="FFFFFF"/>
          <w:sz w:val="2"/>
          <w:szCs w:val="2"/>
        </w:rPr>
      </w:pPr>
      <w:r w:rsidRPr="008B4C0D">
        <w:rPr>
          <w:rFonts w:ascii="Arial" w:hAnsi="Arial"/>
          <w:color w:val="FFFFFF"/>
          <w:sz w:val="2"/>
          <w:szCs w:val="2"/>
          <w:rtl/>
        </w:rPr>
        <w:t>54678313</w:t>
      </w:r>
      <w:r w:rsidR="008C3F01" w:rsidRPr="008B4C0D">
        <w:rPr>
          <w:rFonts w:ascii="Arial" w:hAnsi="Arial" w:hint="cs"/>
          <w:color w:val="FFFFFF"/>
          <w:sz w:val="2"/>
          <w:szCs w:val="2"/>
          <w:rtl/>
        </w:rPr>
        <w:t xml:space="preserve">                                                                         </w:t>
      </w:r>
      <w:r w:rsidR="008C3F01" w:rsidRPr="008B4C0D">
        <w:rPr>
          <w:color w:val="FFFFFF"/>
          <w:sz w:val="2"/>
          <w:szCs w:val="2"/>
          <w:rtl/>
        </w:rPr>
        <w:t xml:space="preserve">     </w:t>
      </w:r>
    </w:p>
    <w:p w14:paraId="222ABF1F" w14:textId="77777777" w:rsidR="008C3F01" w:rsidRPr="00D16BE6" w:rsidRDefault="008C3F01" w:rsidP="008C3F01">
      <w:pPr>
        <w:jc w:val="center"/>
        <w:rPr>
          <w:rFonts w:ascii="Arial" w:hAnsi="Arial"/>
          <w:sz w:val="28"/>
          <w:szCs w:val="28"/>
          <w:rtl/>
        </w:rPr>
      </w:pPr>
    </w:p>
    <w:p w14:paraId="5CF2D6DC" w14:textId="77777777" w:rsidR="008C3F01" w:rsidRPr="00D16BE6" w:rsidRDefault="008C3F01" w:rsidP="008C3F01">
      <w:pPr>
        <w:rPr>
          <w:sz w:val="28"/>
          <w:szCs w:val="28"/>
          <w:rtl/>
        </w:rPr>
      </w:pPr>
    </w:p>
    <w:p w14:paraId="6B29A484" w14:textId="77777777" w:rsidR="008C3F01" w:rsidRPr="00D16BE6" w:rsidRDefault="008C3F01" w:rsidP="008C3F01">
      <w:pPr>
        <w:pStyle w:val="a3"/>
        <w:jc w:val="center"/>
        <w:rPr>
          <w:rtl/>
        </w:rPr>
      </w:pPr>
    </w:p>
    <w:p w14:paraId="379939B0" w14:textId="77777777" w:rsidR="008C3F01" w:rsidRDefault="008C3F01" w:rsidP="008C3F01">
      <w:pPr>
        <w:rPr>
          <w:rFonts w:ascii="Arial" w:hAnsi="Arial" w:cs="FrankRuehl"/>
          <w:sz w:val="28"/>
          <w:szCs w:val="28"/>
        </w:rPr>
      </w:pPr>
    </w:p>
    <w:p w14:paraId="0C46F7C5" w14:textId="77777777" w:rsidR="002D7B2F" w:rsidRPr="008B4C0D" w:rsidRDefault="002D7B2F" w:rsidP="008B4C0D">
      <w:pPr>
        <w:keepNext/>
        <w:rPr>
          <w:rFonts w:ascii="David" w:hAnsi="David"/>
          <w:color w:val="000000"/>
          <w:sz w:val="22"/>
          <w:szCs w:val="22"/>
          <w:rtl/>
        </w:rPr>
      </w:pPr>
    </w:p>
    <w:p w14:paraId="199C0A73" w14:textId="77777777" w:rsidR="008B4C0D" w:rsidRPr="008B4C0D" w:rsidRDefault="008B4C0D" w:rsidP="008B4C0D">
      <w:pPr>
        <w:keepNext/>
        <w:rPr>
          <w:rFonts w:ascii="David" w:hAnsi="David"/>
          <w:color w:val="000000"/>
          <w:sz w:val="22"/>
          <w:szCs w:val="22"/>
          <w:rtl/>
        </w:rPr>
      </w:pPr>
      <w:r w:rsidRPr="008B4C0D">
        <w:rPr>
          <w:rFonts w:ascii="David" w:hAnsi="David"/>
          <w:color w:val="000000"/>
          <w:sz w:val="22"/>
          <w:szCs w:val="22"/>
          <w:rtl/>
        </w:rPr>
        <w:t>מיכאל קרשן 54678313</w:t>
      </w:r>
    </w:p>
    <w:p w14:paraId="12499501" w14:textId="77777777" w:rsidR="008B4C0D" w:rsidRDefault="008B4C0D" w:rsidP="008B4C0D">
      <w:r w:rsidRPr="008B4C0D">
        <w:rPr>
          <w:color w:val="000000"/>
          <w:rtl/>
        </w:rPr>
        <w:t>נוסח מסמך זה כפוף לשינויי ניסוח ועריכה</w:t>
      </w:r>
    </w:p>
    <w:p w14:paraId="2BE5F5D2" w14:textId="77777777" w:rsidR="008B4C0D" w:rsidRDefault="008B4C0D" w:rsidP="008B4C0D">
      <w:pPr>
        <w:rPr>
          <w:rtl/>
        </w:rPr>
      </w:pPr>
    </w:p>
    <w:p w14:paraId="30144472" w14:textId="77777777" w:rsidR="008B4C0D" w:rsidRDefault="008B4C0D" w:rsidP="008B4C0D">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r w:rsidR="00535D51">
        <w:rPr>
          <w:rFonts w:hint="cs"/>
          <w:color w:val="0000FF"/>
          <w:u w:val="single"/>
          <w:rtl/>
        </w:rPr>
        <w:t xml:space="preserve"> </w:t>
      </w:r>
    </w:p>
    <w:p w14:paraId="14928403" w14:textId="77777777" w:rsidR="008B4C0D" w:rsidRPr="008B4C0D" w:rsidRDefault="008B4C0D" w:rsidP="008B4C0D">
      <w:pPr>
        <w:jc w:val="center"/>
        <w:rPr>
          <w:color w:val="0000FF"/>
          <w:u w:val="single"/>
        </w:rPr>
      </w:pPr>
    </w:p>
    <w:sectPr w:rsidR="008B4C0D" w:rsidRPr="008B4C0D" w:rsidSect="008B4C0D">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1C92F" w14:textId="77777777" w:rsidR="00A87658" w:rsidRDefault="00A87658" w:rsidP="007A7905">
      <w:r>
        <w:separator/>
      </w:r>
    </w:p>
  </w:endnote>
  <w:endnote w:type="continuationSeparator" w:id="0">
    <w:p w14:paraId="0948F6B0" w14:textId="77777777" w:rsidR="00A87658" w:rsidRDefault="00A87658" w:rsidP="007A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77DC1" w14:textId="77777777" w:rsidR="00A11065" w:rsidRDefault="00A11065" w:rsidP="008B4C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003A92" w14:textId="77777777" w:rsidR="00A11065" w:rsidRPr="008B4C0D" w:rsidRDefault="00A11065" w:rsidP="008B4C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1AB83" w14:textId="77777777" w:rsidR="00A11065" w:rsidRDefault="00A11065" w:rsidP="008B4C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3023">
      <w:rPr>
        <w:rFonts w:ascii="FrankRuehl" w:hAnsi="FrankRuehl" w:cs="FrankRuehl"/>
        <w:noProof/>
        <w:rtl/>
      </w:rPr>
      <w:t>1</w:t>
    </w:r>
    <w:r>
      <w:rPr>
        <w:rFonts w:ascii="FrankRuehl" w:hAnsi="FrankRuehl" w:cs="FrankRuehl"/>
        <w:rtl/>
      </w:rPr>
      <w:fldChar w:fldCharType="end"/>
    </w:r>
  </w:p>
  <w:p w14:paraId="1D2D6395" w14:textId="77777777" w:rsidR="00A11065" w:rsidRPr="008B4C0D" w:rsidRDefault="00A11065" w:rsidP="008B4C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2BD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A3B81" w14:textId="77777777" w:rsidR="00A87658" w:rsidRDefault="00A87658" w:rsidP="007A7905">
      <w:r>
        <w:separator/>
      </w:r>
    </w:p>
  </w:footnote>
  <w:footnote w:type="continuationSeparator" w:id="0">
    <w:p w14:paraId="405BECE5" w14:textId="77777777" w:rsidR="00A87658" w:rsidRDefault="00A87658" w:rsidP="007A7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961D3" w14:textId="77777777" w:rsidR="00A11065" w:rsidRPr="008B4C0D" w:rsidRDefault="00A11065" w:rsidP="008B4C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26525-12-15</w:t>
    </w:r>
    <w:r>
      <w:rPr>
        <w:rFonts w:ascii="David" w:hAnsi="David"/>
        <w:color w:val="000000"/>
        <w:sz w:val="22"/>
        <w:szCs w:val="22"/>
        <w:rtl/>
      </w:rPr>
      <w:tab/>
      <w:t xml:space="preserve"> מדינת ישראל נ' סאדן עאמר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6B1A7" w14:textId="77777777" w:rsidR="00A11065" w:rsidRPr="008B4C0D" w:rsidRDefault="00A11065" w:rsidP="008B4C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26525-12-15</w:t>
    </w:r>
    <w:r>
      <w:rPr>
        <w:rFonts w:ascii="David" w:hAnsi="David"/>
        <w:color w:val="000000"/>
        <w:sz w:val="22"/>
        <w:szCs w:val="22"/>
        <w:rtl/>
      </w:rPr>
      <w:tab/>
      <w:t xml:space="preserve"> מדינת ישראל נ' סאדן עאמר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16E09"/>
    <w:multiLevelType w:val="hybridMultilevel"/>
    <w:tmpl w:val="4A3A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16BE1"/>
    <w:multiLevelType w:val="hybridMultilevel"/>
    <w:tmpl w:val="CBD2E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6703825">
    <w:abstractNumId w:val="0"/>
  </w:num>
  <w:num w:numId="2" w16cid:durableId="574977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3F01"/>
    <w:rsid w:val="00082502"/>
    <w:rsid w:val="0009614A"/>
    <w:rsid w:val="002D7B2F"/>
    <w:rsid w:val="00535D51"/>
    <w:rsid w:val="006765BE"/>
    <w:rsid w:val="007A7905"/>
    <w:rsid w:val="008B4C0D"/>
    <w:rsid w:val="008C3F01"/>
    <w:rsid w:val="009A3023"/>
    <w:rsid w:val="00A11065"/>
    <w:rsid w:val="00A87658"/>
    <w:rsid w:val="00AB5DDC"/>
    <w:rsid w:val="00B76AC8"/>
    <w:rsid w:val="00BA16A0"/>
    <w:rsid w:val="00E334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CA2AF17"/>
  <w15:chartTrackingRefBased/>
  <w15:docId w15:val="{5B7D4FC5-376B-4A37-8108-40D97A51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3F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3F01"/>
    <w:pPr>
      <w:tabs>
        <w:tab w:val="center" w:pos="4153"/>
        <w:tab w:val="right" w:pos="8306"/>
      </w:tabs>
    </w:pPr>
  </w:style>
  <w:style w:type="character" w:customStyle="1" w:styleId="a4">
    <w:name w:val="כותרת עליונה תו"/>
    <w:link w:val="a3"/>
    <w:rsid w:val="008C3F01"/>
    <w:rPr>
      <w:rFonts w:ascii="Times New Roman" w:eastAsia="Times New Roman" w:hAnsi="Times New Roman" w:cs="David"/>
      <w:sz w:val="24"/>
      <w:szCs w:val="24"/>
    </w:rPr>
  </w:style>
  <w:style w:type="paragraph" w:styleId="a5">
    <w:name w:val="footer"/>
    <w:basedOn w:val="a"/>
    <w:link w:val="a6"/>
    <w:rsid w:val="008C3F01"/>
    <w:pPr>
      <w:tabs>
        <w:tab w:val="center" w:pos="4153"/>
        <w:tab w:val="right" w:pos="8306"/>
      </w:tabs>
    </w:pPr>
  </w:style>
  <w:style w:type="character" w:customStyle="1" w:styleId="a6">
    <w:name w:val="כותרת תחתונה תו"/>
    <w:link w:val="a5"/>
    <w:rsid w:val="008C3F01"/>
    <w:rPr>
      <w:rFonts w:ascii="Times New Roman" w:eastAsia="Times New Roman" w:hAnsi="Times New Roman" w:cs="David"/>
      <w:sz w:val="24"/>
      <w:szCs w:val="24"/>
    </w:rPr>
  </w:style>
  <w:style w:type="table" w:styleId="a7">
    <w:name w:val="Table Grid"/>
    <w:basedOn w:val="a1"/>
    <w:rsid w:val="008C3F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3F01"/>
  </w:style>
  <w:style w:type="paragraph" w:styleId="a9">
    <w:name w:val="List Paragraph"/>
    <w:basedOn w:val="a"/>
    <w:qFormat/>
    <w:rsid w:val="008C3F01"/>
    <w:pPr>
      <w:ind w:left="720"/>
      <w:contextualSpacing/>
    </w:pPr>
  </w:style>
  <w:style w:type="character" w:styleId="Hyperlink">
    <w:name w:val="Hyperlink"/>
    <w:rsid w:val="008B4C0D"/>
    <w:rPr>
      <w:color w:val="0563C1"/>
      <w:u w:val="single"/>
    </w:rPr>
  </w:style>
  <w:style w:type="character" w:styleId="aa">
    <w:name w:val="Unresolved Mention"/>
    <w:rsid w:val="008B4C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0881655"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205762686" TargetMode="External"/><Relationship Id="rId17" Type="http://schemas.openxmlformats.org/officeDocument/2006/relationships/hyperlink" Target="http://www.nevo.co.il/case/2041255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5240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780512" TargetMode="External"/><Relationship Id="rId23"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065816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1506</Words>
  <Characters>7531</Characters>
  <Application>Microsoft Office Word</Application>
  <DocSecurity>0</DocSecurity>
  <Lines>62</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9019</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3211376</vt:i4>
      </vt:variant>
      <vt:variant>
        <vt:i4>30</vt:i4>
      </vt:variant>
      <vt:variant>
        <vt:i4>0</vt:i4>
      </vt:variant>
      <vt:variant>
        <vt:i4>5</vt:i4>
      </vt:variant>
      <vt:variant>
        <vt:lpwstr>http://www.nevo.co.il/case/20412551</vt:lpwstr>
      </vt:variant>
      <vt:variant>
        <vt:lpwstr/>
      </vt:variant>
      <vt:variant>
        <vt:i4>7995492</vt:i4>
      </vt:variant>
      <vt:variant>
        <vt:i4>27</vt:i4>
      </vt:variant>
      <vt:variant>
        <vt:i4>0</vt:i4>
      </vt:variant>
      <vt:variant>
        <vt:i4>5</vt:i4>
      </vt:variant>
      <vt:variant>
        <vt:lpwstr>http://www.nevo.co.il/law/70301</vt:lpwstr>
      </vt:variant>
      <vt:variant>
        <vt:lpwstr/>
      </vt:variant>
      <vt:variant>
        <vt:i4>3735666</vt:i4>
      </vt:variant>
      <vt:variant>
        <vt:i4>24</vt:i4>
      </vt:variant>
      <vt:variant>
        <vt:i4>0</vt:i4>
      </vt:variant>
      <vt:variant>
        <vt:i4>5</vt:i4>
      </vt:variant>
      <vt:variant>
        <vt:lpwstr>http://www.nevo.co.il/case/6780512</vt:lpwstr>
      </vt:variant>
      <vt:variant>
        <vt:lpwstr/>
      </vt:variant>
      <vt:variant>
        <vt:i4>3801200</vt:i4>
      </vt:variant>
      <vt:variant>
        <vt:i4>21</vt:i4>
      </vt:variant>
      <vt:variant>
        <vt:i4>0</vt:i4>
      </vt:variant>
      <vt:variant>
        <vt:i4>5</vt:i4>
      </vt:variant>
      <vt:variant>
        <vt:lpwstr>http://www.nevo.co.il/case/20658167</vt:lpwstr>
      </vt:variant>
      <vt:variant>
        <vt:lpwstr/>
      </vt:variant>
      <vt:variant>
        <vt:i4>4063354</vt:i4>
      </vt:variant>
      <vt:variant>
        <vt:i4>18</vt:i4>
      </vt:variant>
      <vt:variant>
        <vt:i4>0</vt:i4>
      </vt:variant>
      <vt:variant>
        <vt:i4>5</vt:i4>
      </vt:variant>
      <vt:variant>
        <vt:lpwstr>http://www.nevo.co.il/case/20881655</vt:lpwstr>
      </vt:variant>
      <vt:variant>
        <vt:lpwstr/>
      </vt:variant>
      <vt:variant>
        <vt:i4>2949233</vt:i4>
      </vt:variant>
      <vt:variant>
        <vt:i4>15</vt:i4>
      </vt:variant>
      <vt:variant>
        <vt:i4>0</vt:i4>
      </vt:variant>
      <vt:variant>
        <vt:i4>5</vt:i4>
      </vt:variant>
      <vt:variant>
        <vt:lpwstr>http://www.nevo.co.il/case/ 5762686</vt:lpwstr>
      </vt:variant>
      <vt:variant>
        <vt:lpwstr/>
      </vt:variant>
      <vt:variant>
        <vt:i4>3145854</vt:i4>
      </vt:variant>
      <vt:variant>
        <vt:i4>12</vt:i4>
      </vt:variant>
      <vt:variant>
        <vt:i4>0</vt:i4>
      </vt:variant>
      <vt:variant>
        <vt:i4>5</vt:i4>
      </vt:variant>
      <vt:variant>
        <vt:lpwstr>http://www.nevo.co.il/case/5852404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26525</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סאדן עאמר;האדי עאמר</vt:lpwstr>
  </property>
  <property fmtid="{D5CDD505-2E9C-101B-9397-08002B2CF9AE}" pid="10" name="LAWYER">
    <vt:lpwstr>נעמי מששה;שרון גואטה</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20171227</vt:lpwstr>
  </property>
  <property fmtid="{D5CDD505-2E9C-101B-9397-08002B2CF9AE}" pid="14" name="TYPE_N_DATE">
    <vt:lpwstr>38020171227</vt:lpwstr>
  </property>
  <property fmtid="{D5CDD505-2E9C-101B-9397-08002B2CF9AE}" pid="15" name="WORDNUMPAGES">
    <vt:lpwstr>6</vt:lpwstr>
  </property>
  <property fmtid="{D5CDD505-2E9C-101B-9397-08002B2CF9AE}" pid="16" name="TYPE_ABS_DATE">
    <vt:lpwstr>380020171227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5852404;5762686;20881655;20658167;6780512;20412551</vt:lpwstr>
  </property>
  <property fmtid="{D5CDD505-2E9C-101B-9397-08002B2CF9AE}" pid="36" name="LAWLISTTMP1">
    <vt:lpwstr>70301/144.a</vt:lpwstr>
  </property>
</Properties>
</file>