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02E76" w:rsidRPr="002403CE" w14:paraId="054E6F35" w14:textId="77777777" w:rsidTr="003C1BD8">
        <w:trPr>
          <w:trHeight w:hRule="exact" w:val="418"/>
          <w:jc w:val="center"/>
        </w:trPr>
        <w:tc>
          <w:tcPr>
            <w:tcW w:w="8721" w:type="dxa"/>
            <w:gridSpan w:val="2"/>
          </w:tcPr>
          <w:p w14:paraId="4A2EED32" w14:textId="77777777" w:rsidR="00F02E76" w:rsidRPr="002403CE" w:rsidRDefault="00F02E76" w:rsidP="00B77D29">
            <w:pPr>
              <w:pStyle w:val="a3"/>
              <w:jc w:val="center"/>
              <w:rPr>
                <w:rFonts w:ascii="Tahoma" w:hAnsi="Tahoma" w:cs="Tahoma"/>
                <w:color w:val="000080"/>
                <w:rtl/>
              </w:rPr>
            </w:pPr>
            <w:bookmarkStart w:id="0" w:name="LastJudge"/>
            <w:r w:rsidRPr="002403CE">
              <w:rPr>
                <w:rFonts w:ascii="Tahoma" w:hAnsi="Tahoma" w:cs="Tahoma"/>
                <w:b/>
                <w:bCs/>
                <w:color w:val="000080"/>
                <w:rtl/>
              </w:rPr>
              <w:t>בית משפט השלום בכפר סבא</w:t>
            </w:r>
          </w:p>
        </w:tc>
      </w:tr>
      <w:tr w:rsidR="00F02E76" w:rsidRPr="002403CE" w14:paraId="1E61C6A9" w14:textId="77777777" w:rsidTr="003C1BD8">
        <w:trPr>
          <w:trHeight w:val="337"/>
          <w:jc w:val="center"/>
        </w:trPr>
        <w:tc>
          <w:tcPr>
            <w:tcW w:w="5054" w:type="dxa"/>
          </w:tcPr>
          <w:p w14:paraId="2D0D0824" w14:textId="77777777" w:rsidR="00F02E76" w:rsidRPr="002403CE" w:rsidRDefault="00F02E76" w:rsidP="00B77D29">
            <w:pPr>
              <w:rPr>
                <w:rFonts w:cs="FrankRuehl"/>
                <w:sz w:val="28"/>
                <w:szCs w:val="28"/>
                <w:rtl/>
              </w:rPr>
            </w:pPr>
            <w:r w:rsidRPr="002403CE">
              <w:rPr>
                <w:rFonts w:cs="FrankRuehl"/>
                <w:sz w:val="28"/>
                <w:szCs w:val="28"/>
                <w:rtl/>
              </w:rPr>
              <w:t>ת"פ</w:t>
            </w:r>
            <w:r w:rsidRPr="002403CE">
              <w:rPr>
                <w:rFonts w:cs="FrankRuehl" w:hint="cs"/>
                <w:sz w:val="28"/>
                <w:szCs w:val="28"/>
                <w:rtl/>
              </w:rPr>
              <w:t xml:space="preserve"> </w:t>
            </w:r>
            <w:r w:rsidRPr="002403CE">
              <w:rPr>
                <w:rFonts w:cs="FrankRuehl"/>
                <w:sz w:val="28"/>
                <w:szCs w:val="28"/>
                <w:rtl/>
              </w:rPr>
              <w:t>65958-12-15</w:t>
            </w:r>
            <w:r w:rsidRPr="002403CE">
              <w:rPr>
                <w:rFonts w:cs="FrankRuehl" w:hint="cs"/>
                <w:sz w:val="28"/>
                <w:szCs w:val="28"/>
                <w:rtl/>
              </w:rPr>
              <w:t xml:space="preserve"> </w:t>
            </w:r>
            <w:r w:rsidRPr="002403CE">
              <w:rPr>
                <w:rFonts w:cs="FrankRuehl"/>
                <w:sz w:val="28"/>
                <w:szCs w:val="28"/>
                <w:rtl/>
              </w:rPr>
              <w:t>מדינת ישראל נ' חאג יחיא</w:t>
            </w:r>
          </w:p>
          <w:p w14:paraId="67FE1648" w14:textId="77777777" w:rsidR="00F02E76" w:rsidRPr="002403CE" w:rsidRDefault="00F02E76" w:rsidP="00B77D29">
            <w:pPr>
              <w:pStyle w:val="a3"/>
              <w:rPr>
                <w:rFonts w:cs="FrankRuehl"/>
                <w:sz w:val="28"/>
                <w:szCs w:val="28"/>
                <w:rtl/>
              </w:rPr>
            </w:pPr>
          </w:p>
        </w:tc>
        <w:tc>
          <w:tcPr>
            <w:tcW w:w="3667" w:type="dxa"/>
          </w:tcPr>
          <w:p w14:paraId="19A9B3C2" w14:textId="77777777" w:rsidR="00F02E76" w:rsidRPr="002403CE" w:rsidRDefault="00F02E76" w:rsidP="00B77D29">
            <w:pPr>
              <w:pStyle w:val="a3"/>
              <w:jc w:val="right"/>
              <w:rPr>
                <w:rFonts w:cs="FrankRuehl"/>
                <w:sz w:val="28"/>
                <w:szCs w:val="28"/>
                <w:rtl/>
              </w:rPr>
            </w:pPr>
          </w:p>
        </w:tc>
      </w:tr>
    </w:tbl>
    <w:p w14:paraId="280F092D" w14:textId="77777777" w:rsidR="00F02E76" w:rsidRPr="002403CE" w:rsidRDefault="00F02E76" w:rsidP="00F02E76">
      <w:pPr>
        <w:pStyle w:val="a3"/>
        <w:rPr>
          <w:rtl/>
        </w:rPr>
      </w:pPr>
      <w:r w:rsidRPr="002403CE">
        <w:rPr>
          <w:rFonts w:hint="cs"/>
          <w:rtl/>
        </w:rPr>
        <w:t xml:space="preserve"> </w:t>
      </w:r>
    </w:p>
    <w:p w14:paraId="63DFDDA2" w14:textId="77777777" w:rsidR="00F02E76" w:rsidRPr="002403CE" w:rsidRDefault="00F02E76" w:rsidP="00F02E76">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02E76" w:rsidRPr="002403CE" w14:paraId="50B3EEC1" w14:textId="77777777" w:rsidTr="00F02E76">
        <w:trPr>
          <w:trHeight w:val="295"/>
          <w:jc w:val="center"/>
        </w:trPr>
        <w:tc>
          <w:tcPr>
            <w:tcW w:w="923" w:type="dxa"/>
            <w:tcBorders>
              <w:top w:val="nil"/>
              <w:left w:val="nil"/>
              <w:bottom w:val="nil"/>
              <w:right w:val="nil"/>
            </w:tcBorders>
            <w:shd w:val="clear" w:color="auto" w:fill="auto"/>
          </w:tcPr>
          <w:p w14:paraId="1E468B56" w14:textId="77777777" w:rsidR="00F02E76" w:rsidRPr="002403CE" w:rsidRDefault="00F02E76" w:rsidP="00F02E76">
            <w:pPr>
              <w:jc w:val="both"/>
              <w:rPr>
                <w:rFonts w:ascii="Arial" w:hAnsi="Arial" w:cs="FrankRuehl"/>
                <w:sz w:val="28"/>
                <w:szCs w:val="28"/>
              </w:rPr>
            </w:pPr>
            <w:r w:rsidRPr="002403CE">
              <w:rPr>
                <w:rFonts w:ascii="Arial" w:hAnsi="Arial" w:cs="FrankRuehl" w:hint="cs"/>
                <w:sz w:val="28"/>
                <w:szCs w:val="28"/>
                <w:rtl/>
              </w:rPr>
              <w:t>ב</w:t>
            </w:r>
            <w:r w:rsidRPr="002403C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35C22E9" w14:textId="77777777" w:rsidR="00F02E76" w:rsidRPr="002403CE" w:rsidRDefault="00F02E76" w:rsidP="00B77D29">
            <w:pPr>
              <w:rPr>
                <w:rFonts w:ascii="Arial" w:hAnsi="Arial"/>
                <w:b/>
                <w:bCs/>
              </w:rPr>
            </w:pPr>
            <w:r w:rsidRPr="002403CE">
              <w:rPr>
                <w:rFonts w:ascii="Arial" w:hAnsi="Arial" w:hint="cs"/>
                <w:b/>
                <w:bCs/>
                <w:rtl/>
              </w:rPr>
              <w:t>כבוד ה</w:t>
            </w:r>
            <w:r w:rsidRPr="002403CE">
              <w:rPr>
                <w:rFonts w:ascii="Arial" w:hAnsi="Arial"/>
                <w:b/>
                <w:bCs/>
                <w:rtl/>
              </w:rPr>
              <w:t>שופטת</w:t>
            </w:r>
            <w:r w:rsidRPr="002403CE">
              <w:rPr>
                <w:rFonts w:ascii="Arial" w:hAnsi="Arial" w:hint="cs"/>
                <w:b/>
                <w:bCs/>
                <w:rtl/>
              </w:rPr>
              <w:t xml:space="preserve">  </w:t>
            </w:r>
            <w:r w:rsidRPr="002403CE">
              <w:rPr>
                <w:rFonts w:ascii="Arial" w:hAnsi="Arial"/>
                <w:b/>
                <w:bCs/>
                <w:rtl/>
              </w:rPr>
              <w:t>מרב גרינברג</w:t>
            </w:r>
          </w:p>
        </w:tc>
      </w:tr>
      <w:tr w:rsidR="00F02E76" w:rsidRPr="002403CE" w14:paraId="2AED2FF5" w14:textId="77777777" w:rsidTr="00F02E76">
        <w:trPr>
          <w:trHeight w:val="355"/>
          <w:jc w:val="center"/>
        </w:trPr>
        <w:tc>
          <w:tcPr>
            <w:tcW w:w="923" w:type="dxa"/>
            <w:tcBorders>
              <w:top w:val="nil"/>
              <w:left w:val="nil"/>
              <w:bottom w:val="nil"/>
              <w:right w:val="nil"/>
            </w:tcBorders>
            <w:shd w:val="clear" w:color="auto" w:fill="auto"/>
          </w:tcPr>
          <w:p w14:paraId="21DB3F1A" w14:textId="77777777" w:rsidR="00F02E76" w:rsidRPr="002403CE" w:rsidRDefault="00F02E76" w:rsidP="00F02E76">
            <w:pPr>
              <w:jc w:val="both"/>
              <w:rPr>
                <w:rFonts w:ascii="Arial" w:hAnsi="Arial" w:cs="FrankRuehl"/>
                <w:sz w:val="28"/>
                <w:szCs w:val="28"/>
              </w:rPr>
            </w:pPr>
            <w:bookmarkStart w:id="1" w:name="FirstAppellant"/>
            <w:r w:rsidRPr="002403C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3108BE1" w14:textId="77777777" w:rsidR="00F02E76" w:rsidRPr="002403CE" w:rsidRDefault="00F02E76" w:rsidP="00B77D29">
            <w:r w:rsidRPr="002403C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CD322DC" w14:textId="77777777" w:rsidR="00F02E76" w:rsidRPr="002403CE" w:rsidRDefault="00F02E76" w:rsidP="00F02E76">
            <w:pPr>
              <w:jc w:val="both"/>
              <w:rPr>
                <w:rFonts w:ascii="Arial" w:hAnsi="Arial" w:cs="FrankRuehl"/>
                <w:sz w:val="28"/>
                <w:szCs w:val="28"/>
              </w:rPr>
            </w:pPr>
          </w:p>
        </w:tc>
      </w:tr>
      <w:bookmarkEnd w:id="1"/>
      <w:tr w:rsidR="00F02E76" w:rsidRPr="002403CE" w14:paraId="2D9F9A90" w14:textId="77777777" w:rsidTr="00F02E76">
        <w:trPr>
          <w:trHeight w:val="355"/>
          <w:jc w:val="center"/>
        </w:trPr>
        <w:tc>
          <w:tcPr>
            <w:tcW w:w="923" w:type="dxa"/>
            <w:tcBorders>
              <w:top w:val="nil"/>
              <w:left w:val="nil"/>
              <w:bottom w:val="nil"/>
              <w:right w:val="nil"/>
            </w:tcBorders>
            <w:shd w:val="clear" w:color="auto" w:fill="auto"/>
          </w:tcPr>
          <w:p w14:paraId="6855A244" w14:textId="77777777" w:rsidR="00F02E76" w:rsidRPr="002403CE" w:rsidRDefault="00F02E76" w:rsidP="00F02E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3F09DB" w14:textId="77777777" w:rsidR="00F02E76" w:rsidRPr="002403CE" w:rsidRDefault="00F02E76" w:rsidP="00F02E76">
            <w:pPr>
              <w:jc w:val="both"/>
              <w:rPr>
                <w:rtl/>
              </w:rPr>
            </w:pPr>
          </w:p>
        </w:tc>
        <w:tc>
          <w:tcPr>
            <w:tcW w:w="3771" w:type="dxa"/>
            <w:tcBorders>
              <w:top w:val="nil"/>
              <w:left w:val="nil"/>
              <w:bottom w:val="nil"/>
              <w:right w:val="nil"/>
            </w:tcBorders>
            <w:shd w:val="clear" w:color="auto" w:fill="auto"/>
          </w:tcPr>
          <w:p w14:paraId="6569F9C3" w14:textId="77777777" w:rsidR="00F02E76" w:rsidRPr="002403CE" w:rsidRDefault="00F02E76" w:rsidP="00F02E76">
            <w:pPr>
              <w:jc w:val="right"/>
              <w:rPr>
                <w:rFonts w:ascii="Arial" w:hAnsi="Arial" w:cs="FrankRuehl"/>
                <w:sz w:val="28"/>
                <w:szCs w:val="28"/>
                <w:rtl/>
              </w:rPr>
            </w:pPr>
            <w:r w:rsidRPr="002403CE">
              <w:rPr>
                <w:rFonts w:ascii="Arial" w:hAnsi="Arial" w:cs="FrankRuehl" w:hint="cs"/>
                <w:sz w:val="28"/>
                <w:szCs w:val="28"/>
                <w:rtl/>
              </w:rPr>
              <w:t>ה</w:t>
            </w:r>
            <w:r w:rsidRPr="002403CE">
              <w:rPr>
                <w:rFonts w:ascii="Arial" w:hAnsi="Arial" w:cs="FrankRuehl"/>
                <w:sz w:val="28"/>
                <w:szCs w:val="28"/>
                <w:rtl/>
              </w:rPr>
              <w:t>מאשימה</w:t>
            </w:r>
          </w:p>
        </w:tc>
      </w:tr>
      <w:tr w:rsidR="00F02E76" w:rsidRPr="002403CE" w14:paraId="6C9E3583" w14:textId="77777777" w:rsidTr="00F02E76">
        <w:trPr>
          <w:trHeight w:val="355"/>
          <w:jc w:val="center"/>
        </w:trPr>
        <w:tc>
          <w:tcPr>
            <w:tcW w:w="923" w:type="dxa"/>
            <w:tcBorders>
              <w:top w:val="nil"/>
              <w:left w:val="nil"/>
              <w:bottom w:val="nil"/>
              <w:right w:val="nil"/>
            </w:tcBorders>
            <w:shd w:val="clear" w:color="auto" w:fill="auto"/>
          </w:tcPr>
          <w:p w14:paraId="5EF94F4B" w14:textId="77777777" w:rsidR="00F02E76" w:rsidRPr="002403CE" w:rsidRDefault="00F02E76" w:rsidP="00F02E7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D63C6F1" w14:textId="77777777" w:rsidR="00F02E76" w:rsidRPr="002403CE" w:rsidRDefault="00F02E76" w:rsidP="00F02E76">
            <w:pPr>
              <w:jc w:val="center"/>
              <w:rPr>
                <w:rFonts w:ascii="Arial" w:hAnsi="Arial" w:cs="FrankRuehl"/>
                <w:b/>
                <w:bCs/>
                <w:sz w:val="28"/>
                <w:szCs w:val="28"/>
                <w:rtl/>
              </w:rPr>
            </w:pPr>
          </w:p>
          <w:p w14:paraId="17D3C519" w14:textId="77777777" w:rsidR="00F02E76" w:rsidRPr="002403CE" w:rsidRDefault="00F02E76" w:rsidP="00F02E76">
            <w:pPr>
              <w:jc w:val="center"/>
              <w:rPr>
                <w:rFonts w:ascii="Arial" w:hAnsi="Arial" w:cs="FrankRuehl"/>
                <w:b/>
                <w:bCs/>
                <w:sz w:val="28"/>
                <w:szCs w:val="28"/>
                <w:rtl/>
              </w:rPr>
            </w:pPr>
            <w:r w:rsidRPr="002403CE">
              <w:rPr>
                <w:rFonts w:ascii="Arial" w:hAnsi="Arial" w:cs="FrankRuehl"/>
                <w:b/>
                <w:bCs/>
                <w:sz w:val="28"/>
                <w:szCs w:val="28"/>
                <w:rtl/>
              </w:rPr>
              <w:t>נגד</w:t>
            </w:r>
          </w:p>
          <w:p w14:paraId="323D16BE" w14:textId="77777777" w:rsidR="00F02E76" w:rsidRPr="002403CE" w:rsidRDefault="00F02E76" w:rsidP="00F02E76">
            <w:pPr>
              <w:jc w:val="both"/>
              <w:rPr>
                <w:rFonts w:ascii="Arial" w:hAnsi="Arial" w:cs="FrankRuehl"/>
                <w:sz w:val="28"/>
                <w:szCs w:val="28"/>
              </w:rPr>
            </w:pPr>
          </w:p>
        </w:tc>
      </w:tr>
      <w:tr w:rsidR="00F02E76" w:rsidRPr="002403CE" w14:paraId="3D309655" w14:textId="77777777" w:rsidTr="00F02E76">
        <w:trPr>
          <w:trHeight w:val="355"/>
          <w:jc w:val="center"/>
        </w:trPr>
        <w:tc>
          <w:tcPr>
            <w:tcW w:w="923" w:type="dxa"/>
            <w:tcBorders>
              <w:top w:val="nil"/>
              <w:left w:val="nil"/>
              <w:bottom w:val="nil"/>
              <w:right w:val="nil"/>
            </w:tcBorders>
            <w:shd w:val="clear" w:color="auto" w:fill="auto"/>
          </w:tcPr>
          <w:p w14:paraId="0C77CF2A" w14:textId="77777777" w:rsidR="00F02E76" w:rsidRPr="002403CE" w:rsidRDefault="00F02E76" w:rsidP="00B77D29">
            <w:pPr>
              <w:rPr>
                <w:rFonts w:ascii="Arial" w:hAnsi="Arial" w:cs="FrankRuehl"/>
                <w:sz w:val="28"/>
                <w:szCs w:val="28"/>
                <w:rtl/>
              </w:rPr>
            </w:pPr>
          </w:p>
        </w:tc>
        <w:tc>
          <w:tcPr>
            <w:tcW w:w="4126" w:type="dxa"/>
            <w:tcBorders>
              <w:top w:val="nil"/>
              <w:left w:val="nil"/>
              <w:bottom w:val="nil"/>
              <w:right w:val="nil"/>
            </w:tcBorders>
            <w:shd w:val="clear" w:color="auto" w:fill="auto"/>
          </w:tcPr>
          <w:p w14:paraId="6B533960" w14:textId="77777777" w:rsidR="00F02E76" w:rsidRPr="002403CE" w:rsidRDefault="00F02E76" w:rsidP="00B77D29">
            <w:pPr>
              <w:rPr>
                <w:rtl/>
              </w:rPr>
            </w:pPr>
            <w:r w:rsidRPr="002403CE">
              <w:rPr>
                <w:rFonts w:ascii="Arial" w:hAnsi="Arial" w:cs="FrankRuehl"/>
                <w:sz w:val="28"/>
                <w:szCs w:val="28"/>
                <w:rtl/>
              </w:rPr>
              <w:t>נור חאג יחיא</w:t>
            </w:r>
            <w:r w:rsidRPr="002403CE">
              <w:rPr>
                <w:rFonts w:hint="cs"/>
                <w:rtl/>
              </w:rPr>
              <w:t xml:space="preserve"> </w:t>
            </w:r>
          </w:p>
        </w:tc>
        <w:tc>
          <w:tcPr>
            <w:tcW w:w="3771" w:type="dxa"/>
            <w:tcBorders>
              <w:top w:val="nil"/>
              <w:left w:val="nil"/>
              <w:bottom w:val="nil"/>
              <w:right w:val="nil"/>
            </w:tcBorders>
            <w:shd w:val="clear" w:color="auto" w:fill="auto"/>
          </w:tcPr>
          <w:p w14:paraId="72CCFDC6" w14:textId="77777777" w:rsidR="00F02E76" w:rsidRPr="002403CE" w:rsidRDefault="00F02E76" w:rsidP="00F02E76">
            <w:pPr>
              <w:jc w:val="right"/>
              <w:rPr>
                <w:rFonts w:ascii="Arial" w:hAnsi="Arial" w:cs="FrankRuehl"/>
                <w:sz w:val="28"/>
                <w:szCs w:val="28"/>
              </w:rPr>
            </w:pPr>
          </w:p>
        </w:tc>
      </w:tr>
      <w:tr w:rsidR="00F02E76" w:rsidRPr="002403CE" w14:paraId="7398838F" w14:textId="77777777" w:rsidTr="00F02E76">
        <w:trPr>
          <w:trHeight w:val="355"/>
          <w:jc w:val="center"/>
        </w:trPr>
        <w:tc>
          <w:tcPr>
            <w:tcW w:w="923" w:type="dxa"/>
            <w:tcBorders>
              <w:top w:val="nil"/>
              <w:left w:val="nil"/>
              <w:bottom w:val="nil"/>
              <w:right w:val="nil"/>
            </w:tcBorders>
            <w:shd w:val="clear" w:color="auto" w:fill="auto"/>
          </w:tcPr>
          <w:p w14:paraId="0C040908" w14:textId="77777777" w:rsidR="00F02E76" w:rsidRPr="002403CE" w:rsidRDefault="00F02E76" w:rsidP="00F02E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1DB3CB2" w14:textId="77777777" w:rsidR="00F02E76" w:rsidRPr="002403CE" w:rsidRDefault="00F02E76" w:rsidP="00F02E76">
            <w:pPr>
              <w:jc w:val="both"/>
              <w:rPr>
                <w:rtl/>
              </w:rPr>
            </w:pPr>
          </w:p>
        </w:tc>
        <w:tc>
          <w:tcPr>
            <w:tcW w:w="3771" w:type="dxa"/>
            <w:tcBorders>
              <w:top w:val="nil"/>
              <w:left w:val="nil"/>
              <w:bottom w:val="nil"/>
              <w:right w:val="nil"/>
            </w:tcBorders>
            <w:shd w:val="clear" w:color="auto" w:fill="auto"/>
          </w:tcPr>
          <w:p w14:paraId="22B42267" w14:textId="77777777" w:rsidR="00F02E76" w:rsidRPr="002403CE" w:rsidRDefault="00F02E76" w:rsidP="00F02E76">
            <w:pPr>
              <w:jc w:val="right"/>
              <w:rPr>
                <w:rFonts w:ascii="Arial" w:hAnsi="Arial" w:cs="FrankRuehl"/>
                <w:sz w:val="28"/>
                <w:szCs w:val="28"/>
              </w:rPr>
            </w:pPr>
            <w:r w:rsidRPr="002403CE">
              <w:rPr>
                <w:rFonts w:ascii="Arial" w:hAnsi="Arial" w:cs="FrankRuehl" w:hint="cs"/>
                <w:sz w:val="28"/>
                <w:szCs w:val="28"/>
                <w:rtl/>
              </w:rPr>
              <w:t>ה</w:t>
            </w:r>
            <w:r w:rsidRPr="002403CE">
              <w:rPr>
                <w:rFonts w:ascii="Arial" w:hAnsi="Arial" w:cs="FrankRuehl"/>
                <w:sz w:val="28"/>
                <w:szCs w:val="28"/>
                <w:rtl/>
              </w:rPr>
              <w:t>נאשם</w:t>
            </w:r>
          </w:p>
        </w:tc>
      </w:tr>
    </w:tbl>
    <w:p w14:paraId="3CFC035B" w14:textId="77777777" w:rsidR="00F02E76" w:rsidRPr="002403CE" w:rsidRDefault="00F02E76" w:rsidP="00F02E76">
      <w:pPr>
        <w:rPr>
          <w:b/>
          <w:bCs/>
          <w:rtl/>
        </w:rPr>
      </w:pPr>
      <w:r w:rsidRPr="002403CE">
        <w:rPr>
          <w:rFonts w:hint="cs"/>
          <w:b/>
          <w:bCs/>
          <w:rtl/>
        </w:rPr>
        <w:t>נוכחים:</w:t>
      </w:r>
    </w:p>
    <w:p w14:paraId="2B197E05" w14:textId="77777777" w:rsidR="00F02E76" w:rsidRPr="002403CE" w:rsidRDefault="00F02E76" w:rsidP="00F02E76">
      <w:pPr>
        <w:rPr>
          <w:b/>
          <w:bCs/>
          <w:rtl/>
        </w:rPr>
      </w:pPr>
      <w:bookmarkStart w:id="2" w:name="FirstLawyer"/>
      <w:r w:rsidRPr="002403CE">
        <w:rPr>
          <w:rFonts w:hint="cs"/>
          <w:b/>
          <w:bCs/>
          <w:rtl/>
        </w:rPr>
        <w:t>ב"כ</w:t>
      </w:r>
      <w:bookmarkEnd w:id="2"/>
      <w:r w:rsidRPr="002403CE">
        <w:rPr>
          <w:rFonts w:hint="cs"/>
          <w:b/>
          <w:bCs/>
          <w:rtl/>
        </w:rPr>
        <w:t xml:space="preserve"> המאשימה עו"ד שירה סוכצקי</w:t>
      </w:r>
    </w:p>
    <w:p w14:paraId="0C0455FE" w14:textId="77777777" w:rsidR="00F02E76" w:rsidRPr="002403CE" w:rsidRDefault="00F02E76" w:rsidP="00F02E76">
      <w:pPr>
        <w:rPr>
          <w:b/>
          <w:bCs/>
          <w:rtl/>
        </w:rPr>
      </w:pPr>
      <w:r w:rsidRPr="002403CE">
        <w:rPr>
          <w:rFonts w:hint="cs"/>
          <w:b/>
          <w:bCs/>
          <w:rtl/>
        </w:rPr>
        <w:t>ב"כ הנאשם עו"ד מנדלמן</w:t>
      </w:r>
    </w:p>
    <w:p w14:paraId="1D63B263" w14:textId="77777777" w:rsidR="00F02E76" w:rsidRPr="002403CE" w:rsidRDefault="00F02E76" w:rsidP="00F02E76">
      <w:pPr>
        <w:rPr>
          <w:b/>
          <w:bCs/>
          <w:rtl/>
        </w:rPr>
      </w:pPr>
      <w:r w:rsidRPr="002403CE">
        <w:rPr>
          <w:rFonts w:hint="cs"/>
          <w:b/>
          <w:bCs/>
          <w:rtl/>
        </w:rPr>
        <w:t>הנאשם בעצמו</w:t>
      </w:r>
    </w:p>
    <w:p w14:paraId="14BF53E3" w14:textId="77777777" w:rsidR="003C1BD8" w:rsidRDefault="003C1BD8" w:rsidP="00F02E76">
      <w:pPr>
        <w:rPr>
          <w:rtl/>
        </w:rPr>
      </w:pPr>
      <w:bookmarkStart w:id="3" w:name="LawTable"/>
      <w:bookmarkEnd w:id="3"/>
    </w:p>
    <w:p w14:paraId="0B01EFBA" w14:textId="77777777" w:rsidR="003C1BD8" w:rsidRPr="003C1BD8" w:rsidRDefault="003C1BD8" w:rsidP="003C1BD8">
      <w:pPr>
        <w:spacing w:after="120" w:line="240" w:lineRule="exact"/>
        <w:ind w:left="283" w:hanging="283"/>
        <w:jc w:val="both"/>
        <w:rPr>
          <w:rFonts w:ascii="FrankRuehl" w:hAnsi="FrankRuehl" w:cs="FrankRuehl"/>
          <w:rtl/>
        </w:rPr>
      </w:pPr>
    </w:p>
    <w:p w14:paraId="64567840" w14:textId="77777777" w:rsidR="003C1BD8" w:rsidRPr="003C1BD8" w:rsidRDefault="003C1BD8" w:rsidP="003C1BD8">
      <w:pPr>
        <w:spacing w:after="120" w:line="240" w:lineRule="exact"/>
        <w:ind w:left="283" w:hanging="283"/>
        <w:jc w:val="both"/>
        <w:rPr>
          <w:rFonts w:ascii="FrankRuehl" w:hAnsi="FrankRuehl" w:cs="FrankRuehl"/>
          <w:rtl/>
        </w:rPr>
      </w:pPr>
      <w:r w:rsidRPr="003C1BD8">
        <w:rPr>
          <w:rFonts w:ascii="FrankRuehl" w:hAnsi="FrankRuehl" w:cs="FrankRuehl"/>
          <w:rtl/>
        </w:rPr>
        <w:t xml:space="preserve">חקיקה שאוזכרה: </w:t>
      </w:r>
    </w:p>
    <w:p w14:paraId="64502C9A" w14:textId="77777777" w:rsidR="003C1BD8" w:rsidRPr="003C1BD8" w:rsidRDefault="003C1BD8" w:rsidP="003C1BD8">
      <w:pPr>
        <w:spacing w:after="120" w:line="240" w:lineRule="exact"/>
        <w:ind w:left="283" w:hanging="283"/>
        <w:jc w:val="both"/>
        <w:rPr>
          <w:rFonts w:ascii="FrankRuehl" w:hAnsi="FrankRuehl" w:cs="FrankRuehl"/>
          <w:rtl/>
        </w:rPr>
      </w:pPr>
      <w:hyperlink r:id="rId7" w:history="1">
        <w:r w:rsidRPr="003C1BD8">
          <w:rPr>
            <w:rFonts w:ascii="FrankRuehl" w:hAnsi="FrankRuehl" w:cs="FrankRuehl"/>
            <w:color w:val="0000FF"/>
            <w:u w:val="single"/>
            <w:rtl/>
          </w:rPr>
          <w:t>חוק העונשין, תשל"ז-1977</w:t>
        </w:r>
      </w:hyperlink>
      <w:r w:rsidRPr="003C1BD8">
        <w:rPr>
          <w:rFonts w:ascii="FrankRuehl" w:hAnsi="FrankRuehl" w:cs="FrankRuehl"/>
          <w:rtl/>
        </w:rPr>
        <w:t xml:space="preserve">: סע'  </w:t>
      </w:r>
      <w:hyperlink r:id="rId8" w:history="1">
        <w:r w:rsidRPr="003C1BD8">
          <w:rPr>
            <w:rFonts w:ascii="FrankRuehl" w:hAnsi="FrankRuehl" w:cs="FrankRuehl"/>
            <w:color w:val="0000FF"/>
            <w:u w:val="single"/>
            <w:rtl/>
          </w:rPr>
          <w:t>144 (א)</w:t>
        </w:r>
      </w:hyperlink>
    </w:p>
    <w:p w14:paraId="72CC0BB9" w14:textId="77777777" w:rsidR="003C1BD8" w:rsidRPr="003C1BD8" w:rsidRDefault="003C1BD8" w:rsidP="003C1BD8">
      <w:pPr>
        <w:spacing w:after="120" w:line="240" w:lineRule="exact"/>
        <w:ind w:left="283" w:hanging="283"/>
        <w:jc w:val="both"/>
        <w:rPr>
          <w:rFonts w:ascii="FrankRuehl" w:hAnsi="FrankRuehl" w:cs="FrankRuehl"/>
          <w:rtl/>
        </w:rPr>
      </w:pPr>
    </w:p>
    <w:p w14:paraId="18EABB1C" w14:textId="77777777" w:rsidR="003C1BD8" w:rsidRPr="003C1BD8" w:rsidRDefault="003C1BD8" w:rsidP="00F02E76">
      <w:pPr>
        <w:rPr>
          <w:rtl/>
        </w:rPr>
      </w:pPr>
      <w:bookmarkStart w:id="4" w:name="LawTable_End"/>
      <w:bookmarkEnd w:id="4"/>
    </w:p>
    <w:p w14:paraId="0018E13D" w14:textId="77777777" w:rsidR="00F02E76" w:rsidRPr="002403CE" w:rsidRDefault="00F02E76" w:rsidP="00F02E76">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2E76" w14:paraId="73B1C28B" w14:textId="77777777" w:rsidTr="00F02E76">
        <w:trPr>
          <w:trHeight w:val="355"/>
          <w:jc w:val="center"/>
        </w:trPr>
        <w:tc>
          <w:tcPr>
            <w:tcW w:w="8820" w:type="dxa"/>
            <w:tcBorders>
              <w:top w:val="nil"/>
              <w:left w:val="nil"/>
              <w:bottom w:val="nil"/>
              <w:right w:val="nil"/>
            </w:tcBorders>
            <w:shd w:val="clear" w:color="auto" w:fill="auto"/>
          </w:tcPr>
          <w:p w14:paraId="5585A040" w14:textId="77777777" w:rsidR="002403CE" w:rsidRPr="002403CE" w:rsidRDefault="002403CE" w:rsidP="002403CE">
            <w:pPr>
              <w:jc w:val="center"/>
              <w:rPr>
                <w:rFonts w:ascii="Arial" w:hAnsi="Arial" w:cs="FrankRuehl"/>
                <w:b/>
                <w:bCs/>
                <w:sz w:val="32"/>
                <w:szCs w:val="32"/>
                <w:u w:val="single"/>
                <w:rtl/>
              </w:rPr>
            </w:pPr>
            <w:bookmarkStart w:id="5" w:name="PsakDin" w:colFirst="0" w:colLast="0"/>
            <w:bookmarkEnd w:id="0"/>
            <w:r w:rsidRPr="002403CE">
              <w:rPr>
                <w:rFonts w:ascii="Arial" w:hAnsi="Arial" w:cs="FrankRuehl"/>
                <w:b/>
                <w:bCs/>
                <w:sz w:val="32"/>
                <w:szCs w:val="32"/>
                <w:u w:val="single"/>
                <w:rtl/>
              </w:rPr>
              <w:t>גזר דין</w:t>
            </w:r>
          </w:p>
          <w:p w14:paraId="02618ED9" w14:textId="77777777" w:rsidR="00F02E76" w:rsidRPr="002403CE" w:rsidRDefault="00F02E76" w:rsidP="002403CE">
            <w:pPr>
              <w:jc w:val="center"/>
              <w:rPr>
                <w:rFonts w:ascii="Arial" w:hAnsi="Arial" w:cs="FrankRuehl"/>
                <w:bCs/>
                <w:sz w:val="32"/>
                <w:szCs w:val="32"/>
                <w:u w:val="single"/>
                <w:rtl/>
              </w:rPr>
            </w:pPr>
          </w:p>
        </w:tc>
      </w:tr>
      <w:bookmarkEnd w:id="5"/>
    </w:tbl>
    <w:p w14:paraId="058132AE" w14:textId="77777777" w:rsidR="00F02E76" w:rsidRPr="00B05847" w:rsidRDefault="00F02E76" w:rsidP="00F02E76">
      <w:pPr>
        <w:rPr>
          <w:rFonts w:ascii="Arial" w:hAnsi="Arial"/>
          <w:rtl/>
        </w:rPr>
      </w:pPr>
    </w:p>
    <w:p w14:paraId="48820212" w14:textId="77777777" w:rsidR="00F02E76" w:rsidRPr="00B05847" w:rsidRDefault="00F02E76" w:rsidP="00F02E76">
      <w:pPr>
        <w:rPr>
          <w:rtl/>
        </w:rPr>
      </w:pPr>
    </w:p>
    <w:p w14:paraId="3E96439B" w14:textId="77777777" w:rsidR="00F02E76" w:rsidRPr="00B05847" w:rsidRDefault="00F02E76" w:rsidP="00F02E76">
      <w:pPr>
        <w:rPr>
          <w:rtl/>
        </w:rPr>
      </w:pPr>
    </w:p>
    <w:p w14:paraId="25AC6DB2" w14:textId="77777777" w:rsidR="00F02E76" w:rsidRDefault="00F02E76" w:rsidP="00F02E76">
      <w:pPr>
        <w:pStyle w:val="a9"/>
        <w:numPr>
          <w:ilvl w:val="0"/>
          <w:numId w:val="1"/>
        </w:numPr>
        <w:spacing w:line="360" w:lineRule="auto"/>
        <w:ind w:left="360"/>
        <w:jc w:val="both"/>
        <w:rPr>
          <w:rFonts w:cs="David"/>
          <w:sz w:val="24"/>
          <w:szCs w:val="24"/>
        </w:rPr>
      </w:pPr>
      <w:bookmarkStart w:id="6" w:name="ABSTRACT_START"/>
      <w:bookmarkEnd w:id="6"/>
      <w:r>
        <w:rPr>
          <w:rFonts w:cs="David" w:hint="cs"/>
          <w:sz w:val="24"/>
          <w:szCs w:val="24"/>
          <w:rtl/>
        </w:rPr>
        <w:t xml:space="preserve">הנאשם, יליד 1984, הורשע על יסוד הודאתו, בעובדות כתב האישום מתוקן, בשלוש עבירות של החזקת נשק ותחמושת </w:t>
      </w:r>
      <w:r>
        <w:rPr>
          <w:rFonts w:cs="David" w:hint="cs"/>
          <w:sz w:val="24"/>
          <w:szCs w:val="24"/>
          <w:u w:val="single"/>
          <w:rtl/>
        </w:rPr>
        <w:t xml:space="preserve">לפי </w:t>
      </w:r>
      <w:hyperlink r:id="rId9" w:history="1">
        <w:r w:rsidR="003C1BD8" w:rsidRPr="003C1BD8">
          <w:rPr>
            <w:rFonts w:cs="David" w:hint="cs"/>
            <w:color w:val="0000FF"/>
            <w:sz w:val="24"/>
            <w:szCs w:val="24"/>
            <w:u w:val="single"/>
            <w:rtl/>
          </w:rPr>
          <w:t>סעיף</w:t>
        </w:r>
        <w:r w:rsidR="003C1BD8" w:rsidRPr="003C1BD8">
          <w:rPr>
            <w:rFonts w:cs="David"/>
            <w:color w:val="0000FF"/>
            <w:sz w:val="24"/>
            <w:szCs w:val="24"/>
            <w:u w:val="single"/>
            <w:rtl/>
          </w:rPr>
          <w:t xml:space="preserve"> 144 (</w:t>
        </w:r>
        <w:r w:rsidR="003C1BD8" w:rsidRPr="003C1BD8">
          <w:rPr>
            <w:rFonts w:cs="David" w:hint="cs"/>
            <w:color w:val="0000FF"/>
            <w:sz w:val="24"/>
            <w:szCs w:val="24"/>
            <w:u w:val="single"/>
            <w:rtl/>
          </w:rPr>
          <w:t>א</w:t>
        </w:r>
        <w:r w:rsidR="003C1BD8" w:rsidRPr="003C1BD8">
          <w:rPr>
            <w:rFonts w:cs="David"/>
            <w:color w:val="0000FF"/>
            <w:sz w:val="24"/>
            <w:szCs w:val="24"/>
            <w:u w:val="single"/>
            <w:rtl/>
          </w:rPr>
          <w:t>)</w:t>
        </w:r>
      </w:hyperlink>
      <w:r>
        <w:rPr>
          <w:rFonts w:cs="David" w:hint="cs"/>
          <w:sz w:val="24"/>
          <w:szCs w:val="24"/>
          <w:u w:val="single"/>
          <w:rtl/>
        </w:rPr>
        <w:t xml:space="preserve"> רישא וסיפא ל</w:t>
      </w:r>
      <w:hyperlink r:id="rId10" w:history="1">
        <w:r w:rsidR="002403CE" w:rsidRPr="002403CE">
          <w:rPr>
            <w:rFonts w:cs="David" w:hint="cs"/>
            <w:color w:val="0000FF"/>
            <w:sz w:val="24"/>
            <w:szCs w:val="24"/>
            <w:u w:val="single"/>
            <w:rtl/>
          </w:rPr>
          <w:t>חוק</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העונשין</w:t>
        </w:r>
      </w:hyperlink>
      <w:r>
        <w:rPr>
          <w:rFonts w:cs="David" w:hint="cs"/>
          <w:sz w:val="24"/>
          <w:szCs w:val="24"/>
          <w:u w:val="single"/>
          <w:rtl/>
        </w:rPr>
        <w:t xml:space="preserve"> התשל"ז-</w:t>
      </w:r>
      <w:r>
        <w:rPr>
          <w:rFonts w:cs="David" w:hint="cs"/>
          <w:sz w:val="24"/>
          <w:szCs w:val="24"/>
          <w:rtl/>
        </w:rPr>
        <w:t>1977.</w:t>
      </w:r>
    </w:p>
    <w:p w14:paraId="62F91E14" w14:textId="77777777" w:rsidR="00F02E76" w:rsidRPr="00451655" w:rsidRDefault="00F02E76" w:rsidP="00F02E76">
      <w:pPr>
        <w:pStyle w:val="a9"/>
        <w:spacing w:line="360" w:lineRule="auto"/>
        <w:ind w:left="360"/>
        <w:jc w:val="both"/>
        <w:rPr>
          <w:rFonts w:cs="David"/>
          <w:sz w:val="24"/>
          <w:szCs w:val="24"/>
        </w:rPr>
      </w:pPr>
    </w:p>
    <w:p w14:paraId="0A03CBFF"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לפי עובדות כתב האישום, ביום 24.12.15, החזיק הנאשם בביתו בטייבה אקדח זיג זאוור טעון במחסנית ו-8 כדורי אקדח בקוטר 9 מ"מ. עוד החזיק במקום מסתור מעל ארון במטבח ביתו, נשק מאולתר מסוג קרלו טעון במחסנית ובה 15 כדורי 9 מ"מ. באותו מועד, החזיק הנאשם אקדח נוסף ושתי מחסניות האחת ריקה ואחת מלאה ב-6 כדורי אקדח בקוטר 7.65 בתוך קופסה בספרייה בביתו. </w:t>
      </w:r>
    </w:p>
    <w:p w14:paraId="4EB5AA3C" w14:textId="77777777" w:rsidR="00F02E76" w:rsidRDefault="00F02E76" w:rsidP="00F02E76">
      <w:pPr>
        <w:pStyle w:val="a9"/>
        <w:spacing w:line="360" w:lineRule="auto"/>
        <w:ind w:left="360"/>
        <w:jc w:val="both"/>
        <w:rPr>
          <w:rFonts w:cs="David"/>
          <w:sz w:val="24"/>
          <w:szCs w:val="24"/>
        </w:rPr>
      </w:pPr>
      <w:bookmarkStart w:id="7" w:name="ABSTRACT_END"/>
      <w:bookmarkEnd w:id="7"/>
    </w:p>
    <w:p w14:paraId="2A50AD45" w14:textId="77777777" w:rsidR="00F02E76" w:rsidRDefault="00F02E76" w:rsidP="00F02E76">
      <w:pPr>
        <w:pStyle w:val="a9"/>
        <w:spacing w:line="360" w:lineRule="auto"/>
        <w:ind w:left="360"/>
        <w:jc w:val="both"/>
        <w:rPr>
          <w:rFonts w:cs="David"/>
          <w:b/>
          <w:bCs/>
          <w:sz w:val="24"/>
          <w:szCs w:val="24"/>
          <w:u w:val="single"/>
        </w:rPr>
      </w:pPr>
      <w:r>
        <w:rPr>
          <w:rFonts w:cs="David" w:hint="cs"/>
          <w:b/>
          <w:bCs/>
          <w:sz w:val="24"/>
          <w:szCs w:val="24"/>
          <w:u w:val="single"/>
          <w:rtl/>
        </w:rPr>
        <w:t>תסקיר שירות מבחן</w:t>
      </w:r>
    </w:p>
    <w:p w14:paraId="7413F200" w14:textId="77777777" w:rsidR="00F02E76" w:rsidRDefault="00F02E76" w:rsidP="00F02E76">
      <w:pPr>
        <w:pStyle w:val="a9"/>
        <w:spacing w:line="360" w:lineRule="auto"/>
        <w:ind w:left="360"/>
        <w:jc w:val="both"/>
        <w:rPr>
          <w:rFonts w:cs="David"/>
          <w:b/>
          <w:bCs/>
          <w:sz w:val="24"/>
          <w:szCs w:val="24"/>
          <w:u w:val="single"/>
          <w:rtl/>
        </w:rPr>
      </w:pPr>
    </w:p>
    <w:p w14:paraId="3C37E435"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lastRenderedPageBreak/>
        <w:t xml:space="preserve">בהתאם להסכמת הצדדים, התקבל תסקיר בעניינו של הנאשם ממנו עולה כי הינו בן למשפחה נורמטיבית ומכובדת, כבן 32 נשוי ואב לשני ילדים. הנאשם בעל חברת ניקיון, למד לימודים אקדמאיים. באשר לרקע לביצוע המעשים, טען שמצא את כלי הנשק ושלל החזקתם להגנה על משפחתו. לצד זאת הוסיף, שבאותה עת אביו שהתמודד על ראשות עיריית טייבה נקלע לאירוע ירי לעבר רכבו, מצב שעורר חשש רב במשפחתו ודאגה עמוקה לאב. שירות המבחן התרשם מקשרים אמיצים בין הנאשם לאביו, שהובילו להזדהות טוטלית עם שאיפות האב ומצוקותיו. עוד סבורים שהנאשם נטל על עצמו את תפקיד שמירת האב ואבטחתו וכי בתקופת ביצוע העבירות היה שרוי בלחצים בשל האיומים כלפי אביו ושאיפתו לניצחונו בבחירות. </w:t>
      </w:r>
    </w:p>
    <w:p w14:paraId="473AA8FC"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הנאשם הביע חרטה וצער על מעורבותו במעשים, שוהה תקופה ארוכה בתנאים מגבילים ונראה כי ההליך המשפטי גרם לו לטלטלה עמוקה בחייו. שירות המבחן התרשם עוד, שאין מדובר בנאשם בעל דפוסים עבריינים ונשקף ממנו סיכון נמוך להישנות התנהגות דומה. לצד זאת, התקשה הנאשם להעמיק בנסיבות וברקע למעשיו וצמצם שיתוף הפעולה הטיפולי עם שירות המבחן. באשר לעונש, סבורה קצינת המבחן, שהנאשם אינו בשל להליך טיפולי משמעותי והמליצה על ענישה מתונה לצד צו של"צ. </w:t>
      </w:r>
    </w:p>
    <w:p w14:paraId="30719C52" w14:textId="77777777" w:rsidR="00F02E76" w:rsidRDefault="00F02E76" w:rsidP="00F02E76">
      <w:pPr>
        <w:pStyle w:val="a9"/>
        <w:spacing w:line="360" w:lineRule="auto"/>
        <w:ind w:left="360"/>
        <w:jc w:val="both"/>
        <w:rPr>
          <w:rFonts w:cs="David"/>
          <w:sz w:val="24"/>
          <w:szCs w:val="24"/>
        </w:rPr>
      </w:pPr>
    </w:p>
    <w:p w14:paraId="1186C84A" w14:textId="77777777" w:rsidR="00F02E76" w:rsidRDefault="00F02E76" w:rsidP="00F02E76">
      <w:pPr>
        <w:pStyle w:val="a9"/>
        <w:spacing w:line="360" w:lineRule="auto"/>
        <w:ind w:left="360"/>
        <w:jc w:val="both"/>
        <w:rPr>
          <w:rFonts w:cs="David"/>
          <w:sz w:val="24"/>
          <w:szCs w:val="24"/>
          <w:rtl/>
        </w:rPr>
      </w:pPr>
      <w:r>
        <w:rPr>
          <w:rFonts w:cs="David" w:hint="cs"/>
          <w:b/>
          <w:bCs/>
          <w:sz w:val="24"/>
          <w:szCs w:val="24"/>
          <w:u w:val="single"/>
          <w:rtl/>
        </w:rPr>
        <w:t>טיעוני הצדדים</w:t>
      </w:r>
    </w:p>
    <w:p w14:paraId="7ABE71D5"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ב"כ המאשימה, עו"ד ערד, עמדה על החומרה הגלומה במעשי הנאשם והחובה להחמיר בעונש מחזיקי נשק שלא כדין. לשיטתה, הפגיעה בערך המוגן חמורה נוכח ריבוי כלי הנשק. עוד סבורה שהרקע לביצוע העבירות שבא לידי ביטוי בהגשת תלונות מצד הנאשם ומשפחתו על הצתות רכבם וירי אינו מצדיק המעשים. המאשימה עתרה למתחם ענישה שנע בין 3-5 שנים, מבקשת למקם עונשו בתחתית המתחם בשל נסיבותיו, לצד מאסר על תנאי וקנס. </w:t>
      </w:r>
    </w:p>
    <w:p w14:paraId="7721E5FF" w14:textId="77777777" w:rsidR="00F02E76" w:rsidRDefault="00F02E76" w:rsidP="00F02E76">
      <w:pPr>
        <w:pStyle w:val="a9"/>
        <w:spacing w:line="360" w:lineRule="auto"/>
        <w:ind w:left="360"/>
        <w:jc w:val="both"/>
        <w:rPr>
          <w:rFonts w:cs="David"/>
          <w:sz w:val="24"/>
          <w:szCs w:val="24"/>
        </w:rPr>
      </w:pPr>
    </w:p>
    <w:p w14:paraId="6A815DF2"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מנגד, עתר ב"כ הנאשם, עו"ד מנדלמן, להקל עם הנאשם. ב"כ הנאשם הפנה לנסיבותיו החיוביות, כשהאירוע נשוא כתב אישום חריג מאד בנוף חייו. ב"כ הנאשם עמד על המצוקה וחוסר האונים בהם היה שרוי הנאשם, עת אחרים פעלו באלימות כנגד משפחתו ותלונותיהם לא טופלו ע"י המשטרה (הוצגה רשימת תלונות שהוגשו ע"י משפחת הנאשם בשנים 2012-2015, סומן נ/1). באשר למעשי הנאשם סבור, שנעשו על רקע הגנה עצמית ומכורח הנסיבות ועתר להסתפק בענישה שאינה כוללת מאסר ממש או לסטייה ממתחם הענישה לצרכי שיקום.  </w:t>
      </w:r>
    </w:p>
    <w:p w14:paraId="7FFE05EB" w14:textId="77777777" w:rsidR="00F02E76" w:rsidRDefault="00F02E76" w:rsidP="00F02E76">
      <w:pPr>
        <w:pStyle w:val="a9"/>
        <w:spacing w:line="360" w:lineRule="auto"/>
        <w:ind w:left="360"/>
        <w:jc w:val="both"/>
        <w:rPr>
          <w:rFonts w:cs="David"/>
          <w:sz w:val="24"/>
          <w:szCs w:val="24"/>
        </w:rPr>
      </w:pPr>
    </w:p>
    <w:p w14:paraId="4F3615FC"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עוד שמעתי את אבי הנאשם ורעייתו. האב, המשמש שנים רבות כמנהל בית ספר תיכון בעיר טירה, סיפר, כי בסמיכות למועד מציאת הנשק חש סיכון רב לחייו ולחיי משפחתו וכי המשטרה לא טיפלה בתלונותיהם. עוד הסתייג מהחזקת הנשק אך הסביר על תפקידו המרכזי של הנאשם במשפחה המורחבת והקשר החם ביניהם. אשת הנאשם, מחנכת בבית ספר בלוד, סיפרה </w:t>
      </w:r>
      <w:r>
        <w:rPr>
          <w:rFonts w:cs="David" w:hint="cs"/>
          <w:sz w:val="24"/>
          <w:szCs w:val="24"/>
          <w:rtl/>
        </w:rPr>
        <w:lastRenderedPageBreak/>
        <w:t>שהנאשם הינו אדם נורמטיבי ומסור מאד למשפחה. עוד הסבירה שבאותה תקופה הייתה נתונה בחשש ופחד מפני פגיעה בה וילדיה.</w:t>
      </w:r>
    </w:p>
    <w:p w14:paraId="68F64A13" w14:textId="77777777" w:rsidR="00F02E76" w:rsidRDefault="00F02E76" w:rsidP="00F02E76">
      <w:pPr>
        <w:pStyle w:val="a9"/>
        <w:spacing w:line="360" w:lineRule="auto"/>
        <w:ind w:left="360"/>
        <w:jc w:val="both"/>
        <w:rPr>
          <w:rFonts w:cs="David"/>
          <w:sz w:val="24"/>
          <w:szCs w:val="24"/>
        </w:rPr>
      </w:pPr>
    </w:p>
    <w:p w14:paraId="4B849976"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 הנאשם עצמו, בדברים כנים ומרגשים, הביע חרטה עמוקה על מעשיו, הסביר שעובד כמנהל עסק גדול וחש אחראי לכל משפחתו. הנאשם סיפר כי הליך המשפטי והתנאים המגבילים היוו עבורו טלטלה קשה וביקש להתחשב בו. </w:t>
      </w:r>
    </w:p>
    <w:p w14:paraId="3900268C" w14:textId="77777777" w:rsidR="00F02E76" w:rsidRDefault="00F02E76" w:rsidP="00F02E76">
      <w:pPr>
        <w:pStyle w:val="a9"/>
        <w:spacing w:line="360" w:lineRule="auto"/>
        <w:ind w:left="360"/>
        <w:jc w:val="both"/>
        <w:rPr>
          <w:rFonts w:cs="David"/>
          <w:sz w:val="24"/>
          <w:szCs w:val="24"/>
        </w:rPr>
      </w:pPr>
    </w:p>
    <w:p w14:paraId="55D3AB2A" w14:textId="77777777" w:rsidR="00F02E76" w:rsidRDefault="00F02E76" w:rsidP="00F02E76">
      <w:pPr>
        <w:pStyle w:val="a9"/>
        <w:spacing w:line="360" w:lineRule="auto"/>
        <w:ind w:left="360"/>
        <w:jc w:val="both"/>
        <w:rPr>
          <w:rFonts w:cs="David"/>
          <w:b/>
          <w:bCs/>
          <w:sz w:val="24"/>
          <w:szCs w:val="24"/>
          <w:u w:val="single"/>
          <w:rtl/>
        </w:rPr>
      </w:pPr>
      <w:r>
        <w:rPr>
          <w:rFonts w:cs="David" w:hint="cs"/>
          <w:b/>
          <w:bCs/>
          <w:sz w:val="24"/>
          <w:szCs w:val="24"/>
          <w:u w:val="single"/>
          <w:rtl/>
        </w:rPr>
        <w:t xml:space="preserve">דיון והכרעה </w:t>
      </w:r>
    </w:p>
    <w:p w14:paraId="345A5016" w14:textId="77777777" w:rsidR="00F02E76" w:rsidRDefault="00F02E76" w:rsidP="00F02E76">
      <w:pPr>
        <w:pStyle w:val="a9"/>
        <w:spacing w:line="360" w:lineRule="auto"/>
        <w:ind w:left="360"/>
        <w:jc w:val="both"/>
        <w:rPr>
          <w:rFonts w:cs="David"/>
          <w:sz w:val="24"/>
          <w:szCs w:val="24"/>
          <w:rtl/>
        </w:rPr>
      </w:pPr>
    </w:p>
    <w:p w14:paraId="07BF3011"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אין חולק שמעשיו של הנאשם חמורים ומקימים סכנה ניכרת לשלום הציבור. הפסיקה כינתה ובצדק מעשים אלו בגדר "מכת אזור" המחייבת הרתעת הנאשם ואחרים שכמותו באמצעות ענישה קשה. נוכח הסיכון הממשי הנשקף לביטחון הציבור מעבירות נשק, מורה הפסיקה כי במסגרת שיקולי הענישה יינתן על דרך הכלל משקל רב יותר לאינטרס הציבורי על פני נסיבותיו האישיות של הנאשם (ראו: </w:t>
      </w:r>
      <w:r>
        <w:rPr>
          <w:rFonts w:cs="David" w:hint="cs"/>
          <w:sz w:val="24"/>
          <w:szCs w:val="24"/>
          <w:u w:val="single"/>
          <w:rtl/>
        </w:rPr>
        <w:t xml:space="preserve">רע"פ 6583/06 </w:t>
      </w:r>
      <w:r>
        <w:rPr>
          <w:rFonts w:cs="Miriam" w:hint="cs"/>
          <w:sz w:val="24"/>
          <w:szCs w:val="24"/>
          <w:rtl/>
        </w:rPr>
        <w:t>אגא אדהאם נ' מדינת ישראל</w:t>
      </w:r>
      <w:r>
        <w:rPr>
          <w:rFonts w:cs="David" w:hint="cs"/>
          <w:sz w:val="24"/>
          <w:szCs w:val="24"/>
          <w:rtl/>
        </w:rPr>
        <w:t xml:space="preserve">, 5.12.06). מחזיקי נשק לא מורשים, כדוגמת הנאשם, שאינם מתאפיינים ברגיל בדפוסי התנהגות עבריינים, נוטלים את החוק לידיהם ומטעמי הגנה על חייהם או חיי משפחתם, רוכשים בדרך לא דרך תתי מקלע, רובים ואקדחים לצד תחמושת מתאימה ומסתירים הנשק בביתם במטרה לעשות בו שימוש קטלני בעת צורך. </w:t>
      </w:r>
    </w:p>
    <w:p w14:paraId="4CA3A802" w14:textId="77777777" w:rsidR="00F02E76" w:rsidRDefault="00F02E76" w:rsidP="00F02E76">
      <w:pPr>
        <w:pStyle w:val="a9"/>
        <w:spacing w:line="360" w:lineRule="auto"/>
        <w:ind w:left="360"/>
        <w:jc w:val="both"/>
        <w:rPr>
          <w:rFonts w:cs="David"/>
          <w:sz w:val="24"/>
          <w:szCs w:val="24"/>
        </w:rPr>
      </w:pPr>
      <w:r>
        <w:rPr>
          <w:rFonts w:cs="David" w:hint="cs"/>
          <w:sz w:val="24"/>
          <w:szCs w:val="24"/>
          <w:rtl/>
        </w:rPr>
        <w:t xml:space="preserve"> </w:t>
      </w:r>
    </w:p>
    <w:p w14:paraId="3D713888"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בתי המשפט עמדו, חזור ושנה, על החומרה הרבה הגלומה בהחזקת נשק שלא כדין. עוד נפסק, כי חומרתן של העבירות בנשק אינה מסתכמת רק בנזק שאירע בפועל אלא בפוטנציאל הטמון בחובן לסיכון של פגיעה בשלום הציבור ובטחונו (ראו </w:t>
      </w:r>
      <w:hyperlink r:id="rId11"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116/13</w:t>
        </w:r>
      </w:hyperlink>
      <w:r>
        <w:rPr>
          <w:rFonts w:cs="David" w:hint="cs"/>
          <w:sz w:val="24"/>
          <w:szCs w:val="24"/>
          <w:u w:val="single"/>
          <w:rtl/>
        </w:rPr>
        <w:t xml:space="preserve"> </w:t>
      </w:r>
      <w:r>
        <w:rPr>
          <w:rFonts w:cs="Miriam" w:hint="cs"/>
          <w:sz w:val="24"/>
          <w:szCs w:val="24"/>
          <w:rtl/>
        </w:rPr>
        <w:t>וקנין נ' מדינת ישראל</w:t>
      </w:r>
      <w:r>
        <w:rPr>
          <w:rFonts w:cs="David" w:hint="cs"/>
          <w:sz w:val="24"/>
          <w:szCs w:val="24"/>
          <w:rtl/>
        </w:rPr>
        <w:t>, מיום 31.07.13). כך נקבע שעבירת החזקת נשק ללא רשות כדין, עקב חומרתה, מצדיקה הטלת עונשי מאסר בפועל, גם על נאשמים שזו להם מעורבותם הראשונה עם החוק וכי  "</w:t>
      </w:r>
      <w:r>
        <w:rPr>
          <w:rFonts w:cs="David" w:hint="cs"/>
          <w:b/>
          <w:bCs/>
          <w:sz w:val="24"/>
          <w:szCs w:val="24"/>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  לחץ ופחד</w:t>
      </w:r>
      <w:r>
        <w:rPr>
          <w:rFonts w:cs="David" w:hint="cs"/>
          <w:sz w:val="24"/>
          <w:szCs w:val="24"/>
          <w:rtl/>
        </w:rPr>
        <w:t>" (</w:t>
      </w:r>
      <w:hyperlink r:id="rId12"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4945/13</w:t>
        </w:r>
      </w:hyperlink>
      <w:r>
        <w:rPr>
          <w:rFonts w:cs="David" w:hint="cs"/>
          <w:sz w:val="24"/>
          <w:szCs w:val="24"/>
          <w:rtl/>
        </w:rPr>
        <w:t xml:space="preserve"> </w:t>
      </w:r>
      <w:r>
        <w:rPr>
          <w:rFonts w:cs="Miriam" w:hint="cs"/>
          <w:sz w:val="24"/>
          <w:szCs w:val="24"/>
          <w:rtl/>
        </w:rPr>
        <w:t>מדינת ישראל נ' עבד אלכרים</w:t>
      </w:r>
      <w:r>
        <w:rPr>
          <w:rFonts w:cs="David" w:hint="cs"/>
          <w:sz w:val="24"/>
          <w:szCs w:val="24"/>
          <w:rtl/>
        </w:rPr>
        <w:t xml:space="preserve"> (19.1.14) ).</w:t>
      </w:r>
      <w:r>
        <w:rPr>
          <w:rFonts w:ascii="Times New Roman" w:hAnsi="Times New Roman" w:cs="Times New Roman"/>
          <w:sz w:val="24"/>
          <w:szCs w:val="24"/>
          <w:rtl/>
        </w:rPr>
        <w:t xml:space="preserve"> </w:t>
      </w:r>
    </w:p>
    <w:p w14:paraId="3B929126" w14:textId="77777777" w:rsidR="00F02E76" w:rsidRDefault="00F02E76" w:rsidP="00F02E76">
      <w:pPr>
        <w:pStyle w:val="a9"/>
        <w:spacing w:line="360" w:lineRule="auto"/>
        <w:ind w:left="360"/>
        <w:jc w:val="both"/>
        <w:rPr>
          <w:rFonts w:cs="David"/>
          <w:sz w:val="24"/>
          <w:szCs w:val="24"/>
        </w:rPr>
      </w:pPr>
    </w:p>
    <w:p w14:paraId="00D72D2F"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בענייננו, החזיק הנאשם בשלושה כלי נשק - שני אקדחים ותת מקלע מאולתר מסוג "קרלו", לצד תחמושת מתאימה. התנהלות זו, הבאה לידי ביטוי בהסתרת כלי הנשק, החזקת כלי נשק טעונים ומוכנים להפעלה במקומות שונים בביתו ותחמושת תואמת, מעצימה את פגיעתו בערכים המוגנים. עוצמת הפגיעה באה לידי ביטוי במספר היבטים: </w:t>
      </w:r>
      <w:r>
        <w:rPr>
          <w:rFonts w:cs="David" w:hint="cs"/>
          <w:b/>
          <w:bCs/>
          <w:sz w:val="24"/>
          <w:szCs w:val="24"/>
          <w:rtl/>
        </w:rPr>
        <w:t>הראשון</w:t>
      </w:r>
      <w:r>
        <w:rPr>
          <w:rFonts w:cs="David" w:hint="cs"/>
          <w:sz w:val="24"/>
          <w:szCs w:val="24"/>
          <w:rtl/>
        </w:rPr>
        <w:t xml:space="preserve"> בהם- ריבוי כלי הנשק. כאמור, עסקינן בשלושה כלי נשק שונים; </w:t>
      </w:r>
      <w:r>
        <w:rPr>
          <w:rFonts w:cs="David" w:hint="cs"/>
          <w:b/>
          <w:bCs/>
          <w:sz w:val="24"/>
          <w:szCs w:val="24"/>
          <w:rtl/>
        </w:rPr>
        <w:t>השני</w:t>
      </w:r>
      <w:r>
        <w:rPr>
          <w:rFonts w:cs="David" w:hint="cs"/>
          <w:sz w:val="24"/>
          <w:szCs w:val="24"/>
          <w:rtl/>
        </w:rPr>
        <w:t xml:space="preserve"> -המדובר בכלי נשק התקפיים ופוגעניים, לרבות תת מקלע; </w:t>
      </w:r>
      <w:r>
        <w:rPr>
          <w:rFonts w:cs="David" w:hint="cs"/>
          <w:b/>
          <w:bCs/>
          <w:sz w:val="24"/>
          <w:szCs w:val="24"/>
          <w:rtl/>
        </w:rPr>
        <w:t>השלישי</w:t>
      </w:r>
      <w:r>
        <w:rPr>
          <w:rFonts w:cs="David" w:hint="cs"/>
          <w:sz w:val="24"/>
          <w:szCs w:val="24"/>
          <w:rtl/>
        </w:rPr>
        <w:t>, החזקת כלי נשק טעונים ותחמושת נגישה המעידים על כוונה ברורה לעשות בהם שימוש, ו</w:t>
      </w:r>
      <w:r>
        <w:rPr>
          <w:rFonts w:cs="David" w:hint="cs"/>
          <w:b/>
          <w:bCs/>
          <w:sz w:val="24"/>
          <w:szCs w:val="24"/>
          <w:rtl/>
        </w:rPr>
        <w:t>האחרון</w:t>
      </w:r>
      <w:r>
        <w:rPr>
          <w:rFonts w:cs="David" w:hint="cs"/>
          <w:sz w:val="24"/>
          <w:szCs w:val="24"/>
          <w:rtl/>
        </w:rPr>
        <w:t xml:space="preserve">- תכנון המעשים הבא לידי ביטוי ברכישת הנשק, חימושו והסתרתו.  </w:t>
      </w:r>
    </w:p>
    <w:p w14:paraId="59ED1766" w14:textId="77777777" w:rsidR="00F02E76" w:rsidRDefault="00F02E76" w:rsidP="00F02E76">
      <w:pPr>
        <w:pStyle w:val="a9"/>
        <w:ind w:left="360"/>
        <w:rPr>
          <w:rFonts w:cs="David"/>
          <w:sz w:val="24"/>
          <w:szCs w:val="24"/>
        </w:rPr>
      </w:pPr>
    </w:p>
    <w:p w14:paraId="77A78E27" w14:textId="77777777" w:rsidR="00F02E76" w:rsidRDefault="00F02E76" w:rsidP="00F02E76">
      <w:pPr>
        <w:pStyle w:val="a9"/>
        <w:ind w:left="360"/>
        <w:rPr>
          <w:rFonts w:cs="David"/>
          <w:b/>
          <w:bCs/>
          <w:sz w:val="24"/>
          <w:szCs w:val="24"/>
          <w:u w:val="single"/>
          <w:rtl/>
        </w:rPr>
      </w:pPr>
      <w:r>
        <w:rPr>
          <w:rFonts w:cs="David" w:hint="cs"/>
          <w:b/>
          <w:bCs/>
          <w:sz w:val="24"/>
          <w:szCs w:val="24"/>
          <w:u w:val="single"/>
          <w:rtl/>
        </w:rPr>
        <w:t>החזקת נשק לצרכי הגנה עצמית</w:t>
      </w:r>
    </w:p>
    <w:p w14:paraId="72055B43" w14:textId="77777777" w:rsidR="00F02E76" w:rsidRDefault="00F02E76" w:rsidP="00F02E76">
      <w:pPr>
        <w:pStyle w:val="a9"/>
        <w:spacing w:line="360" w:lineRule="auto"/>
        <w:ind w:left="360"/>
        <w:jc w:val="both"/>
        <w:rPr>
          <w:rFonts w:cs="David"/>
          <w:sz w:val="24"/>
          <w:szCs w:val="24"/>
          <w:rtl/>
        </w:rPr>
      </w:pPr>
    </w:p>
    <w:p w14:paraId="528B0529"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 ב"כ הנאשם, בטיעוניו, לא הקהה מחומרת מעשי הנאשם אך סבור, שמשהוחזקו למטרות הגנה על משפחתו הקרובה בלבד ולא לצורך ביצוע עבירות פליליות או למטרות עוינות, יש בכך כדי להביא להקלה עם הנאשם. לשיטתו, הנאשם שברגיל הינו אדם נורמטיבי ונעדר דפוסים עבריינים, נאלץ בלית ברירה להחזיק בכלי נשק כדי להגן על בני משפחתו ובראשם אביו, כשבאותה תקופה, ככל הנראה על רקע התמודדות האב על ראשות העירייה בעיר ישובו, חווה האב איומים ואף ירי לעבר רכבו. </w:t>
      </w:r>
    </w:p>
    <w:p w14:paraId="3A51DE6C" w14:textId="77777777" w:rsidR="00F02E76" w:rsidRDefault="00F02E76" w:rsidP="00F02E76">
      <w:pPr>
        <w:pStyle w:val="a9"/>
        <w:spacing w:line="360" w:lineRule="auto"/>
        <w:ind w:left="360"/>
        <w:jc w:val="both"/>
        <w:rPr>
          <w:rFonts w:cs="David"/>
          <w:sz w:val="24"/>
          <w:szCs w:val="24"/>
        </w:rPr>
      </w:pPr>
    </w:p>
    <w:p w14:paraId="71CE979E"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בעבירות מסוג זה מייחסת הפסיקה חשיבות רבה לרקע והנסיבות אופפות ביצוען ואף סיווגה העבירה של החזקה נשק שלא כדין, בהתאם לחומרת נסיבות ביצועה, במדרג חומרה מהכבד אל הקל. החל מהחזקת נשק לצורך ביצוע עבירות ביטחון ועבירות פליליות, עבור להחזקת נשק לצרכי הגנה על הנאשם או משפחתו וכלה בהחזקת נשק ללא רישיון. עניינה של החזקת נשק בשל תחושת איום, ממוקמת במרכז המדרג וההתייחסות אליה מתונה יותר מהחזקת נשק למטרות פליליות או ביטחוניות.(</w:t>
      </w:r>
      <w:r>
        <w:rPr>
          <w:rFonts w:cs="David" w:hint="cs"/>
          <w:sz w:val="24"/>
          <w:szCs w:val="24"/>
          <w:u w:val="single"/>
          <w:rtl/>
        </w:rPr>
        <w:t>ב"ש</w:t>
      </w:r>
      <w:r>
        <w:rPr>
          <w:rFonts w:cs="David" w:hint="cs"/>
          <w:sz w:val="24"/>
          <w:szCs w:val="24"/>
          <w:rtl/>
        </w:rPr>
        <w:t xml:space="preserve"> </w:t>
      </w:r>
      <w:r>
        <w:rPr>
          <w:rFonts w:cs="David" w:hint="cs"/>
          <w:sz w:val="24"/>
          <w:szCs w:val="24"/>
          <w:u w:val="single"/>
          <w:rtl/>
        </w:rPr>
        <w:t>652/85</w:t>
      </w:r>
      <w:r>
        <w:rPr>
          <w:rFonts w:cs="David" w:hint="cs"/>
          <w:sz w:val="24"/>
          <w:szCs w:val="24"/>
          <w:rtl/>
        </w:rPr>
        <w:t xml:space="preserve"> </w:t>
      </w:r>
      <w:r>
        <w:rPr>
          <w:rFonts w:cs="Miriam" w:hint="cs"/>
          <w:sz w:val="24"/>
          <w:szCs w:val="24"/>
          <w:rtl/>
        </w:rPr>
        <w:t>אבו מוך נ' מדינת ישראל</w:t>
      </w:r>
      <w:r>
        <w:rPr>
          <w:rFonts w:cs="David" w:hint="cs"/>
          <w:sz w:val="24"/>
          <w:szCs w:val="24"/>
          <w:rtl/>
        </w:rPr>
        <w:t>)</w:t>
      </w:r>
    </w:p>
    <w:p w14:paraId="1D9B860E" w14:textId="77777777" w:rsidR="00F02E76" w:rsidRDefault="00F02E76" w:rsidP="00F02E76">
      <w:pPr>
        <w:pStyle w:val="a9"/>
        <w:ind w:left="360"/>
        <w:rPr>
          <w:rFonts w:cs="David"/>
          <w:sz w:val="24"/>
          <w:szCs w:val="24"/>
        </w:rPr>
      </w:pPr>
    </w:p>
    <w:p w14:paraId="72729216"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u w:val="single"/>
          <w:rtl/>
        </w:rPr>
        <w:t>ב</w:t>
      </w:r>
      <w:hyperlink r:id="rId13"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4945/13</w:t>
        </w:r>
      </w:hyperlink>
      <w:r>
        <w:rPr>
          <w:rFonts w:cs="David" w:hint="cs"/>
          <w:sz w:val="24"/>
          <w:szCs w:val="24"/>
          <w:rtl/>
        </w:rPr>
        <w:t xml:space="preserve"> </w:t>
      </w:r>
      <w:r>
        <w:rPr>
          <w:rFonts w:cs="Miriam" w:hint="cs"/>
          <w:sz w:val="24"/>
          <w:szCs w:val="24"/>
          <w:rtl/>
        </w:rPr>
        <w:t>מדינת ישראל נ' סולימאן</w:t>
      </w:r>
      <w:r>
        <w:rPr>
          <w:rFonts w:cs="David" w:hint="cs"/>
          <w:sz w:val="24"/>
          <w:szCs w:val="24"/>
          <w:rtl/>
        </w:rPr>
        <w:t xml:space="preserve"> (19.1.14) נדרשה כב' השופטת ארבל לשאלת השפעתה של החזקת נשק לצרכי הגנה עצמית, על רמת הענישה ומידת אשמו של הנאשם. סולימאן, שלא הייתה מחלוקת שביצע את המיוחס לו (ובין היתר נשיאת והובלת נשק וירי באוויר) מתוך תחושת פחד וחשש לחייו על רקע איומים שקיבל ולא מתוך מניע עברייני טהור, נדון למאסר בן 6 חודשים בדרך של עבודות שירות. במסגרת ערעור על קולת העונש מטעם המדינה קבעה, כי אמנם הרקע לביצוע העבירות אינו מעמיד את מעשי המערער ברף העליון של החומרה אלא שלנוכח מגמת ההחמרה בענישה לצד הסכנה הנשקפת לציבור כתוצאה מעבירות נשק, יש להחמיר מתחם הענישה ולהעמידו על 12-36 חודשי מאסר, אם כי דחתה הערעור מטעמי שיקום.  </w:t>
      </w:r>
    </w:p>
    <w:p w14:paraId="305B4F61" w14:textId="77777777" w:rsidR="00F02E76" w:rsidRDefault="00F02E76" w:rsidP="00F02E76">
      <w:pPr>
        <w:pStyle w:val="a9"/>
        <w:ind w:left="360"/>
        <w:rPr>
          <w:rFonts w:cs="David"/>
          <w:sz w:val="24"/>
          <w:szCs w:val="24"/>
        </w:rPr>
      </w:pPr>
    </w:p>
    <w:p w14:paraId="3A00F99B"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המשך למגמה זו, ניתן למצוא גם בפסיקה שונה של בית העליון (ראו:</w:t>
      </w:r>
      <w:r>
        <w:rPr>
          <w:rFonts w:cs="David" w:hint="cs"/>
          <w:sz w:val="24"/>
          <w:szCs w:val="24"/>
          <w:u w:val="single"/>
          <w:rtl/>
        </w:rPr>
        <w:t xml:space="preserve"> </w:t>
      </w:r>
      <w:hyperlink r:id="rId14" w:history="1">
        <w:r w:rsidR="002403CE" w:rsidRPr="002403CE">
          <w:rPr>
            <w:rFonts w:cs="David" w:hint="cs"/>
            <w:color w:val="0000FF"/>
            <w:sz w:val="24"/>
            <w:szCs w:val="24"/>
            <w:u w:val="single"/>
            <w:rtl/>
          </w:rPr>
          <w:t>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7502/12</w:t>
        </w:r>
      </w:hyperlink>
      <w:r>
        <w:rPr>
          <w:rFonts w:cs="David" w:hint="cs"/>
          <w:sz w:val="24"/>
          <w:szCs w:val="24"/>
          <w:rtl/>
        </w:rPr>
        <w:t xml:space="preserve"> </w:t>
      </w:r>
      <w:r>
        <w:rPr>
          <w:rFonts w:cs="Miriam" w:hint="cs"/>
          <w:sz w:val="24"/>
          <w:szCs w:val="24"/>
          <w:rtl/>
        </w:rPr>
        <w:t>כוויס נ' מדינת</w:t>
      </w:r>
      <w:r>
        <w:rPr>
          <w:rFonts w:cs="David" w:hint="cs"/>
          <w:sz w:val="24"/>
          <w:szCs w:val="24"/>
          <w:rtl/>
        </w:rPr>
        <w:t xml:space="preserve"> </w:t>
      </w:r>
      <w:r>
        <w:rPr>
          <w:rFonts w:cs="Miriam" w:hint="cs"/>
          <w:sz w:val="24"/>
          <w:szCs w:val="24"/>
          <w:rtl/>
        </w:rPr>
        <w:t>ישראל,</w:t>
      </w:r>
      <w:r>
        <w:rPr>
          <w:rFonts w:cs="David" w:hint="cs"/>
          <w:sz w:val="24"/>
          <w:szCs w:val="24"/>
          <w:rtl/>
        </w:rPr>
        <w:t xml:space="preserve"> 25.6.13; </w:t>
      </w:r>
      <w:hyperlink r:id="rId15"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2822/12</w:t>
        </w:r>
      </w:hyperlink>
      <w:r>
        <w:rPr>
          <w:rFonts w:cs="David" w:hint="cs"/>
          <w:sz w:val="24"/>
          <w:szCs w:val="24"/>
          <w:u w:val="single"/>
          <w:rtl/>
        </w:rPr>
        <w:t xml:space="preserve"> </w:t>
      </w:r>
      <w:r>
        <w:rPr>
          <w:rFonts w:cs="Miriam" w:hint="cs"/>
          <w:sz w:val="24"/>
          <w:szCs w:val="24"/>
          <w:rtl/>
        </w:rPr>
        <w:t>דוהארי נ' מדינת ישראל,</w:t>
      </w:r>
      <w:r>
        <w:rPr>
          <w:rFonts w:cs="David" w:hint="cs"/>
          <w:sz w:val="24"/>
          <w:szCs w:val="24"/>
          <w:rtl/>
        </w:rPr>
        <w:t xml:space="preserve"> 25.4.12) ובתי המשפט המחוזיים. </w:t>
      </w:r>
      <w:r>
        <w:rPr>
          <w:rFonts w:cs="David" w:hint="cs"/>
          <w:sz w:val="24"/>
          <w:szCs w:val="24"/>
          <w:u w:val="single"/>
          <w:rtl/>
        </w:rPr>
        <w:t>ב</w:t>
      </w:r>
      <w:hyperlink r:id="rId16"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1246/17</w:t>
        </w:r>
      </w:hyperlink>
      <w:r>
        <w:rPr>
          <w:rFonts w:cs="David" w:hint="cs"/>
          <w:sz w:val="24"/>
          <w:szCs w:val="24"/>
          <w:rtl/>
        </w:rPr>
        <w:t xml:space="preserve"> </w:t>
      </w:r>
      <w:r>
        <w:rPr>
          <w:rFonts w:cs="Miriam" w:hint="cs"/>
          <w:sz w:val="24"/>
          <w:szCs w:val="24"/>
          <w:rtl/>
        </w:rPr>
        <w:t>מטר נ' מדינת ישראל</w:t>
      </w:r>
      <w:r>
        <w:rPr>
          <w:rFonts w:cs="David" w:hint="cs"/>
          <w:sz w:val="24"/>
          <w:szCs w:val="24"/>
          <w:rtl/>
        </w:rPr>
        <w:t xml:space="preserve"> (12.03.17)  נדון עניינו של נאשם שנקבע שהחזיק בנשק למטרת הגנה עצמית ועונשו הוחמר ע"י ערכאת הערעור (</w:t>
      </w:r>
      <w:hyperlink r:id="rId17" w:history="1">
        <w:r w:rsidR="002403CE" w:rsidRPr="002403CE">
          <w:rPr>
            <w:rFonts w:cs="Miriam" w:hint="cs"/>
            <w:color w:val="0000FF"/>
            <w:sz w:val="24"/>
            <w:szCs w:val="24"/>
            <w:u w:val="single"/>
            <w:rtl/>
          </w:rPr>
          <w:t>עפ</w:t>
        </w:r>
        <w:r w:rsidR="002403CE" w:rsidRPr="002403CE">
          <w:rPr>
            <w:rFonts w:cs="Miriam"/>
            <w:color w:val="0000FF"/>
            <w:sz w:val="24"/>
            <w:szCs w:val="24"/>
            <w:u w:val="single"/>
            <w:rtl/>
          </w:rPr>
          <w:t>"</w:t>
        </w:r>
        <w:r w:rsidR="002403CE" w:rsidRPr="002403CE">
          <w:rPr>
            <w:rFonts w:cs="Miriam" w:hint="cs"/>
            <w:color w:val="0000FF"/>
            <w:sz w:val="24"/>
            <w:szCs w:val="24"/>
            <w:u w:val="single"/>
            <w:rtl/>
          </w:rPr>
          <w:t>ג</w:t>
        </w:r>
        <w:r w:rsidR="002403CE" w:rsidRPr="002403CE">
          <w:rPr>
            <w:rFonts w:cs="Miriam"/>
            <w:color w:val="0000FF"/>
            <w:sz w:val="24"/>
            <w:szCs w:val="24"/>
            <w:u w:val="single"/>
            <w:rtl/>
          </w:rPr>
          <w:t xml:space="preserve">  41929-07-16</w:t>
        </w:r>
      </w:hyperlink>
      <w:r>
        <w:rPr>
          <w:rFonts w:cs="David" w:hint="cs"/>
          <w:sz w:val="24"/>
          <w:szCs w:val="24"/>
          <w:rtl/>
        </w:rPr>
        <w:t xml:space="preserve"> (מח-מרכז)), מ-6 חודשי עבודות שירות, ל-9 חודשי מאסר מהטעם, שאין לראות בנסיבות המעשה כמצדיקות סטייה לקולא מהמתחם שנקבע. </w:t>
      </w:r>
    </w:p>
    <w:p w14:paraId="52748015" w14:textId="77777777" w:rsidR="00F02E76" w:rsidRDefault="00F02E76" w:rsidP="00F02E76">
      <w:pPr>
        <w:pStyle w:val="a9"/>
        <w:spacing w:line="360" w:lineRule="auto"/>
        <w:ind w:left="360"/>
        <w:jc w:val="both"/>
        <w:rPr>
          <w:rFonts w:cs="David"/>
          <w:sz w:val="24"/>
          <w:szCs w:val="24"/>
        </w:rPr>
      </w:pPr>
    </w:p>
    <w:p w14:paraId="5A627820"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בענייננו, התרשמתי שאכן הנאשם ובני משפחתו חשו חשש אמיתי לפגיעה בשלומם. הנאשם, בדבריו לפניי (העומדים בסתירה לדבריו לשירות המבחן, לפיהם מצא הנשק), ובני משפחתו, תארו תחושת איום כנה וחוסר אונים משלא טופלו תלונותיהם(רובן, אמנם, לא בסמיכות זמנים למועד העבירות),  כיאות ע"י המשטרה. לצד זאת, אין בנתונים אלו כדי לספק הסבר מניח את הדעת מדוע בחר הנאשם להחזיק בשלושה כלי נשק, ביניהם תת- מקלע, טעונים ומוכנים לשימוש. בנסיבות אלו, מצאתי ליתן משקל מסוים לקולא למטרת החזקת כלי הנשק. </w:t>
      </w:r>
    </w:p>
    <w:p w14:paraId="0EA73CF1" w14:textId="77777777" w:rsidR="00F02E76" w:rsidRDefault="00F02E76" w:rsidP="00F02E76">
      <w:pPr>
        <w:pStyle w:val="a9"/>
        <w:spacing w:line="360" w:lineRule="auto"/>
        <w:ind w:left="360"/>
        <w:jc w:val="both"/>
        <w:rPr>
          <w:rFonts w:cs="David"/>
          <w:sz w:val="24"/>
          <w:szCs w:val="24"/>
        </w:rPr>
      </w:pPr>
    </w:p>
    <w:p w14:paraId="40D9B0CF" w14:textId="77777777" w:rsidR="00F02E76" w:rsidRDefault="00F02E76" w:rsidP="00F02E76">
      <w:pPr>
        <w:pStyle w:val="a9"/>
        <w:ind w:left="360"/>
        <w:rPr>
          <w:rFonts w:cs="David"/>
          <w:sz w:val="24"/>
          <w:szCs w:val="24"/>
        </w:rPr>
      </w:pPr>
    </w:p>
    <w:p w14:paraId="7A60C512" w14:textId="77777777" w:rsidR="00F02E76" w:rsidRDefault="00F02E76" w:rsidP="00F02E76">
      <w:pPr>
        <w:pStyle w:val="a9"/>
        <w:spacing w:line="360" w:lineRule="auto"/>
        <w:ind w:left="360"/>
        <w:jc w:val="both"/>
        <w:rPr>
          <w:rFonts w:cs="David"/>
          <w:b/>
          <w:bCs/>
          <w:sz w:val="24"/>
          <w:szCs w:val="24"/>
          <w:u w:val="single"/>
          <w:rtl/>
        </w:rPr>
      </w:pPr>
      <w:r>
        <w:rPr>
          <w:rFonts w:cs="David" w:hint="cs"/>
          <w:b/>
          <w:bCs/>
          <w:sz w:val="24"/>
          <w:szCs w:val="24"/>
          <w:u w:val="single"/>
          <w:rtl/>
        </w:rPr>
        <w:t>קביעת מתחם העונש ההולם</w:t>
      </w:r>
    </w:p>
    <w:p w14:paraId="6D753581" w14:textId="77777777" w:rsidR="00F02E76" w:rsidRDefault="00F02E76" w:rsidP="00F02E76">
      <w:pPr>
        <w:pStyle w:val="a9"/>
        <w:spacing w:line="360" w:lineRule="auto"/>
        <w:ind w:left="360"/>
        <w:jc w:val="both"/>
        <w:rPr>
          <w:rFonts w:cs="David"/>
          <w:b/>
          <w:bCs/>
          <w:sz w:val="24"/>
          <w:szCs w:val="24"/>
          <w:u w:val="single"/>
          <w:rtl/>
        </w:rPr>
      </w:pPr>
    </w:p>
    <w:p w14:paraId="44927A58" w14:textId="77777777" w:rsidR="00F02E76" w:rsidRDefault="00F02E76" w:rsidP="00F02E76">
      <w:pPr>
        <w:pStyle w:val="a9"/>
        <w:numPr>
          <w:ilvl w:val="0"/>
          <w:numId w:val="1"/>
        </w:numPr>
        <w:spacing w:line="360" w:lineRule="auto"/>
        <w:ind w:left="360"/>
        <w:jc w:val="both"/>
        <w:rPr>
          <w:rFonts w:cs="David"/>
          <w:b/>
          <w:bCs/>
          <w:sz w:val="24"/>
          <w:szCs w:val="24"/>
        </w:rPr>
      </w:pPr>
      <w:r>
        <w:rPr>
          <w:rFonts w:cs="David" w:hint="cs"/>
          <w:sz w:val="24"/>
          <w:szCs w:val="24"/>
          <w:rtl/>
        </w:rPr>
        <w:t xml:space="preserve">מגמת ההחמרה אכן משתקפת בעונשים שמוטלים על המבצעים עבירות בנשק. כך נקבע </w:t>
      </w:r>
      <w:r>
        <w:rPr>
          <w:rFonts w:cs="David" w:hint="cs"/>
          <w:sz w:val="24"/>
          <w:szCs w:val="24"/>
          <w:u w:val="single"/>
          <w:rtl/>
        </w:rPr>
        <w:t>ב</w:t>
      </w:r>
      <w:hyperlink r:id="rId18"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2718/04</w:t>
        </w:r>
      </w:hyperlink>
      <w:r>
        <w:rPr>
          <w:rFonts w:cs="David" w:hint="cs"/>
          <w:sz w:val="24"/>
          <w:szCs w:val="24"/>
          <w:u w:val="single"/>
          <w:rtl/>
        </w:rPr>
        <w:t xml:space="preserve"> </w:t>
      </w:r>
      <w:r>
        <w:rPr>
          <w:rFonts w:cs="Miriam" w:hint="cs"/>
          <w:sz w:val="24"/>
          <w:szCs w:val="24"/>
          <w:rtl/>
        </w:rPr>
        <w:t>אבו דאחל  נ' מדינת ישראל</w:t>
      </w:r>
      <w:r>
        <w:rPr>
          <w:rFonts w:cs="David" w:hint="cs"/>
          <w:sz w:val="24"/>
          <w:szCs w:val="24"/>
          <w:rtl/>
        </w:rPr>
        <w:t xml:space="preserve"> כי "</w:t>
      </w:r>
      <w:r>
        <w:rPr>
          <w:rFonts w:cs="David" w:hint="cs"/>
          <w:b/>
          <w:bCs/>
          <w:sz w:val="24"/>
          <w:szCs w:val="24"/>
          <w:rtl/>
        </w:rPr>
        <w:t>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w:t>
      </w:r>
    </w:p>
    <w:p w14:paraId="426C4BC6" w14:textId="77777777" w:rsidR="00F02E76" w:rsidRDefault="00F02E76" w:rsidP="00F02E76">
      <w:pPr>
        <w:pStyle w:val="a9"/>
        <w:spacing w:line="360" w:lineRule="auto"/>
        <w:ind w:left="360"/>
        <w:jc w:val="both"/>
        <w:rPr>
          <w:rFonts w:cs="David"/>
          <w:b/>
          <w:bCs/>
          <w:sz w:val="24"/>
          <w:szCs w:val="24"/>
        </w:rPr>
      </w:pPr>
    </w:p>
    <w:p w14:paraId="4FA3C18C"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בפסיקה רבה וענפה נגזר על מחזיקי נשק, חלקם נטולי עבר פלילי, מאסר מאחורי סורג ובריח שנע בין מספר חודשים ועד 18 חודשים. כך אפנה ל</w:t>
      </w:r>
      <w:hyperlink r:id="rId19" w:history="1">
        <w:r w:rsidR="002403CE" w:rsidRPr="002403CE">
          <w:rPr>
            <w:rFonts w:cs="David" w:hint="cs"/>
            <w:color w:val="0000FF"/>
            <w:sz w:val="24"/>
            <w:szCs w:val="24"/>
            <w:u w:val="single"/>
            <w:rtl/>
          </w:rPr>
          <w:t>רע</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4559/16</w:t>
        </w:r>
      </w:hyperlink>
      <w:r>
        <w:rPr>
          <w:rFonts w:cs="David" w:hint="cs"/>
          <w:sz w:val="24"/>
          <w:szCs w:val="24"/>
          <w:rtl/>
        </w:rPr>
        <w:t xml:space="preserve"> </w:t>
      </w:r>
      <w:r>
        <w:rPr>
          <w:rFonts w:cs="Miriam" w:hint="cs"/>
          <w:sz w:val="24"/>
          <w:szCs w:val="24"/>
          <w:rtl/>
        </w:rPr>
        <w:t>נוסיראת נ' מדינת ישראל</w:t>
      </w:r>
      <w:r>
        <w:rPr>
          <w:rFonts w:cs="David" w:hint="cs"/>
          <w:sz w:val="24"/>
          <w:szCs w:val="24"/>
          <w:rtl/>
        </w:rPr>
        <w:t xml:space="preserve"> (22.6.16)), שם נדחתה בקשת ערעור של המבקש שעונשו הוחמר </w:t>
      </w:r>
      <w:r>
        <w:rPr>
          <w:rFonts w:cs="Miriam" w:hint="cs"/>
          <w:sz w:val="24"/>
          <w:szCs w:val="24"/>
          <w:rtl/>
        </w:rPr>
        <w:t>(</w:t>
      </w:r>
      <w:hyperlink r:id="rId20" w:history="1">
        <w:r w:rsidR="002403CE" w:rsidRPr="002403CE">
          <w:rPr>
            <w:rFonts w:cs="Miriam" w:hint="cs"/>
            <w:color w:val="0000FF"/>
            <w:sz w:val="24"/>
            <w:szCs w:val="24"/>
            <w:u w:val="single"/>
            <w:rtl/>
          </w:rPr>
          <w:t>עפ</w:t>
        </w:r>
        <w:r w:rsidR="002403CE" w:rsidRPr="002403CE">
          <w:rPr>
            <w:rFonts w:cs="Miriam"/>
            <w:color w:val="0000FF"/>
            <w:sz w:val="24"/>
            <w:szCs w:val="24"/>
            <w:u w:val="single"/>
            <w:rtl/>
          </w:rPr>
          <w:t>"</w:t>
        </w:r>
        <w:r w:rsidR="002403CE" w:rsidRPr="002403CE">
          <w:rPr>
            <w:rFonts w:cs="Miriam" w:hint="cs"/>
            <w:color w:val="0000FF"/>
            <w:sz w:val="24"/>
            <w:szCs w:val="24"/>
            <w:u w:val="single"/>
            <w:rtl/>
          </w:rPr>
          <w:t>ג</w:t>
        </w:r>
        <w:r w:rsidR="002403CE" w:rsidRPr="002403CE">
          <w:rPr>
            <w:rFonts w:cs="Miriam"/>
            <w:color w:val="0000FF"/>
            <w:sz w:val="24"/>
            <w:szCs w:val="24"/>
            <w:u w:val="single"/>
            <w:rtl/>
          </w:rPr>
          <w:t xml:space="preserve"> 27108-01-16</w:t>
        </w:r>
      </w:hyperlink>
      <w:r>
        <w:rPr>
          <w:rFonts w:cs="David" w:hint="cs"/>
          <w:sz w:val="24"/>
          <w:szCs w:val="24"/>
          <w:u w:val="single"/>
          <w:rtl/>
        </w:rPr>
        <w:t xml:space="preserve"> מח-מרכז</w:t>
      </w:r>
      <w:r>
        <w:rPr>
          <w:rFonts w:cs="David" w:hint="cs"/>
          <w:sz w:val="24"/>
          <w:szCs w:val="24"/>
          <w:rtl/>
        </w:rPr>
        <w:t xml:space="preserve">) מ-6 חודשי עבודות שירות למאסר בן -9 חודשים. בית המשפט קבע, כי אין די בנסיבותיו האישיות של הנאשם, עברו הנקי ותסקיר חיובי במיוחד, כדי להביא לחריגה לקולא ממתחם הענישה, אף לא מטעמי שיקום. עוד ראו בעניין זה </w:t>
      </w:r>
      <w:hyperlink r:id="rId21" w:history="1">
        <w:r w:rsidR="002403CE" w:rsidRPr="002403CE">
          <w:rPr>
            <w:rFonts w:cs="David" w:hint="cs"/>
            <w:color w:val="0000FF"/>
            <w:sz w:val="24"/>
            <w:szCs w:val="24"/>
            <w:u w:val="single"/>
            <w:rtl/>
          </w:rPr>
          <w:t>עפ</w:t>
        </w:r>
        <w:r w:rsidR="002403CE" w:rsidRPr="002403CE">
          <w:rPr>
            <w:rFonts w:cs="David"/>
            <w:color w:val="0000FF"/>
            <w:sz w:val="24"/>
            <w:szCs w:val="24"/>
            <w:u w:val="single"/>
            <w:rtl/>
          </w:rPr>
          <w:t>"</w:t>
        </w:r>
        <w:r w:rsidR="002403CE" w:rsidRPr="002403CE">
          <w:rPr>
            <w:rFonts w:cs="David" w:hint="cs"/>
            <w:color w:val="0000FF"/>
            <w:sz w:val="24"/>
            <w:szCs w:val="24"/>
            <w:u w:val="single"/>
            <w:rtl/>
          </w:rPr>
          <w:t>ג</w:t>
        </w:r>
        <w:r w:rsidR="002403CE" w:rsidRPr="002403CE">
          <w:rPr>
            <w:rFonts w:cs="David"/>
            <w:color w:val="0000FF"/>
            <w:sz w:val="24"/>
            <w:szCs w:val="24"/>
            <w:u w:val="single"/>
            <w:rtl/>
          </w:rPr>
          <w:t xml:space="preserve"> 50329-10-15</w:t>
        </w:r>
      </w:hyperlink>
      <w:r>
        <w:rPr>
          <w:rFonts w:cs="David" w:hint="cs"/>
          <w:sz w:val="24"/>
          <w:szCs w:val="24"/>
          <w:rtl/>
        </w:rPr>
        <w:t xml:space="preserve"> (מח-מרכז) </w:t>
      </w:r>
      <w:r>
        <w:rPr>
          <w:rFonts w:cs="Miriam" w:hint="cs"/>
          <w:sz w:val="24"/>
          <w:szCs w:val="24"/>
          <w:rtl/>
        </w:rPr>
        <w:t>מדינת ישראל נ' ענזי</w:t>
      </w:r>
      <w:r>
        <w:rPr>
          <w:rFonts w:cs="David" w:hint="cs"/>
          <w:b/>
          <w:bCs/>
          <w:sz w:val="24"/>
          <w:szCs w:val="24"/>
          <w:rtl/>
        </w:rPr>
        <w:t>,</w:t>
      </w:r>
      <w:r>
        <w:rPr>
          <w:rFonts w:cs="David" w:hint="cs"/>
          <w:sz w:val="24"/>
          <w:szCs w:val="24"/>
          <w:rtl/>
        </w:rPr>
        <w:t xml:space="preserve"> שם הוחמר עונשו של בגיר צעיר, נטול עבר, ששירות המבחן המליץ להימנע בעניינו ממאסר ממש, מ-6 חודשי עבודות שירות ל-10 חודשי מאסר. </w:t>
      </w:r>
    </w:p>
    <w:p w14:paraId="5844F0CC" w14:textId="77777777" w:rsidR="00F02E76" w:rsidRDefault="00F02E76" w:rsidP="00F02E76">
      <w:pPr>
        <w:pStyle w:val="a9"/>
        <w:ind w:left="360"/>
        <w:rPr>
          <w:rFonts w:cs="David"/>
          <w:sz w:val="24"/>
          <w:szCs w:val="24"/>
        </w:rPr>
      </w:pPr>
    </w:p>
    <w:p w14:paraId="67D6B340"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b/>
          <w:bCs/>
          <w:sz w:val="24"/>
          <w:szCs w:val="24"/>
          <w:rtl/>
        </w:rPr>
        <w:t>ריבוי כלי הנשק</w:t>
      </w:r>
      <w:r>
        <w:rPr>
          <w:rFonts w:cs="David" w:hint="cs"/>
          <w:sz w:val="24"/>
          <w:szCs w:val="24"/>
          <w:rtl/>
        </w:rPr>
        <w:t xml:space="preserve"> משליך אף הוא משמעותית על רמת הענישה. ב</w:t>
      </w:r>
      <w:hyperlink r:id="rId22" w:history="1">
        <w:r w:rsidR="002403CE" w:rsidRPr="002403CE">
          <w:rPr>
            <w:rFonts w:cs="David" w:hint="cs"/>
            <w:color w:val="0000FF"/>
            <w:sz w:val="24"/>
            <w:szCs w:val="24"/>
            <w:u w:val="single"/>
            <w:rtl/>
          </w:rPr>
          <w:t>עפ</w:t>
        </w:r>
        <w:r w:rsidR="002403CE" w:rsidRPr="002403CE">
          <w:rPr>
            <w:rFonts w:cs="David"/>
            <w:color w:val="0000FF"/>
            <w:sz w:val="24"/>
            <w:szCs w:val="24"/>
            <w:u w:val="single"/>
            <w:rtl/>
          </w:rPr>
          <w:t>"</w:t>
        </w:r>
        <w:r w:rsidR="002403CE" w:rsidRPr="002403CE">
          <w:rPr>
            <w:rFonts w:cs="David" w:hint="cs"/>
            <w:color w:val="0000FF"/>
            <w:sz w:val="24"/>
            <w:szCs w:val="24"/>
            <w:u w:val="single"/>
            <w:rtl/>
          </w:rPr>
          <w:t>ג</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מח</w:t>
        </w:r>
        <w:r w:rsidR="002403CE" w:rsidRPr="002403CE">
          <w:rPr>
            <w:rFonts w:cs="David"/>
            <w:color w:val="0000FF"/>
            <w:sz w:val="24"/>
            <w:szCs w:val="24"/>
            <w:u w:val="single"/>
            <w:rtl/>
          </w:rPr>
          <w:t>-</w:t>
        </w:r>
        <w:r w:rsidR="002403CE" w:rsidRPr="002403CE">
          <w:rPr>
            <w:rFonts w:cs="David" w:hint="cs"/>
            <w:color w:val="0000FF"/>
            <w:sz w:val="24"/>
            <w:szCs w:val="24"/>
            <w:u w:val="single"/>
            <w:rtl/>
          </w:rPr>
          <w:t>מרכז</w:t>
        </w:r>
        <w:r w:rsidR="002403CE" w:rsidRPr="002403CE">
          <w:rPr>
            <w:rFonts w:cs="David"/>
            <w:color w:val="0000FF"/>
            <w:sz w:val="24"/>
            <w:szCs w:val="24"/>
            <w:u w:val="single"/>
            <w:rtl/>
          </w:rPr>
          <w:t>) 27417-11-15</w:t>
        </w:r>
      </w:hyperlink>
      <w:r>
        <w:rPr>
          <w:rFonts w:cs="David" w:hint="cs"/>
          <w:sz w:val="24"/>
          <w:szCs w:val="24"/>
          <w:u w:val="single"/>
          <w:rtl/>
        </w:rPr>
        <w:t xml:space="preserve"> </w:t>
      </w:r>
      <w:r>
        <w:rPr>
          <w:rFonts w:cs="Miriam" w:hint="cs"/>
          <w:sz w:val="24"/>
          <w:szCs w:val="24"/>
          <w:rtl/>
        </w:rPr>
        <w:t>מדינת ישראל נ' עבד אל רחים</w:t>
      </w:r>
      <w:r>
        <w:rPr>
          <w:rFonts w:cs="David" w:hint="cs"/>
          <w:sz w:val="24"/>
          <w:szCs w:val="24"/>
          <w:rtl/>
        </w:rPr>
        <w:t xml:space="preserve">, נדון עניינו של נאשם נעדר עבר פלילי שהחזיק ברובה, תת מקלע "עוזי" ותחמושת מתאימה, ונגזרו עליו 14 חודשי מאסר. בית המשפט המחוזי החמיר בעונשו, קבע מתחם ענישה שנע בין 18-36 חודשי מאסר והעמיד עונשו על 20 חודשי מאסר. עוד ראה: </w:t>
      </w:r>
      <w:hyperlink r:id="rId23" w:history="1">
        <w:r w:rsidR="002403CE" w:rsidRPr="002403CE">
          <w:rPr>
            <w:rFonts w:cs="David" w:hint="cs"/>
            <w:color w:val="0000FF"/>
            <w:sz w:val="24"/>
            <w:szCs w:val="24"/>
            <w:u w:val="single"/>
            <w:rtl/>
          </w:rPr>
          <w:t>עפ</w:t>
        </w:r>
        <w:r w:rsidR="002403CE" w:rsidRPr="002403CE">
          <w:rPr>
            <w:rFonts w:cs="David"/>
            <w:color w:val="0000FF"/>
            <w:sz w:val="24"/>
            <w:szCs w:val="24"/>
            <w:u w:val="single"/>
            <w:rtl/>
          </w:rPr>
          <w:t>"</w:t>
        </w:r>
        <w:r w:rsidR="002403CE" w:rsidRPr="002403CE">
          <w:rPr>
            <w:rFonts w:cs="David" w:hint="cs"/>
            <w:color w:val="0000FF"/>
            <w:sz w:val="24"/>
            <w:szCs w:val="24"/>
            <w:u w:val="single"/>
            <w:rtl/>
          </w:rPr>
          <w:t>ג</w:t>
        </w:r>
        <w:r w:rsidR="002403CE" w:rsidRPr="002403CE">
          <w:rPr>
            <w:rFonts w:cs="David"/>
            <w:color w:val="0000FF"/>
            <w:sz w:val="24"/>
            <w:szCs w:val="24"/>
            <w:u w:val="single"/>
            <w:rtl/>
          </w:rPr>
          <w:t xml:space="preserve"> 47302-09-11</w:t>
        </w:r>
      </w:hyperlink>
      <w:r>
        <w:rPr>
          <w:rFonts w:cs="David" w:hint="cs"/>
          <w:sz w:val="24"/>
          <w:szCs w:val="24"/>
          <w:u w:val="single"/>
          <w:rtl/>
        </w:rPr>
        <w:t xml:space="preserve"> (מח-מרכז)</w:t>
      </w:r>
      <w:r>
        <w:rPr>
          <w:rFonts w:cs="David" w:hint="cs"/>
          <w:sz w:val="24"/>
          <w:szCs w:val="24"/>
          <w:rtl/>
        </w:rPr>
        <w:t xml:space="preserve"> </w:t>
      </w:r>
      <w:r>
        <w:rPr>
          <w:rFonts w:cs="Miriam" w:hint="cs"/>
          <w:sz w:val="24"/>
          <w:szCs w:val="24"/>
          <w:rtl/>
        </w:rPr>
        <w:t>אבו ג'אבר נ' מדינת ישראל</w:t>
      </w:r>
      <w:r>
        <w:rPr>
          <w:rFonts w:cs="David" w:hint="cs"/>
          <w:sz w:val="24"/>
          <w:szCs w:val="24"/>
          <w:rtl/>
        </w:rPr>
        <w:t xml:space="preserve">, נאשם שהחזיק בשני אקדחים ונשק מאולתר מסוג "קרל גוסטב" נדון ל-18 חודשי מאסר; </w:t>
      </w:r>
      <w:hyperlink r:id="rId24" w:history="1">
        <w:r w:rsidR="002403CE" w:rsidRPr="002403CE">
          <w:rPr>
            <w:rFonts w:cs="David" w:hint="cs"/>
            <w:color w:val="0000FF"/>
            <w:sz w:val="24"/>
            <w:szCs w:val="24"/>
            <w:u w:val="single"/>
            <w:rtl/>
          </w:rPr>
          <w:t>ת</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שלום</w:t>
        </w:r>
        <w:r w:rsidR="002403CE" w:rsidRPr="002403CE">
          <w:rPr>
            <w:rFonts w:cs="David"/>
            <w:color w:val="0000FF"/>
            <w:sz w:val="24"/>
            <w:szCs w:val="24"/>
            <w:u w:val="single"/>
            <w:rtl/>
          </w:rPr>
          <w:t xml:space="preserve"> </w:t>
        </w:r>
        <w:r w:rsidR="002403CE" w:rsidRPr="002403CE">
          <w:rPr>
            <w:rFonts w:cs="David" w:hint="cs"/>
            <w:color w:val="0000FF"/>
            <w:sz w:val="24"/>
            <w:szCs w:val="24"/>
            <w:u w:val="single"/>
            <w:rtl/>
          </w:rPr>
          <w:t>כפר</w:t>
        </w:r>
        <w:r w:rsidR="002403CE" w:rsidRPr="002403CE">
          <w:rPr>
            <w:rFonts w:cs="David"/>
            <w:color w:val="0000FF"/>
            <w:sz w:val="24"/>
            <w:szCs w:val="24"/>
            <w:u w:val="single"/>
            <w:rtl/>
          </w:rPr>
          <w:t>-</w:t>
        </w:r>
        <w:r w:rsidR="002403CE" w:rsidRPr="002403CE">
          <w:rPr>
            <w:rFonts w:cs="David" w:hint="cs"/>
            <w:color w:val="0000FF"/>
            <w:sz w:val="24"/>
            <w:szCs w:val="24"/>
            <w:u w:val="single"/>
            <w:rtl/>
          </w:rPr>
          <w:t>סבא</w:t>
        </w:r>
        <w:r w:rsidR="002403CE" w:rsidRPr="002403CE">
          <w:rPr>
            <w:rFonts w:cs="David"/>
            <w:color w:val="0000FF"/>
            <w:sz w:val="24"/>
            <w:szCs w:val="24"/>
            <w:u w:val="single"/>
            <w:rtl/>
          </w:rPr>
          <w:t>) 47362-06-16</w:t>
        </w:r>
      </w:hyperlink>
      <w:r>
        <w:rPr>
          <w:rFonts w:cs="David" w:hint="cs"/>
          <w:sz w:val="24"/>
          <w:szCs w:val="24"/>
          <w:u w:val="single"/>
          <w:rtl/>
        </w:rPr>
        <w:t xml:space="preserve"> </w:t>
      </w:r>
      <w:r>
        <w:rPr>
          <w:rFonts w:cs="Miriam" w:hint="cs"/>
          <w:sz w:val="24"/>
          <w:szCs w:val="24"/>
          <w:rtl/>
        </w:rPr>
        <w:t>מדינת ישראל נ' עיראקי</w:t>
      </w:r>
      <w:r>
        <w:rPr>
          <w:rFonts w:cs="David" w:hint="cs"/>
          <w:sz w:val="24"/>
          <w:szCs w:val="24"/>
          <w:rtl/>
        </w:rPr>
        <w:t xml:space="preserve">- החזקת תת מקלע ואקדח, נאשם בעל עבר, נדון ל-24 חודשי מאסר; </w:t>
      </w:r>
      <w:hyperlink r:id="rId25" w:history="1">
        <w:r w:rsidR="002403CE" w:rsidRPr="002403CE">
          <w:rPr>
            <w:rFonts w:cs="David" w:hint="cs"/>
            <w:color w:val="0000FF"/>
            <w:sz w:val="24"/>
            <w:szCs w:val="24"/>
            <w:u w:val="single"/>
            <w:rtl/>
          </w:rPr>
          <w:t>ת</w:t>
        </w:r>
        <w:r w:rsidR="002403CE" w:rsidRPr="002403CE">
          <w:rPr>
            <w:rFonts w:cs="David"/>
            <w:color w:val="0000FF"/>
            <w:sz w:val="24"/>
            <w:szCs w:val="24"/>
            <w:u w:val="single"/>
            <w:rtl/>
          </w:rPr>
          <w:t>"</w:t>
        </w:r>
        <w:r w:rsidR="002403CE" w:rsidRPr="002403CE">
          <w:rPr>
            <w:rFonts w:cs="David" w:hint="cs"/>
            <w:color w:val="0000FF"/>
            <w:sz w:val="24"/>
            <w:szCs w:val="24"/>
            <w:u w:val="single"/>
            <w:rtl/>
          </w:rPr>
          <w:t>פ</w:t>
        </w:r>
        <w:r w:rsidR="002403CE" w:rsidRPr="002403CE">
          <w:rPr>
            <w:rFonts w:cs="David"/>
            <w:color w:val="0000FF"/>
            <w:sz w:val="24"/>
            <w:szCs w:val="24"/>
            <w:u w:val="single"/>
            <w:rtl/>
          </w:rPr>
          <w:t xml:space="preserve"> 33552-09-16</w:t>
        </w:r>
      </w:hyperlink>
      <w:r>
        <w:rPr>
          <w:rFonts w:cs="David" w:hint="cs"/>
          <w:sz w:val="24"/>
          <w:szCs w:val="24"/>
          <w:rtl/>
        </w:rPr>
        <w:t xml:space="preserve"> (שלום-רמלה) </w:t>
      </w:r>
      <w:r>
        <w:rPr>
          <w:rFonts w:cs="Miriam" w:hint="cs"/>
          <w:sz w:val="24"/>
          <w:szCs w:val="24"/>
          <w:rtl/>
        </w:rPr>
        <w:t>מדינת ישראל נ' חאמד</w:t>
      </w:r>
      <w:r>
        <w:rPr>
          <w:rFonts w:cs="David" w:hint="cs"/>
          <w:b/>
          <w:bCs/>
          <w:sz w:val="24"/>
          <w:szCs w:val="24"/>
          <w:rtl/>
        </w:rPr>
        <w:t>-</w:t>
      </w:r>
      <w:r>
        <w:rPr>
          <w:rFonts w:cs="David" w:hint="cs"/>
          <w:sz w:val="24"/>
          <w:szCs w:val="24"/>
          <w:rtl/>
        </w:rPr>
        <w:t xml:space="preserve"> נאשם נדון על החזקת אקדח ו-</w:t>
      </w:r>
      <w:r>
        <w:rPr>
          <w:rFonts w:cs="David"/>
          <w:sz w:val="24"/>
          <w:szCs w:val="24"/>
        </w:rPr>
        <w:t>M</w:t>
      </w:r>
      <w:r>
        <w:rPr>
          <w:rFonts w:cs="David" w:hint="cs"/>
          <w:sz w:val="24"/>
          <w:szCs w:val="24"/>
          <w:rtl/>
        </w:rPr>
        <w:t xml:space="preserve">-16 מאולתר ל-19 חודשי מאסר, תחתית המתחם שנקבע בין 18-42 חודשי מאסר. </w:t>
      </w:r>
    </w:p>
    <w:p w14:paraId="32A782BB" w14:textId="77777777" w:rsidR="00F02E76" w:rsidRDefault="00F02E76" w:rsidP="00F02E76">
      <w:pPr>
        <w:pStyle w:val="a9"/>
        <w:ind w:left="360"/>
        <w:rPr>
          <w:rFonts w:cs="David"/>
          <w:sz w:val="24"/>
          <w:szCs w:val="24"/>
        </w:rPr>
      </w:pPr>
    </w:p>
    <w:p w14:paraId="5F4F09A9" w14:textId="77777777" w:rsidR="00F02E76" w:rsidRDefault="00F02E76" w:rsidP="00F02E76">
      <w:pPr>
        <w:pStyle w:val="a9"/>
        <w:spacing w:line="360" w:lineRule="auto"/>
        <w:ind w:left="360"/>
        <w:jc w:val="both"/>
        <w:rPr>
          <w:rFonts w:cs="David"/>
          <w:sz w:val="24"/>
          <w:szCs w:val="24"/>
          <w:rtl/>
        </w:rPr>
      </w:pPr>
    </w:p>
    <w:p w14:paraId="76328E67"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 xml:space="preserve">אשר על כן, לאחר שבחנתי נסיבות מעשי הנאשם לצד הרקע להחזקת הנשק, </w:t>
      </w:r>
      <w:r>
        <w:rPr>
          <w:rFonts w:cs="David" w:hint="cs"/>
          <w:b/>
          <w:bCs/>
          <w:sz w:val="24"/>
          <w:szCs w:val="24"/>
          <w:rtl/>
        </w:rPr>
        <w:t>מצאתי לקבוע מתחם ענישה שנע בין 18-36 חודשי מאסר</w:t>
      </w:r>
      <w:r>
        <w:rPr>
          <w:rFonts w:cs="David" w:hint="cs"/>
          <w:sz w:val="24"/>
          <w:szCs w:val="24"/>
          <w:rtl/>
        </w:rPr>
        <w:t xml:space="preserve">. </w:t>
      </w:r>
    </w:p>
    <w:p w14:paraId="0C8E08D8" w14:textId="77777777" w:rsidR="00F02E76" w:rsidRDefault="00F02E76" w:rsidP="00F02E76">
      <w:pPr>
        <w:pStyle w:val="a9"/>
        <w:ind w:left="360"/>
        <w:rPr>
          <w:rFonts w:cs="David"/>
          <w:sz w:val="24"/>
          <w:szCs w:val="24"/>
        </w:rPr>
      </w:pPr>
    </w:p>
    <w:p w14:paraId="3FF61106"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 xml:space="preserve">הנאשם שלפניי אדם נורמטיבי ובעל מעמד וייחוס, שברגיל מנהל חייו באופן מסודר ותקין. נראה שדאגתו של הנאשם לאביו ולמשפחתו כולה וההתמסרות הטוטלית לשמירה על משפחתו, גררו אותו לקבלת שורה של החלטות שגויות ללא תובנה מלאה להשלכותיהן הפליליות וחשיפת משפחתו לסיכון רב. ניכר כי כיום מבין היטב את הפסול במעשיו, מביע על כך חרטה, כשלהליך המשפטי ושהייתו הממושכת בתנאים מגבילים, אפקט מטלטל ומרתיע. </w:t>
      </w:r>
    </w:p>
    <w:p w14:paraId="5DF7E2C1" w14:textId="77777777" w:rsidR="00F02E76" w:rsidRDefault="00F02E76" w:rsidP="00F02E76">
      <w:pPr>
        <w:pStyle w:val="a9"/>
        <w:ind w:left="360"/>
        <w:rPr>
          <w:rFonts w:cs="David"/>
          <w:sz w:val="24"/>
          <w:szCs w:val="24"/>
        </w:rPr>
      </w:pPr>
    </w:p>
    <w:p w14:paraId="09C2DC36"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שירות המבחן התרשם מנאשם שאינו בעל דפוסים עבריינים, המביע חרטה וצער על מעשיו ואינו צופה מעורבות חוזרת של הנאשם בהתנהלות פורצת חוק. הנאשם אמנם לא היה נכון להשתלב בהליך טיפולי מעמיק ועל כן לא בא שירות המבחן בהמלצה טיפולית, עם זאת סבור שיש להטיל עליו ענישה מקלה ביותר בדמות מאסר על תנאי וצו של"צ.</w:t>
      </w:r>
    </w:p>
    <w:p w14:paraId="1386ABC8" w14:textId="77777777" w:rsidR="00F02E76" w:rsidRDefault="00F02E76" w:rsidP="00F02E76">
      <w:pPr>
        <w:pStyle w:val="a9"/>
        <w:spacing w:line="360" w:lineRule="auto"/>
        <w:ind w:left="360"/>
        <w:jc w:val="both"/>
        <w:rPr>
          <w:rFonts w:cs="David"/>
          <w:sz w:val="24"/>
          <w:szCs w:val="24"/>
        </w:rPr>
      </w:pPr>
    </w:p>
    <w:p w14:paraId="3078D8EC" w14:textId="77777777" w:rsidR="00F02E76" w:rsidRDefault="00F02E76" w:rsidP="00F02E76">
      <w:pPr>
        <w:pStyle w:val="a9"/>
        <w:numPr>
          <w:ilvl w:val="0"/>
          <w:numId w:val="1"/>
        </w:numPr>
        <w:spacing w:line="360" w:lineRule="auto"/>
        <w:ind w:left="360"/>
        <w:jc w:val="both"/>
        <w:rPr>
          <w:rFonts w:cs="David"/>
          <w:sz w:val="24"/>
          <w:szCs w:val="24"/>
        </w:rPr>
      </w:pPr>
      <w:r>
        <w:rPr>
          <w:rFonts w:cs="David" w:hint="cs"/>
          <w:sz w:val="24"/>
          <w:szCs w:val="24"/>
          <w:rtl/>
        </w:rPr>
        <w:t>אין בידי לקבל עתירת ההגנה לסטייה ממתחם הענישה לצרכי השיקום, כל שכן המלצת שירות המבחן. הנאשם לא מצוי בהליך שיקום ואף התקשה בהעמקת הקשר הטיפולי עם שירות המבחן. המדובר בעתירות עונשיות שאינן מעניקות משקל ראוי לאינטרס הציבור, למלחמת החורמה שיש לנהל כנגד מחזיקי נשק ללא רשות ולכך שאין מדובר בנאשם שנתקבלה בעניינו המלצה טיפולית.</w:t>
      </w:r>
    </w:p>
    <w:p w14:paraId="2726913B" w14:textId="77777777" w:rsidR="00F02E76" w:rsidRDefault="00F02E76" w:rsidP="00F02E76">
      <w:pPr>
        <w:pStyle w:val="a9"/>
        <w:ind w:left="360"/>
        <w:rPr>
          <w:rFonts w:cs="David"/>
          <w:sz w:val="24"/>
          <w:szCs w:val="24"/>
        </w:rPr>
      </w:pPr>
    </w:p>
    <w:p w14:paraId="0D9E4074" w14:textId="77777777" w:rsidR="00F02E76" w:rsidRDefault="00F02E76" w:rsidP="00F02E76">
      <w:pPr>
        <w:pStyle w:val="a9"/>
        <w:ind w:left="360"/>
        <w:rPr>
          <w:rFonts w:cs="David"/>
          <w:sz w:val="24"/>
          <w:szCs w:val="24"/>
          <w:rtl/>
        </w:rPr>
      </w:pPr>
    </w:p>
    <w:p w14:paraId="0B1B6894" w14:textId="77777777" w:rsidR="00F02E76" w:rsidRDefault="00F02E76" w:rsidP="00F02E76">
      <w:pPr>
        <w:pStyle w:val="a9"/>
        <w:numPr>
          <w:ilvl w:val="0"/>
          <w:numId w:val="1"/>
        </w:numPr>
        <w:spacing w:line="360" w:lineRule="auto"/>
        <w:ind w:left="360"/>
        <w:jc w:val="both"/>
        <w:rPr>
          <w:rFonts w:cs="David"/>
          <w:sz w:val="24"/>
          <w:szCs w:val="24"/>
          <w:rtl/>
        </w:rPr>
      </w:pPr>
      <w:r>
        <w:rPr>
          <w:rFonts w:cs="David" w:hint="cs"/>
          <w:sz w:val="24"/>
          <w:szCs w:val="24"/>
          <w:rtl/>
        </w:rPr>
        <w:t>אין אלא להביע תקווה שהנאשם למד את לקחו ולא יחזור על מעשיו, אך לעת זו כשהמעשים שביצע הן בבחינת "מכת מדינה" של ממש, הפסיקה מצווה עלינו להחמיר ולהרתיע עם מחזיקי הנשק שלא ברשות, גם אלו שזו מעורבותם הפלילית הראשונה ולסייע למאבק הממושך של גורמי אכיפת החוק כנגד תופעה פסולה זו, על הנאשם לתת את דינו.</w:t>
      </w:r>
    </w:p>
    <w:p w14:paraId="35879F5A" w14:textId="77777777" w:rsidR="00F02E76" w:rsidRDefault="00F02E76" w:rsidP="00F02E76">
      <w:pPr>
        <w:pStyle w:val="a9"/>
        <w:spacing w:line="360" w:lineRule="auto"/>
        <w:ind w:left="360"/>
        <w:jc w:val="both"/>
        <w:rPr>
          <w:rFonts w:cs="David"/>
          <w:sz w:val="24"/>
          <w:szCs w:val="24"/>
        </w:rPr>
      </w:pPr>
    </w:p>
    <w:p w14:paraId="2EF91245" w14:textId="77777777" w:rsidR="00F02E76" w:rsidRDefault="00F02E76" w:rsidP="00F02E76">
      <w:pPr>
        <w:pStyle w:val="a9"/>
        <w:spacing w:line="360" w:lineRule="auto"/>
        <w:ind w:left="360"/>
        <w:jc w:val="both"/>
        <w:rPr>
          <w:rFonts w:cs="David"/>
          <w:b/>
          <w:bCs/>
          <w:sz w:val="24"/>
          <w:szCs w:val="24"/>
          <w:u w:val="single"/>
        </w:rPr>
      </w:pPr>
      <w:r>
        <w:rPr>
          <w:rFonts w:cs="David" w:hint="cs"/>
          <w:b/>
          <w:bCs/>
          <w:sz w:val="24"/>
          <w:szCs w:val="24"/>
          <w:u w:val="single"/>
          <w:rtl/>
        </w:rPr>
        <w:t>סוף דבר</w:t>
      </w:r>
    </w:p>
    <w:p w14:paraId="243E9AFD" w14:textId="77777777" w:rsidR="00F02E76" w:rsidRDefault="00F02E76" w:rsidP="00F02E76">
      <w:pPr>
        <w:pStyle w:val="a9"/>
        <w:numPr>
          <w:ilvl w:val="0"/>
          <w:numId w:val="1"/>
        </w:numPr>
        <w:spacing w:line="360" w:lineRule="auto"/>
        <w:ind w:left="360"/>
        <w:jc w:val="both"/>
        <w:rPr>
          <w:rFonts w:cs="David"/>
          <w:b/>
          <w:bCs/>
          <w:sz w:val="24"/>
          <w:szCs w:val="24"/>
        </w:rPr>
      </w:pPr>
      <w:r>
        <w:rPr>
          <w:rFonts w:cs="David" w:hint="cs"/>
          <w:b/>
          <w:bCs/>
          <w:sz w:val="24"/>
          <w:szCs w:val="24"/>
          <w:rtl/>
        </w:rPr>
        <w:t>לאחר ששקלתי כלל השיקולים לקולא ולחומרא, נסיבות המעשים, הרקע לביצוע העבירות, נסיבותיו החיוביות של הנאשם, חלוף הזמן, עמידתו בתנאים מגבילים, שיתוף פעולה חלקי בלבד עם שירות המבחן וסיכון נמוך להישנות התנהגות דומה, מצאתי למקם עונשו של הנאשם בתחתית מתחם הענישה.</w:t>
      </w:r>
    </w:p>
    <w:p w14:paraId="10CC9F0D" w14:textId="77777777" w:rsidR="00F02E76" w:rsidRDefault="00F02E76" w:rsidP="00F02E76">
      <w:pPr>
        <w:pStyle w:val="a9"/>
        <w:ind w:left="360"/>
        <w:rPr>
          <w:rFonts w:cs="David"/>
          <w:sz w:val="24"/>
          <w:szCs w:val="24"/>
        </w:rPr>
      </w:pPr>
    </w:p>
    <w:p w14:paraId="14FE5F9C" w14:textId="77777777" w:rsidR="00F02E76" w:rsidRDefault="00F02E76" w:rsidP="00F02E76">
      <w:pPr>
        <w:pStyle w:val="a9"/>
        <w:numPr>
          <w:ilvl w:val="0"/>
          <w:numId w:val="1"/>
        </w:numPr>
        <w:spacing w:line="360" w:lineRule="auto"/>
        <w:ind w:left="360"/>
        <w:jc w:val="both"/>
        <w:rPr>
          <w:rFonts w:cs="David"/>
          <w:b/>
          <w:bCs/>
          <w:sz w:val="24"/>
          <w:szCs w:val="24"/>
          <w:rtl/>
        </w:rPr>
      </w:pPr>
      <w:r>
        <w:rPr>
          <w:rFonts w:cs="David" w:hint="cs"/>
          <w:b/>
          <w:bCs/>
          <w:sz w:val="24"/>
          <w:szCs w:val="24"/>
          <w:rtl/>
        </w:rPr>
        <w:t>אשר על כן אני גוזרת על הנאשם את העונשים הבאים:</w:t>
      </w:r>
    </w:p>
    <w:p w14:paraId="7DA6ABC0" w14:textId="77777777" w:rsidR="00F02E76" w:rsidRDefault="00F02E76" w:rsidP="00F02E76">
      <w:pPr>
        <w:pStyle w:val="a9"/>
        <w:ind w:left="360"/>
        <w:rPr>
          <w:rFonts w:cs="David"/>
          <w:sz w:val="24"/>
          <w:szCs w:val="24"/>
        </w:rPr>
      </w:pPr>
    </w:p>
    <w:p w14:paraId="7E17DAE9" w14:textId="77777777" w:rsidR="00F02E76" w:rsidRDefault="00F02E76" w:rsidP="00F02E76">
      <w:pPr>
        <w:pStyle w:val="a9"/>
        <w:numPr>
          <w:ilvl w:val="0"/>
          <w:numId w:val="2"/>
        </w:numPr>
        <w:spacing w:line="360" w:lineRule="auto"/>
        <w:ind w:left="720"/>
        <w:jc w:val="both"/>
        <w:rPr>
          <w:rFonts w:cs="David"/>
          <w:sz w:val="24"/>
          <w:szCs w:val="24"/>
          <w:rtl/>
        </w:rPr>
      </w:pPr>
      <w:r>
        <w:rPr>
          <w:rFonts w:cs="David" w:hint="cs"/>
          <w:sz w:val="24"/>
          <w:szCs w:val="24"/>
          <w:rtl/>
        </w:rPr>
        <w:t xml:space="preserve">20 חודשי מאסר בפועל, בניכוי ימי מעצרו 24.12.15-20.1.16. </w:t>
      </w:r>
    </w:p>
    <w:p w14:paraId="743607B7" w14:textId="77777777" w:rsidR="00F02E76" w:rsidRDefault="00F02E76" w:rsidP="00F02E76">
      <w:pPr>
        <w:pStyle w:val="a9"/>
        <w:numPr>
          <w:ilvl w:val="0"/>
          <w:numId w:val="2"/>
        </w:numPr>
        <w:spacing w:line="360" w:lineRule="auto"/>
        <w:ind w:left="720"/>
        <w:jc w:val="both"/>
        <w:rPr>
          <w:rFonts w:cs="David"/>
          <w:sz w:val="24"/>
          <w:szCs w:val="24"/>
        </w:rPr>
      </w:pPr>
      <w:r>
        <w:rPr>
          <w:rFonts w:cs="David" w:hint="cs"/>
          <w:sz w:val="24"/>
          <w:szCs w:val="24"/>
          <w:rtl/>
        </w:rPr>
        <w:t xml:space="preserve">מאסר על תנאי בן 7 חודשים לבל יעבור הנאשם עבירת נשק תוך 3 שנים מיום שחרורו. </w:t>
      </w:r>
    </w:p>
    <w:p w14:paraId="57D2E70C" w14:textId="77777777" w:rsidR="00F02E76" w:rsidRDefault="00F02E76" w:rsidP="00F02E76">
      <w:pPr>
        <w:pStyle w:val="a9"/>
        <w:numPr>
          <w:ilvl w:val="0"/>
          <w:numId w:val="2"/>
        </w:numPr>
        <w:spacing w:line="360" w:lineRule="auto"/>
        <w:ind w:left="720"/>
        <w:jc w:val="both"/>
        <w:rPr>
          <w:rFonts w:cs="David"/>
          <w:sz w:val="24"/>
          <w:szCs w:val="24"/>
        </w:rPr>
      </w:pPr>
      <w:r>
        <w:rPr>
          <w:rFonts w:cs="David" w:hint="cs"/>
          <w:sz w:val="24"/>
          <w:szCs w:val="24"/>
          <w:rtl/>
        </w:rPr>
        <w:t>קנס בסך 5000 ₪ או 30 ימי מאסר. הקנס ישולם עד ליום 1.9.17.</w:t>
      </w:r>
    </w:p>
    <w:p w14:paraId="50F6A308" w14:textId="77777777" w:rsidR="00F02E76" w:rsidRPr="002403CE" w:rsidRDefault="002403CE" w:rsidP="00F02E76">
      <w:pPr>
        <w:pStyle w:val="a9"/>
        <w:spacing w:line="360" w:lineRule="auto"/>
        <w:jc w:val="both"/>
        <w:rPr>
          <w:rFonts w:cs="David"/>
          <w:color w:val="FFFFFF"/>
          <w:sz w:val="2"/>
          <w:szCs w:val="2"/>
          <w:rtl/>
        </w:rPr>
      </w:pPr>
      <w:r w:rsidRPr="002403CE">
        <w:rPr>
          <w:rFonts w:cs="David"/>
          <w:color w:val="FFFFFF"/>
          <w:sz w:val="2"/>
          <w:szCs w:val="2"/>
          <w:rtl/>
        </w:rPr>
        <w:t>5129371</w:t>
      </w:r>
    </w:p>
    <w:p w14:paraId="20D9446C" w14:textId="77777777" w:rsidR="00F02E76" w:rsidRDefault="002403CE" w:rsidP="00F02E76">
      <w:pPr>
        <w:rPr>
          <w:rFonts w:cs="FrankRuehl"/>
          <w:sz w:val="28"/>
          <w:szCs w:val="28"/>
          <w:rtl/>
        </w:rPr>
      </w:pPr>
      <w:r w:rsidRPr="002403CE">
        <w:rPr>
          <w:rFonts w:ascii="Arial" w:hAnsi="Arial"/>
          <w:color w:val="FFFFFF"/>
          <w:sz w:val="2"/>
          <w:szCs w:val="2"/>
          <w:rtl/>
        </w:rPr>
        <w:t>54678313</w:t>
      </w:r>
      <w:r>
        <w:rPr>
          <w:rFonts w:ascii="Arial" w:hAnsi="Arial"/>
          <w:rtl/>
        </w:rPr>
        <w:t xml:space="preserve">ניתן היום,  כ"ז סיוון תשע"ז, 21 יוני 2017, במעמד הצדדים. </w:t>
      </w:r>
    </w:p>
    <w:p w14:paraId="4A22A6E5" w14:textId="77777777" w:rsidR="00F02E76" w:rsidRDefault="00F02E76" w:rsidP="00F02E7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E6979DB" w14:textId="77777777" w:rsidR="00F02E76" w:rsidRDefault="00F02E76" w:rsidP="00F02E76">
      <w:pPr>
        <w:jc w:val="center"/>
        <w:rPr>
          <w:rFonts w:ascii="Arial" w:hAnsi="Arial" w:cs="FrankRuehl"/>
          <w:sz w:val="28"/>
          <w:szCs w:val="28"/>
          <w:rtl/>
        </w:rPr>
      </w:pPr>
    </w:p>
    <w:p w14:paraId="1F749828" w14:textId="77777777" w:rsidR="00F02E76" w:rsidRDefault="00F02E76" w:rsidP="00F02E76">
      <w:pPr>
        <w:rPr>
          <w:rFonts w:cs="FrankRuehl"/>
          <w:sz w:val="28"/>
          <w:szCs w:val="28"/>
          <w:rtl/>
        </w:rPr>
      </w:pPr>
    </w:p>
    <w:p w14:paraId="56FE08F4" w14:textId="77777777" w:rsidR="00F02E76" w:rsidRPr="003C1BD8" w:rsidRDefault="003C1BD8" w:rsidP="00F02E76">
      <w:pPr>
        <w:pStyle w:val="a3"/>
        <w:jc w:val="center"/>
        <w:rPr>
          <w:color w:val="FFFFFF"/>
          <w:sz w:val="2"/>
          <w:szCs w:val="2"/>
          <w:rtl/>
        </w:rPr>
      </w:pPr>
      <w:r w:rsidRPr="003C1BD8">
        <w:rPr>
          <w:color w:val="FFFFFF"/>
          <w:sz w:val="2"/>
          <w:szCs w:val="2"/>
          <w:rtl/>
        </w:rPr>
        <w:t>5129371</w:t>
      </w:r>
    </w:p>
    <w:p w14:paraId="6AAA4AFC" w14:textId="77777777" w:rsidR="002D7B2F" w:rsidRPr="003C1BD8" w:rsidRDefault="003C1BD8" w:rsidP="002403CE">
      <w:pPr>
        <w:keepNext/>
        <w:rPr>
          <w:rFonts w:ascii="David" w:hAnsi="David"/>
          <w:color w:val="FFFFFF"/>
          <w:sz w:val="2"/>
          <w:szCs w:val="2"/>
          <w:rtl/>
        </w:rPr>
      </w:pPr>
      <w:r w:rsidRPr="003C1BD8">
        <w:rPr>
          <w:rFonts w:ascii="David" w:hAnsi="David"/>
          <w:color w:val="FFFFFF"/>
          <w:sz w:val="2"/>
          <w:szCs w:val="2"/>
          <w:rtl/>
        </w:rPr>
        <w:t>54678313</w:t>
      </w:r>
    </w:p>
    <w:p w14:paraId="220B974A" w14:textId="77777777" w:rsidR="002403CE" w:rsidRPr="002403CE" w:rsidRDefault="002403CE" w:rsidP="002403CE">
      <w:pPr>
        <w:keepNext/>
        <w:rPr>
          <w:rFonts w:ascii="David" w:hAnsi="David"/>
          <w:color w:val="000000"/>
          <w:sz w:val="22"/>
          <w:szCs w:val="22"/>
          <w:rtl/>
        </w:rPr>
      </w:pPr>
      <w:r w:rsidRPr="002403CE">
        <w:rPr>
          <w:rFonts w:ascii="David" w:hAnsi="David"/>
          <w:color w:val="000000"/>
          <w:sz w:val="22"/>
          <w:szCs w:val="22"/>
          <w:rtl/>
        </w:rPr>
        <w:t>מרב גרינברג 54678313</w:t>
      </w:r>
    </w:p>
    <w:p w14:paraId="31B7C162" w14:textId="77777777" w:rsidR="002403CE" w:rsidRDefault="002403CE" w:rsidP="002403CE">
      <w:r w:rsidRPr="002403CE">
        <w:rPr>
          <w:color w:val="000000"/>
          <w:rtl/>
        </w:rPr>
        <w:t>נוסח מסמך זה כפוף לשינויי ניסוח ועריכה</w:t>
      </w:r>
    </w:p>
    <w:p w14:paraId="71829BB9" w14:textId="77777777" w:rsidR="002403CE" w:rsidRDefault="002403CE" w:rsidP="002403CE">
      <w:pPr>
        <w:rPr>
          <w:rtl/>
        </w:rPr>
      </w:pPr>
    </w:p>
    <w:p w14:paraId="3A9D0138" w14:textId="77777777" w:rsidR="002403CE" w:rsidRDefault="002403CE" w:rsidP="002403C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444824F" w14:textId="77777777" w:rsidR="002403CE" w:rsidRPr="002403CE" w:rsidRDefault="002403CE" w:rsidP="003C1BD8">
      <w:pPr>
        <w:rPr>
          <w:color w:val="0000FF"/>
          <w:u w:val="single"/>
        </w:rPr>
      </w:pPr>
    </w:p>
    <w:sectPr w:rsidR="002403CE" w:rsidRPr="002403CE" w:rsidSect="003C1BD8">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E2C8D" w14:textId="77777777" w:rsidR="0047596C" w:rsidRDefault="0047596C" w:rsidP="00E13560">
      <w:r>
        <w:separator/>
      </w:r>
    </w:p>
  </w:endnote>
  <w:endnote w:type="continuationSeparator" w:id="0">
    <w:p w14:paraId="3BFD001B" w14:textId="77777777" w:rsidR="0047596C" w:rsidRDefault="0047596C" w:rsidP="00E1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AFA03" w14:textId="77777777" w:rsidR="0047596C" w:rsidRDefault="0047596C" w:rsidP="003C1B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A7629F1" w14:textId="77777777" w:rsidR="0047596C" w:rsidRPr="003C1BD8" w:rsidRDefault="0047596C" w:rsidP="003C1BD8">
    <w:pPr>
      <w:pStyle w:val="a5"/>
      <w:pBdr>
        <w:top w:val="single" w:sz="4" w:space="1" w:color="auto"/>
        <w:between w:val="single" w:sz="4" w:space="0" w:color="auto"/>
      </w:pBdr>
      <w:spacing w:after="60"/>
      <w:jc w:val="center"/>
      <w:rPr>
        <w:rFonts w:ascii="FrankRuehl" w:hAnsi="FrankRuehl" w:cs="FrankRuehl"/>
        <w:color w:val="000000"/>
      </w:rPr>
    </w:pPr>
    <w:r w:rsidRPr="003C1B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959BE" w14:textId="77777777" w:rsidR="0047596C" w:rsidRDefault="0047596C" w:rsidP="003C1B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628C">
      <w:rPr>
        <w:rFonts w:ascii="FrankRuehl" w:hAnsi="FrankRuehl" w:cs="FrankRuehl"/>
        <w:noProof/>
        <w:rtl/>
      </w:rPr>
      <w:t>1</w:t>
    </w:r>
    <w:r>
      <w:rPr>
        <w:rFonts w:ascii="FrankRuehl" w:hAnsi="FrankRuehl" w:cs="FrankRuehl"/>
        <w:rtl/>
      </w:rPr>
      <w:fldChar w:fldCharType="end"/>
    </w:r>
  </w:p>
  <w:p w14:paraId="0DA4B3EE" w14:textId="77777777" w:rsidR="0047596C" w:rsidRPr="003C1BD8" w:rsidRDefault="0047596C" w:rsidP="003C1BD8">
    <w:pPr>
      <w:pStyle w:val="a5"/>
      <w:pBdr>
        <w:top w:val="single" w:sz="4" w:space="1" w:color="auto"/>
        <w:between w:val="single" w:sz="4" w:space="0" w:color="auto"/>
      </w:pBdr>
      <w:spacing w:after="60"/>
      <w:jc w:val="center"/>
      <w:rPr>
        <w:rFonts w:ascii="FrankRuehl" w:hAnsi="FrankRuehl" w:cs="FrankRuehl"/>
        <w:color w:val="000000"/>
      </w:rPr>
    </w:pPr>
    <w:r w:rsidRPr="003C1BD8">
      <w:rPr>
        <w:rFonts w:ascii="FrankRuehl" w:hAnsi="FrankRuehl" w:cs="FrankRuehl"/>
        <w:color w:val="000000"/>
      </w:rPr>
      <w:pict w14:anchorId="07AE9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3C414" w14:textId="77777777" w:rsidR="0047596C" w:rsidRDefault="0047596C" w:rsidP="00E13560">
      <w:r>
        <w:separator/>
      </w:r>
    </w:p>
  </w:footnote>
  <w:footnote w:type="continuationSeparator" w:id="0">
    <w:p w14:paraId="338F9A90" w14:textId="77777777" w:rsidR="0047596C" w:rsidRDefault="0047596C" w:rsidP="00E13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52013" w14:textId="77777777" w:rsidR="0047596C" w:rsidRPr="003C1BD8" w:rsidRDefault="0047596C" w:rsidP="003C1B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65958-12-15</w:t>
    </w:r>
    <w:r>
      <w:rPr>
        <w:rFonts w:ascii="David" w:hAnsi="David"/>
        <w:color w:val="000000"/>
        <w:sz w:val="22"/>
        <w:szCs w:val="22"/>
        <w:rtl/>
      </w:rPr>
      <w:tab/>
      <w:t xml:space="preserve"> מדינת ישראל נ' נור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CA16" w14:textId="77777777" w:rsidR="0047596C" w:rsidRPr="003C1BD8" w:rsidRDefault="0047596C" w:rsidP="003C1B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65958-12-15</w:t>
    </w:r>
    <w:r>
      <w:rPr>
        <w:rFonts w:ascii="David" w:hAnsi="David"/>
        <w:color w:val="000000"/>
        <w:sz w:val="22"/>
        <w:szCs w:val="22"/>
        <w:rtl/>
      </w:rPr>
      <w:tab/>
      <w:t xml:space="preserve"> מדינת ישראל נ' נור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F6C25C2"/>
    <w:multiLevelType w:val="hybridMultilevel"/>
    <w:tmpl w:val="8688A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44807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26266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2E76"/>
    <w:rsid w:val="001E628B"/>
    <w:rsid w:val="002403CE"/>
    <w:rsid w:val="002D7B2F"/>
    <w:rsid w:val="003C1BD8"/>
    <w:rsid w:val="0047596C"/>
    <w:rsid w:val="007850C7"/>
    <w:rsid w:val="0096628C"/>
    <w:rsid w:val="00B77D29"/>
    <w:rsid w:val="00BA16A0"/>
    <w:rsid w:val="00C47F13"/>
    <w:rsid w:val="00E13560"/>
    <w:rsid w:val="00F02E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B09D8DB"/>
  <w15:chartTrackingRefBased/>
  <w15:docId w15:val="{933AA319-D0EB-4180-AE19-C33D76E2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2E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2E76"/>
    <w:pPr>
      <w:tabs>
        <w:tab w:val="center" w:pos="4153"/>
        <w:tab w:val="right" w:pos="8306"/>
      </w:tabs>
    </w:pPr>
  </w:style>
  <w:style w:type="character" w:customStyle="1" w:styleId="a4">
    <w:name w:val="כותרת עליונה תו"/>
    <w:link w:val="a3"/>
    <w:rsid w:val="00F02E76"/>
    <w:rPr>
      <w:rFonts w:ascii="Times New Roman" w:eastAsia="Times New Roman" w:hAnsi="Times New Roman" w:cs="David"/>
      <w:sz w:val="24"/>
      <w:szCs w:val="24"/>
    </w:rPr>
  </w:style>
  <w:style w:type="paragraph" w:styleId="a5">
    <w:name w:val="footer"/>
    <w:basedOn w:val="a"/>
    <w:link w:val="a6"/>
    <w:rsid w:val="00F02E76"/>
    <w:pPr>
      <w:tabs>
        <w:tab w:val="center" w:pos="4153"/>
        <w:tab w:val="right" w:pos="8306"/>
      </w:tabs>
    </w:pPr>
  </w:style>
  <w:style w:type="character" w:customStyle="1" w:styleId="a6">
    <w:name w:val="כותרת תחתונה תו"/>
    <w:link w:val="a5"/>
    <w:rsid w:val="00F02E76"/>
    <w:rPr>
      <w:rFonts w:ascii="Times New Roman" w:eastAsia="Times New Roman" w:hAnsi="Times New Roman" w:cs="David"/>
      <w:sz w:val="24"/>
      <w:szCs w:val="24"/>
    </w:rPr>
  </w:style>
  <w:style w:type="table" w:styleId="a7">
    <w:name w:val="Table Grid"/>
    <w:basedOn w:val="a1"/>
    <w:rsid w:val="00F02E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2E76"/>
  </w:style>
  <w:style w:type="paragraph" w:styleId="a9">
    <w:name w:val="List Paragraph"/>
    <w:basedOn w:val="a"/>
    <w:qFormat/>
    <w:rsid w:val="00F02E76"/>
    <w:pPr>
      <w:spacing w:after="160" w:line="256" w:lineRule="auto"/>
      <w:ind w:left="720"/>
      <w:contextualSpacing/>
    </w:pPr>
    <w:rPr>
      <w:rFonts w:ascii="Calibri" w:eastAsia="Calibri" w:hAnsi="Calibri" w:cs="Arial"/>
      <w:sz w:val="22"/>
      <w:szCs w:val="22"/>
    </w:rPr>
  </w:style>
  <w:style w:type="character" w:styleId="Hyperlink">
    <w:name w:val="Hyperlink"/>
    <w:rsid w:val="002403CE"/>
    <w:rPr>
      <w:color w:val="0563C1"/>
      <w:u w:val="single"/>
    </w:rPr>
  </w:style>
  <w:style w:type="character" w:styleId="aa">
    <w:name w:val="Unresolved Mention"/>
    <w:rsid w:val="002403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7791493" TargetMode="External"/><Relationship Id="rId18" Type="http://schemas.openxmlformats.org/officeDocument/2006/relationships/hyperlink" Target="http://www.nevo.co.il/case/585240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0658167" TargetMode="External"/><Relationship Id="rId7" Type="http://schemas.openxmlformats.org/officeDocument/2006/relationships/hyperlink" Target="http://www.nevo.co.il/law/70301" TargetMode="External"/><Relationship Id="rId12" Type="http://schemas.openxmlformats.org/officeDocument/2006/relationships/hyperlink" Target="http://www.nevo.co.il/case/7791493" TargetMode="External"/><Relationship Id="rId17" Type="http://schemas.openxmlformats.org/officeDocument/2006/relationships/hyperlink" Target="http://www.nevo.co.il/case/22017595" TargetMode="External"/><Relationship Id="rId25" Type="http://schemas.openxmlformats.org/officeDocument/2006/relationships/hyperlink" Target="http://www.nevo.co.il/case/21735914" TargetMode="External"/><Relationship Id="rId2" Type="http://schemas.openxmlformats.org/officeDocument/2006/relationships/styles" Target="styles.xml"/><Relationship Id="rId16" Type="http://schemas.openxmlformats.org/officeDocument/2006/relationships/hyperlink" Target="http://www.nevo.co.il/case/22228298" TargetMode="External"/><Relationship Id="rId20" Type="http://schemas.openxmlformats.org/officeDocument/2006/relationships/hyperlink" Target="http://www.nevo.co.il/case/2088165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568354" TargetMode="External"/><Relationship Id="rId24" Type="http://schemas.openxmlformats.org/officeDocument/2006/relationships/hyperlink" Target="http://www.nevo.co.il/case/2203348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580781" TargetMode="External"/><Relationship Id="rId23" Type="http://schemas.openxmlformats.org/officeDocument/2006/relationships/hyperlink" Target="http://www.nevo.co.il/case/2857037"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147513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5601503" TargetMode="External"/><Relationship Id="rId22" Type="http://schemas.openxmlformats.org/officeDocument/2006/relationships/hyperlink" Target="http://www.nevo.co.il/case/2072337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2093</Words>
  <Characters>10467</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12535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3211391</vt:i4>
      </vt:variant>
      <vt:variant>
        <vt:i4>54</vt:i4>
      </vt:variant>
      <vt:variant>
        <vt:i4>0</vt:i4>
      </vt:variant>
      <vt:variant>
        <vt:i4>5</vt:i4>
      </vt:variant>
      <vt:variant>
        <vt:lpwstr>http://www.nevo.co.il/case/21735914</vt:lpwstr>
      </vt:variant>
      <vt:variant>
        <vt:lpwstr/>
      </vt:variant>
      <vt:variant>
        <vt:i4>3735665</vt:i4>
      </vt:variant>
      <vt:variant>
        <vt:i4>51</vt:i4>
      </vt:variant>
      <vt:variant>
        <vt:i4>0</vt:i4>
      </vt:variant>
      <vt:variant>
        <vt:i4>5</vt:i4>
      </vt:variant>
      <vt:variant>
        <vt:lpwstr>http://www.nevo.co.il/case/22033482</vt:lpwstr>
      </vt:variant>
      <vt:variant>
        <vt:lpwstr/>
      </vt:variant>
      <vt:variant>
        <vt:i4>3145848</vt:i4>
      </vt:variant>
      <vt:variant>
        <vt:i4>48</vt:i4>
      </vt:variant>
      <vt:variant>
        <vt:i4>0</vt:i4>
      </vt:variant>
      <vt:variant>
        <vt:i4>5</vt:i4>
      </vt:variant>
      <vt:variant>
        <vt:lpwstr>http://www.nevo.co.il/case/2857037</vt:lpwstr>
      </vt:variant>
      <vt:variant>
        <vt:lpwstr/>
      </vt:variant>
      <vt:variant>
        <vt:i4>3211381</vt:i4>
      </vt:variant>
      <vt:variant>
        <vt:i4>45</vt:i4>
      </vt:variant>
      <vt:variant>
        <vt:i4>0</vt:i4>
      </vt:variant>
      <vt:variant>
        <vt:i4>5</vt:i4>
      </vt:variant>
      <vt:variant>
        <vt:lpwstr>http://www.nevo.co.il/case/20723375</vt:lpwstr>
      </vt:variant>
      <vt:variant>
        <vt:lpwstr/>
      </vt:variant>
      <vt:variant>
        <vt:i4>3801200</vt:i4>
      </vt:variant>
      <vt:variant>
        <vt:i4>42</vt:i4>
      </vt:variant>
      <vt:variant>
        <vt:i4>0</vt:i4>
      </vt:variant>
      <vt:variant>
        <vt:i4>5</vt:i4>
      </vt:variant>
      <vt:variant>
        <vt:lpwstr>http://www.nevo.co.il/case/20658167</vt:lpwstr>
      </vt:variant>
      <vt:variant>
        <vt:lpwstr/>
      </vt:variant>
      <vt:variant>
        <vt:i4>4063354</vt:i4>
      </vt:variant>
      <vt:variant>
        <vt:i4>39</vt:i4>
      </vt:variant>
      <vt:variant>
        <vt:i4>0</vt:i4>
      </vt:variant>
      <vt:variant>
        <vt:i4>5</vt:i4>
      </vt:variant>
      <vt:variant>
        <vt:lpwstr>http://www.nevo.co.il/case/20881655</vt:lpwstr>
      </vt:variant>
      <vt:variant>
        <vt:lpwstr/>
      </vt:variant>
      <vt:variant>
        <vt:i4>3145843</vt:i4>
      </vt:variant>
      <vt:variant>
        <vt:i4>36</vt:i4>
      </vt:variant>
      <vt:variant>
        <vt:i4>0</vt:i4>
      </vt:variant>
      <vt:variant>
        <vt:i4>5</vt:i4>
      </vt:variant>
      <vt:variant>
        <vt:lpwstr>http://www.nevo.co.il/case/21475135</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3932274</vt:i4>
      </vt:variant>
      <vt:variant>
        <vt:i4>30</vt:i4>
      </vt:variant>
      <vt:variant>
        <vt:i4>0</vt:i4>
      </vt:variant>
      <vt:variant>
        <vt:i4>5</vt:i4>
      </vt:variant>
      <vt:variant>
        <vt:lpwstr>http://www.nevo.co.il/case/22017595</vt:lpwstr>
      </vt:variant>
      <vt:variant>
        <vt:lpwstr/>
      </vt:variant>
      <vt:variant>
        <vt:i4>3211382</vt:i4>
      </vt:variant>
      <vt:variant>
        <vt:i4>27</vt:i4>
      </vt:variant>
      <vt:variant>
        <vt:i4>0</vt:i4>
      </vt:variant>
      <vt:variant>
        <vt:i4>5</vt:i4>
      </vt:variant>
      <vt:variant>
        <vt:lpwstr>http://www.nevo.co.il/case/22228298</vt:lpwstr>
      </vt:variant>
      <vt:variant>
        <vt:lpwstr/>
      </vt:variant>
      <vt:variant>
        <vt:i4>3866745</vt:i4>
      </vt:variant>
      <vt:variant>
        <vt:i4>24</vt:i4>
      </vt:variant>
      <vt:variant>
        <vt:i4>0</vt:i4>
      </vt:variant>
      <vt:variant>
        <vt:i4>5</vt:i4>
      </vt:variant>
      <vt:variant>
        <vt:lpwstr>http://www.nevo.co.il/case/5580781</vt:lpwstr>
      </vt:variant>
      <vt:variant>
        <vt:lpwstr/>
      </vt:variant>
      <vt:variant>
        <vt:i4>3342451</vt:i4>
      </vt:variant>
      <vt:variant>
        <vt:i4>21</vt:i4>
      </vt:variant>
      <vt:variant>
        <vt:i4>0</vt:i4>
      </vt:variant>
      <vt:variant>
        <vt:i4>5</vt:i4>
      </vt:variant>
      <vt:variant>
        <vt:lpwstr>http://www.nevo.co.il/case/5601503</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3735675</vt:i4>
      </vt:variant>
      <vt:variant>
        <vt:i4>15</vt:i4>
      </vt:variant>
      <vt:variant>
        <vt:i4>0</vt:i4>
      </vt:variant>
      <vt:variant>
        <vt:i4>5</vt:i4>
      </vt:variant>
      <vt:variant>
        <vt:lpwstr>http://www.nevo.co.il/case/7791493</vt:lpwstr>
      </vt:variant>
      <vt:variant>
        <vt:lpwstr/>
      </vt:variant>
      <vt:variant>
        <vt:i4>3407996</vt:i4>
      </vt:variant>
      <vt:variant>
        <vt:i4>12</vt:i4>
      </vt:variant>
      <vt:variant>
        <vt:i4>0</vt:i4>
      </vt:variant>
      <vt:variant>
        <vt:i4>5</vt:i4>
      </vt:variant>
      <vt:variant>
        <vt:lpwstr>http://www.nevo.co.il/case/5568354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65958</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נור חאג יחיא</vt:lpwstr>
  </property>
  <property fmtid="{D5CDD505-2E9C-101B-9397-08002B2CF9AE}" pid="10" name="LAWYER">
    <vt:lpwstr>שירה סוכצקי;מנדלמן</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20170621</vt:lpwstr>
  </property>
  <property fmtid="{D5CDD505-2E9C-101B-9397-08002B2CF9AE}" pid="14" name="TYPE_N_DATE">
    <vt:lpwstr>38020170621</vt:lpwstr>
  </property>
  <property fmtid="{D5CDD505-2E9C-101B-9397-08002B2CF9AE}" pid="15" name="CASESLISTTMP1">
    <vt:lpwstr>5568354;7791493:2;5601503;5580781;22228298;22017595;5852404;21475135;20881655;20658167;20723375;2857037;22033482;21735914</vt:lpwstr>
  </property>
  <property fmtid="{D5CDD505-2E9C-101B-9397-08002B2CF9AE}" pid="16" name="CASENOTES1">
    <vt:lpwstr>ProcID=174&amp;PartA=6583&amp;PartC=06</vt:lpwstr>
  </property>
  <property fmtid="{D5CDD505-2E9C-101B-9397-08002B2CF9AE}" pid="17" name="CASENOTES2">
    <vt:lpwstr>ProcID=25;179&amp;PartA=652&amp;PartC=85</vt:lpwstr>
  </property>
  <property fmtid="{D5CDD505-2E9C-101B-9397-08002B2CF9AE}" pid="18" name="CASENOTES3">
    <vt:lpwstr>ProcID=235&amp;PartA=12&amp;PartC=36</vt:lpwstr>
  </property>
  <property fmtid="{D5CDD505-2E9C-101B-9397-08002B2CF9AE}" pid="19" name="WORDNUMPAGES">
    <vt:lpwstr>7</vt:lpwstr>
  </property>
  <property fmtid="{D5CDD505-2E9C-101B-9397-08002B2CF9AE}" pid="20" name="TYPE_ABS_DATE">
    <vt:lpwstr>380020170621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vt:lpwstr>
  </property>
</Properties>
</file>