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E78E4" w:rsidRPr="00A8388A" w14:paraId="48A87430" w14:textId="77777777" w:rsidTr="0044663C">
        <w:trPr>
          <w:trHeight w:hRule="exact" w:val="418"/>
          <w:jc w:val="center"/>
        </w:trPr>
        <w:tc>
          <w:tcPr>
            <w:tcW w:w="8721" w:type="dxa"/>
            <w:gridSpan w:val="2"/>
          </w:tcPr>
          <w:p w14:paraId="383AF3D1" w14:textId="77777777" w:rsidR="00FE78E4" w:rsidRPr="00A8388A" w:rsidRDefault="00FE78E4" w:rsidP="00F3207D">
            <w:pPr>
              <w:pStyle w:val="a3"/>
              <w:jc w:val="center"/>
              <w:rPr>
                <w:rFonts w:ascii="Tahoma" w:hAnsi="Tahoma" w:cs="Tahoma"/>
                <w:color w:val="000080"/>
                <w:rtl/>
              </w:rPr>
            </w:pPr>
            <w:bookmarkStart w:id="0" w:name="LastJudge"/>
            <w:r w:rsidRPr="00A8388A">
              <w:rPr>
                <w:rFonts w:ascii="Tahoma" w:hAnsi="Tahoma" w:cs="Tahoma"/>
                <w:b/>
                <w:bCs/>
                <w:color w:val="000080"/>
                <w:rtl/>
              </w:rPr>
              <w:t>בית משפט השלום בכפר סבא</w:t>
            </w:r>
          </w:p>
        </w:tc>
      </w:tr>
      <w:tr w:rsidR="00FE78E4" w:rsidRPr="00A8388A" w14:paraId="5076E430" w14:textId="77777777" w:rsidTr="0044663C">
        <w:trPr>
          <w:trHeight w:val="337"/>
          <w:jc w:val="center"/>
        </w:trPr>
        <w:tc>
          <w:tcPr>
            <w:tcW w:w="5054" w:type="dxa"/>
          </w:tcPr>
          <w:p w14:paraId="017E386C" w14:textId="77777777" w:rsidR="00FE78E4" w:rsidRPr="00A8388A" w:rsidRDefault="00FE78E4" w:rsidP="00F3207D">
            <w:pPr>
              <w:rPr>
                <w:rFonts w:cs="FrankRuehl"/>
                <w:sz w:val="28"/>
                <w:szCs w:val="28"/>
                <w:rtl/>
              </w:rPr>
            </w:pPr>
            <w:r w:rsidRPr="00A8388A">
              <w:rPr>
                <w:rFonts w:cs="FrankRuehl"/>
                <w:sz w:val="28"/>
                <w:szCs w:val="28"/>
                <w:rtl/>
              </w:rPr>
              <w:t>ת"פ</w:t>
            </w:r>
            <w:r w:rsidRPr="00A8388A">
              <w:rPr>
                <w:rFonts w:cs="FrankRuehl" w:hint="cs"/>
                <w:sz w:val="28"/>
                <w:szCs w:val="28"/>
                <w:rtl/>
              </w:rPr>
              <w:t xml:space="preserve"> </w:t>
            </w:r>
            <w:r w:rsidRPr="00A8388A">
              <w:rPr>
                <w:rFonts w:cs="FrankRuehl"/>
                <w:sz w:val="28"/>
                <w:szCs w:val="28"/>
                <w:rtl/>
              </w:rPr>
              <w:t>21459-01-16</w:t>
            </w:r>
            <w:r w:rsidRPr="00A8388A">
              <w:rPr>
                <w:rFonts w:cs="FrankRuehl" w:hint="cs"/>
                <w:sz w:val="28"/>
                <w:szCs w:val="28"/>
                <w:rtl/>
              </w:rPr>
              <w:t xml:space="preserve"> </w:t>
            </w:r>
            <w:r w:rsidRPr="00A8388A">
              <w:rPr>
                <w:rFonts w:cs="FrankRuehl"/>
                <w:sz w:val="28"/>
                <w:szCs w:val="28"/>
                <w:rtl/>
              </w:rPr>
              <w:t>מדינת ישראל נ' נאטור ואח'</w:t>
            </w:r>
          </w:p>
          <w:p w14:paraId="624738AF" w14:textId="77777777" w:rsidR="00FE78E4" w:rsidRPr="00A8388A" w:rsidRDefault="00FE78E4" w:rsidP="00F3207D">
            <w:pPr>
              <w:pStyle w:val="a3"/>
              <w:rPr>
                <w:rFonts w:cs="FrankRuehl"/>
                <w:sz w:val="28"/>
                <w:szCs w:val="28"/>
                <w:rtl/>
              </w:rPr>
            </w:pPr>
          </w:p>
        </w:tc>
        <w:tc>
          <w:tcPr>
            <w:tcW w:w="3667" w:type="dxa"/>
          </w:tcPr>
          <w:p w14:paraId="61568D48" w14:textId="77777777" w:rsidR="00FE78E4" w:rsidRPr="00A8388A" w:rsidRDefault="00FE78E4" w:rsidP="00F3207D">
            <w:pPr>
              <w:pStyle w:val="a3"/>
              <w:jc w:val="right"/>
              <w:rPr>
                <w:rFonts w:cs="FrankRuehl"/>
                <w:sz w:val="28"/>
                <w:szCs w:val="28"/>
                <w:rtl/>
              </w:rPr>
            </w:pPr>
          </w:p>
        </w:tc>
      </w:tr>
    </w:tbl>
    <w:p w14:paraId="7C1CE7E4" w14:textId="77777777" w:rsidR="00FE78E4" w:rsidRPr="00A8388A" w:rsidRDefault="00FE78E4" w:rsidP="00FE78E4">
      <w:pPr>
        <w:pStyle w:val="a3"/>
        <w:rPr>
          <w:rtl/>
        </w:rPr>
      </w:pPr>
      <w:r w:rsidRPr="00A8388A">
        <w:rPr>
          <w:rFonts w:hint="cs"/>
          <w:rtl/>
        </w:rPr>
        <w:t xml:space="preserve"> </w:t>
      </w:r>
    </w:p>
    <w:p w14:paraId="7BF90997" w14:textId="77777777" w:rsidR="00FE78E4" w:rsidRPr="00A8388A" w:rsidRDefault="00FE78E4" w:rsidP="00FE78E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5748"/>
        <w:gridCol w:w="2127"/>
      </w:tblGrid>
      <w:tr w:rsidR="00FE78E4" w:rsidRPr="00A8388A" w14:paraId="2830FF84" w14:textId="77777777" w:rsidTr="00FE78E4">
        <w:trPr>
          <w:trHeight w:val="295"/>
          <w:jc w:val="center"/>
        </w:trPr>
        <w:tc>
          <w:tcPr>
            <w:tcW w:w="945" w:type="dxa"/>
            <w:tcBorders>
              <w:top w:val="nil"/>
              <w:left w:val="nil"/>
              <w:bottom w:val="nil"/>
              <w:right w:val="nil"/>
            </w:tcBorders>
            <w:shd w:val="clear" w:color="auto" w:fill="auto"/>
          </w:tcPr>
          <w:p w14:paraId="1BF1D820" w14:textId="77777777" w:rsidR="00FE78E4" w:rsidRPr="00A8388A" w:rsidRDefault="00FE78E4" w:rsidP="00FE78E4">
            <w:pPr>
              <w:jc w:val="both"/>
              <w:rPr>
                <w:rFonts w:ascii="Arial" w:hAnsi="Arial"/>
                <w:b/>
                <w:bCs/>
                <w:sz w:val="28"/>
                <w:szCs w:val="28"/>
              </w:rPr>
            </w:pPr>
            <w:r w:rsidRPr="00A8388A">
              <w:rPr>
                <w:rFonts w:ascii="Arial" w:hAnsi="Arial" w:hint="cs"/>
                <w:b/>
                <w:bCs/>
                <w:sz w:val="28"/>
                <w:szCs w:val="28"/>
                <w:rtl/>
              </w:rPr>
              <w:t>ב</w:t>
            </w:r>
            <w:r w:rsidRPr="00A8388A">
              <w:rPr>
                <w:rFonts w:ascii="Arial" w:hAnsi="Arial"/>
                <w:b/>
                <w:bCs/>
                <w:sz w:val="28"/>
                <w:szCs w:val="28"/>
                <w:rtl/>
              </w:rPr>
              <w:t xml:space="preserve">פני </w:t>
            </w:r>
          </w:p>
        </w:tc>
        <w:tc>
          <w:tcPr>
            <w:tcW w:w="7875" w:type="dxa"/>
            <w:gridSpan w:val="2"/>
            <w:tcBorders>
              <w:top w:val="nil"/>
              <w:left w:val="nil"/>
              <w:bottom w:val="nil"/>
              <w:right w:val="nil"/>
            </w:tcBorders>
            <w:shd w:val="clear" w:color="auto" w:fill="auto"/>
          </w:tcPr>
          <w:p w14:paraId="27FCF741" w14:textId="77777777" w:rsidR="00FE78E4" w:rsidRPr="00A8388A" w:rsidRDefault="00FE78E4" w:rsidP="00F3207D">
            <w:pPr>
              <w:rPr>
                <w:rFonts w:ascii="Arial" w:hAnsi="Arial"/>
                <w:b/>
                <w:bCs/>
                <w:sz w:val="28"/>
                <w:szCs w:val="28"/>
                <w:rtl/>
              </w:rPr>
            </w:pPr>
            <w:r w:rsidRPr="00A8388A">
              <w:rPr>
                <w:rFonts w:ascii="Arial" w:hAnsi="Arial" w:hint="cs"/>
                <w:b/>
                <w:bCs/>
                <w:sz w:val="28"/>
                <w:szCs w:val="28"/>
                <w:rtl/>
              </w:rPr>
              <w:t>כבוד ה</w:t>
            </w:r>
            <w:r w:rsidRPr="00A8388A">
              <w:rPr>
                <w:rFonts w:ascii="Arial" w:hAnsi="Arial"/>
                <w:b/>
                <w:bCs/>
                <w:sz w:val="28"/>
                <w:szCs w:val="28"/>
                <w:rtl/>
              </w:rPr>
              <w:t>שופטת</w:t>
            </w:r>
            <w:r w:rsidRPr="00A8388A">
              <w:rPr>
                <w:rFonts w:ascii="Arial" w:hAnsi="Arial" w:hint="cs"/>
                <w:b/>
                <w:bCs/>
                <w:sz w:val="28"/>
                <w:szCs w:val="28"/>
                <w:rtl/>
              </w:rPr>
              <w:t xml:space="preserve">  </w:t>
            </w:r>
            <w:r w:rsidRPr="00A8388A">
              <w:rPr>
                <w:rFonts w:ascii="Arial" w:hAnsi="Arial"/>
                <w:b/>
                <w:bCs/>
                <w:sz w:val="28"/>
                <w:szCs w:val="28"/>
                <w:rtl/>
              </w:rPr>
              <w:t>מרב גרינברג</w:t>
            </w:r>
          </w:p>
          <w:p w14:paraId="2EA631DC" w14:textId="77777777" w:rsidR="00FE78E4" w:rsidRPr="00A8388A" w:rsidRDefault="00FE78E4" w:rsidP="00F3207D">
            <w:pPr>
              <w:rPr>
                <w:b/>
                <w:bCs/>
                <w:sz w:val="28"/>
                <w:szCs w:val="28"/>
                <w:rtl/>
              </w:rPr>
            </w:pPr>
          </w:p>
          <w:p w14:paraId="38D39612" w14:textId="77777777" w:rsidR="00FE78E4" w:rsidRPr="00A8388A" w:rsidRDefault="00FE78E4" w:rsidP="00FE78E4">
            <w:pPr>
              <w:jc w:val="both"/>
              <w:rPr>
                <w:rFonts w:ascii="Arial" w:hAnsi="Arial"/>
                <w:b/>
                <w:bCs/>
                <w:sz w:val="28"/>
                <w:szCs w:val="28"/>
              </w:rPr>
            </w:pPr>
          </w:p>
        </w:tc>
      </w:tr>
      <w:tr w:rsidR="00FE78E4" w:rsidRPr="00A8388A" w14:paraId="7F10D262" w14:textId="77777777" w:rsidTr="00FE78E4">
        <w:trPr>
          <w:trHeight w:val="355"/>
          <w:jc w:val="center"/>
        </w:trPr>
        <w:tc>
          <w:tcPr>
            <w:tcW w:w="945" w:type="dxa"/>
            <w:tcBorders>
              <w:top w:val="nil"/>
              <w:left w:val="nil"/>
              <w:bottom w:val="nil"/>
              <w:right w:val="nil"/>
            </w:tcBorders>
            <w:shd w:val="clear" w:color="auto" w:fill="auto"/>
          </w:tcPr>
          <w:p w14:paraId="7AC72FA9" w14:textId="77777777" w:rsidR="00FE78E4" w:rsidRPr="00A8388A" w:rsidRDefault="00FE78E4" w:rsidP="00FE78E4">
            <w:pPr>
              <w:jc w:val="both"/>
              <w:rPr>
                <w:rFonts w:ascii="Arial" w:hAnsi="Arial"/>
                <w:b/>
                <w:bCs/>
                <w:sz w:val="28"/>
                <w:szCs w:val="28"/>
              </w:rPr>
            </w:pPr>
            <w:bookmarkStart w:id="1" w:name="FirstAppellant"/>
            <w:r w:rsidRPr="00A8388A">
              <w:rPr>
                <w:rFonts w:ascii="Arial" w:hAnsi="Arial" w:hint="cs"/>
                <w:b/>
                <w:bCs/>
                <w:sz w:val="28"/>
                <w:szCs w:val="28"/>
                <w:rtl/>
              </w:rPr>
              <w:t>בעניין:</w:t>
            </w:r>
          </w:p>
        </w:tc>
        <w:tc>
          <w:tcPr>
            <w:tcW w:w="5748" w:type="dxa"/>
            <w:tcBorders>
              <w:top w:val="nil"/>
              <w:left w:val="nil"/>
              <w:bottom w:val="nil"/>
              <w:right w:val="nil"/>
            </w:tcBorders>
            <w:shd w:val="clear" w:color="auto" w:fill="auto"/>
          </w:tcPr>
          <w:p w14:paraId="467C55E3" w14:textId="77777777" w:rsidR="00FE78E4" w:rsidRPr="00A8388A" w:rsidRDefault="00FE78E4" w:rsidP="00F3207D">
            <w:pPr>
              <w:rPr>
                <w:b/>
                <w:bCs/>
                <w:sz w:val="28"/>
                <w:szCs w:val="28"/>
              </w:rPr>
            </w:pPr>
            <w:r w:rsidRPr="00A8388A">
              <w:rPr>
                <w:rFonts w:ascii="Arial" w:hAnsi="Arial"/>
                <w:b/>
                <w:bCs/>
                <w:sz w:val="28"/>
                <w:szCs w:val="28"/>
                <w:rtl/>
              </w:rPr>
              <w:t>מדינת ישראל</w:t>
            </w:r>
          </w:p>
        </w:tc>
        <w:tc>
          <w:tcPr>
            <w:tcW w:w="2127" w:type="dxa"/>
            <w:tcBorders>
              <w:top w:val="nil"/>
              <w:left w:val="nil"/>
              <w:bottom w:val="nil"/>
              <w:right w:val="nil"/>
            </w:tcBorders>
            <w:shd w:val="clear" w:color="auto" w:fill="auto"/>
          </w:tcPr>
          <w:p w14:paraId="2AF7CA18" w14:textId="77777777" w:rsidR="00FE78E4" w:rsidRPr="00A8388A" w:rsidRDefault="00FE78E4" w:rsidP="00FE78E4">
            <w:pPr>
              <w:jc w:val="both"/>
              <w:rPr>
                <w:rFonts w:ascii="Arial" w:hAnsi="Arial"/>
                <w:b/>
                <w:bCs/>
                <w:sz w:val="28"/>
                <w:szCs w:val="28"/>
              </w:rPr>
            </w:pPr>
          </w:p>
        </w:tc>
      </w:tr>
      <w:tr w:rsidR="00FE78E4" w:rsidRPr="00A8388A" w14:paraId="120564A3" w14:textId="77777777" w:rsidTr="00FE78E4">
        <w:trPr>
          <w:trHeight w:val="355"/>
          <w:jc w:val="center"/>
        </w:trPr>
        <w:tc>
          <w:tcPr>
            <w:tcW w:w="945" w:type="dxa"/>
            <w:tcBorders>
              <w:top w:val="nil"/>
              <w:left w:val="nil"/>
              <w:bottom w:val="nil"/>
              <w:right w:val="nil"/>
            </w:tcBorders>
            <w:shd w:val="clear" w:color="auto" w:fill="auto"/>
          </w:tcPr>
          <w:p w14:paraId="4363E75F" w14:textId="77777777" w:rsidR="00FE78E4" w:rsidRPr="00A8388A" w:rsidRDefault="00FE78E4" w:rsidP="00FE78E4">
            <w:pPr>
              <w:jc w:val="both"/>
              <w:rPr>
                <w:rFonts w:ascii="Arial" w:hAnsi="Arial"/>
                <w:b/>
                <w:bCs/>
                <w:sz w:val="28"/>
                <w:szCs w:val="28"/>
                <w:rtl/>
              </w:rPr>
            </w:pPr>
            <w:bookmarkStart w:id="2" w:name="FirstLawyer"/>
            <w:bookmarkEnd w:id="1"/>
          </w:p>
        </w:tc>
        <w:tc>
          <w:tcPr>
            <w:tcW w:w="5748" w:type="dxa"/>
            <w:tcBorders>
              <w:top w:val="nil"/>
              <w:left w:val="nil"/>
              <w:bottom w:val="nil"/>
              <w:right w:val="nil"/>
            </w:tcBorders>
            <w:shd w:val="clear" w:color="auto" w:fill="auto"/>
          </w:tcPr>
          <w:p w14:paraId="6AB00565" w14:textId="77777777" w:rsidR="00FE78E4" w:rsidRPr="00A8388A" w:rsidRDefault="00FE78E4" w:rsidP="00FE78E4">
            <w:pPr>
              <w:jc w:val="both"/>
              <w:rPr>
                <w:b/>
                <w:bCs/>
                <w:sz w:val="28"/>
                <w:szCs w:val="28"/>
                <w:rtl/>
              </w:rPr>
            </w:pPr>
            <w:r w:rsidRPr="00A8388A">
              <w:rPr>
                <w:rFonts w:hint="cs"/>
                <w:b/>
                <w:bCs/>
                <w:sz w:val="28"/>
                <w:szCs w:val="28"/>
                <w:rtl/>
              </w:rPr>
              <w:t>ע"י ב"כ עו"ד פאדי אסעד</w:t>
            </w:r>
          </w:p>
        </w:tc>
        <w:tc>
          <w:tcPr>
            <w:tcW w:w="2127" w:type="dxa"/>
            <w:tcBorders>
              <w:top w:val="nil"/>
              <w:left w:val="nil"/>
              <w:bottom w:val="nil"/>
              <w:right w:val="nil"/>
            </w:tcBorders>
            <w:shd w:val="clear" w:color="auto" w:fill="auto"/>
          </w:tcPr>
          <w:p w14:paraId="7DCBE461" w14:textId="77777777" w:rsidR="00FE78E4" w:rsidRPr="00A8388A" w:rsidRDefault="00FE78E4" w:rsidP="00FE78E4">
            <w:pPr>
              <w:jc w:val="right"/>
              <w:rPr>
                <w:rFonts w:ascii="Arial" w:hAnsi="Arial"/>
                <w:b/>
                <w:bCs/>
                <w:sz w:val="28"/>
                <w:szCs w:val="28"/>
                <w:rtl/>
              </w:rPr>
            </w:pPr>
            <w:r w:rsidRPr="00A8388A">
              <w:rPr>
                <w:rFonts w:ascii="Arial" w:hAnsi="Arial" w:hint="cs"/>
                <w:b/>
                <w:bCs/>
                <w:sz w:val="28"/>
                <w:szCs w:val="28"/>
                <w:rtl/>
              </w:rPr>
              <w:t>ה</w:t>
            </w:r>
            <w:r w:rsidRPr="00A8388A">
              <w:rPr>
                <w:rFonts w:ascii="Arial" w:hAnsi="Arial"/>
                <w:b/>
                <w:bCs/>
                <w:sz w:val="28"/>
                <w:szCs w:val="28"/>
                <w:rtl/>
              </w:rPr>
              <w:t>מאשימה</w:t>
            </w:r>
          </w:p>
        </w:tc>
      </w:tr>
      <w:bookmarkEnd w:id="2"/>
      <w:tr w:rsidR="00FE78E4" w:rsidRPr="00A8388A" w14:paraId="3A4734CA" w14:textId="77777777" w:rsidTr="00FE78E4">
        <w:trPr>
          <w:trHeight w:val="355"/>
          <w:jc w:val="center"/>
        </w:trPr>
        <w:tc>
          <w:tcPr>
            <w:tcW w:w="945" w:type="dxa"/>
            <w:tcBorders>
              <w:top w:val="nil"/>
              <w:left w:val="nil"/>
              <w:bottom w:val="nil"/>
              <w:right w:val="nil"/>
            </w:tcBorders>
            <w:shd w:val="clear" w:color="auto" w:fill="auto"/>
          </w:tcPr>
          <w:p w14:paraId="73F27D61" w14:textId="77777777" w:rsidR="00FE78E4" w:rsidRPr="00A8388A" w:rsidRDefault="00FE78E4" w:rsidP="00FE78E4">
            <w:pPr>
              <w:jc w:val="both"/>
              <w:rPr>
                <w:rFonts w:ascii="Arial" w:hAnsi="Arial"/>
                <w:b/>
                <w:bCs/>
                <w:sz w:val="28"/>
                <w:szCs w:val="28"/>
                <w:rtl/>
              </w:rPr>
            </w:pPr>
          </w:p>
        </w:tc>
        <w:tc>
          <w:tcPr>
            <w:tcW w:w="7875" w:type="dxa"/>
            <w:gridSpan w:val="2"/>
            <w:tcBorders>
              <w:top w:val="nil"/>
              <w:left w:val="nil"/>
              <w:bottom w:val="nil"/>
              <w:right w:val="nil"/>
            </w:tcBorders>
            <w:shd w:val="clear" w:color="auto" w:fill="auto"/>
          </w:tcPr>
          <w:p w14:paraId="38C0ECF9" w14:textId="77777777" w:rsidR="00FE78E4" w:rsidRPr="00A8388A" w:rsidRDefault="00FE78E4" w:rsidP="00FE78E4">
            <w:pPr>
              <w:jc w:val="center"/>
              <w:rPr>
                <w:rFonts w:ascii="Arial" w:hAnsi="Arial"/>
                <w:b/>
                <w:bCs/>
                <w:sz w:val="28"/>
                <w:szCs w:val="28"/>
                <w:rtl/>
              </w:rPr>
            </w:pPr>
          </w:p>
          <w:p w14:paraId="5C4FD450" w14:textId="77777777" w:rsidR="00FE78E4" w:rsidRPr="00A8388A" w:rsidRDefault="00FE78E4" w:rsidP="00FE78E4">
            <w:pPr>
              <w:jc w:val="center"/>
              <w:rPr>
                <w:rFonts w:ascii="Arial" w:hAnsi="Arial"/>
                <w:b/>
                <w:bCs/>
                <w:sz w:val="28"/>
                <w:szCs w:val="28"/>
                <w:rtl/>
              </w:rPr>
            </w:pPr>
            <w:r w:rsidRPr="00A8388A">
              <w:rPr>
                <w:rFonts w:ascii="Arial" w:hAnsi="Arial"/>
                <w:b/>
                <w:bCs/>
                <w:sz w:val="28"/>
                <w:szCs w:val="28"/>
                <w:rtl/>
              </w:rPr>
              <w:t>נ</w:t>
            </w:r>
            <w:r w:rsidRPr="00A8388A">
              <w:rPr>
                <w:rFonts w:ascii="Arial" w:hAnsi="Arial" w:hint="cs"/>
                <w:b/>
                <w:bCs/>
                <w:sz w:val="28"/>
                <w:szCs w:val="28"/>
                <w:rtl/>
              </w:rPr>
              <w:t xml:space="preserve"> </w:t>
            </w:r>
            <w:r w:rsidRPr="00A8388A">
              <w:rPr>
                <w:rFonts w:ascii="Arial" w:hAnsi="Arial"/>
                <w:b/>
                <w:bCs/>
                <w:sz w:val="28"/>
                <w:szCs w:val="28"/>
                <w:rtl/>
              </w:rPr>
              <w:t>ג</w:t>
            </w:r>
            <w:r w:rsidRPr="00A8388A">
              <w:rPr>
                <w:rFonts w:ascii="Arial" w:hAnsi="Arial" w:hint="cs"/>
                <w:b/>
                <w:bCs/>
                <w:sz w:val="28"/>
                <w:szCs w:val="28"/>
                <w:rtl/>
              </w:rPr>
              <w:t xml:space="preserve"> </w:t>
            </w:r>
            <w:r w:rsidRPr="00A8388A">
              <w:rPr>
                <w:rFonts w:ascii="Arial" w:hAnsi="Arial"/>
                <w:b/>
                <w:bCs/>
                <w:sz w:val="28"/>
                <w:szCs w:val="28"/>
                <w:rtl/>
              </w:rPr>
              <w:t>ד</w:t>
            </w:r>
          </w:p>
          <w:p w14:paraId="7D90E251" w14:textId="77777777" w:rsidR="00FE78E4" w:rsidRPr="00A8388A" w:rsidRDefault="00FE78E4" w:rsidP="00FE78E4">
            <w:pPr>
              <w:jc w:val="both"/>
              <w:rPr>
                <w:rFonts w:ascii="Arial" w:hAnsi="Arial"/>
                <w:b/>
                <w:bCs/>
                <w:sz w:val="28"/>
                <w:szCs w:val="28"/>
              </w:rPr>
            </w:pPr>
          </w:p>
        </w:tc>
      </w:tr>
      <w:tr w:rsidR="00FE78E4" w:rsidRPr="00A8388A" w14:paraId="0E811F57" w14:textId="77777777" w:rsidTr="00FE78E4">
        <w:trPr>
          <w:trHeight w:val="355"/>
          <w:jc w:val="center"/>
        </w:trPr>
        <w:tc>
          <w:tcPr>
            <w:tcW w:w="945" w:type="dxa"/>
            <w:tcBorders>
              <w:top w:val="nil"/>
              <w:left w:val="nil"/>
              <w:bottom w:val="nil"/>
              <w:right w:val="nil"/>
            </w:tcBorders>
            <w:shd w:val="clear" w:color="auto" w:fill="auto"/>
          </w:tcPr>
          <w:p w14:paraId="58C0EA7F" w14:textId="77777777" w:rsidR="00FE78E4" w:rsidRPr="00A8388A" w:rsidRDefault="00FE78E4" w:rsidP="00F3207D">
            <w:pPr>
              <w:rPr>
                <w:rFonts w:ascii="Arial" w:hAnsi="Arial"/>
                <w:b/>
                <w:bCs/>
                <w:sz w:val="28"/>
                <w:szCs w:val="28"/>
                <w:rtl/>
              </w:rPr>
            </w:pPr>
          </w:p>
        </w:tc>
        <w:tc>
          <w:tcPr>
            <w:tcW w:w="5748" w:type="dxa"/>
            <w:tcBorders>
              <w:top w:val="nil"/>
              <w:left w:val="nil"/>
              <w:bottom w:val="nil"/>
              <w:right w:val="nil"/>
            </w:tcBorders>
            <w:shd w:val="clear" w:color="auto" w:fill="auto"/>
          </w:tcPr>
          <w:p w14:paraId="7BF0DE0E" w14:textId="77777777" w:rsidR="00FE78E4" w:rsidRPr="00A8388A" w:rsidRDefault="00FE78E4" w:rsidP="0044663C">
            <w:pPr>
              <w:rPr>
                <w:b/>
                <w:bCs/>
                <w:sz w:val="28"/>
                <w:szCs w:val="28"/>
                <w:rtl/>
              </w:rPr>
            </w:pPr>
            <w:r w:rsidRPr="00A8388A">
              <w:rPr>
                <w:rFonts w:ascii="Arial" w:hAnsi="Arial"/>
                <w:b/>
                <w:bCs/>
                <w:sz w:val="28"/>
                <w:szCs w:val="28"/>
                <w:rtl/>
              </w:rPr>
              <w:t>1</w:t>
            </w:r>
            <w:r w:rsidRPr="00A8388A">
              <w:rPr>
                <w:rFonts w:ascii="Arial" w:hAnsi="Arial" w:hint="cs"/>
                <w:b/>
                <w:bCs/>
                <w:sz w:val="28"/>
                <w:szCs w:val="28"/>
                <w:rtl/>
              </w:rPr>
              <w:t>.</w:t>
            </w:r>
            <w:r w:rsidRPr="00A8388A">
              <w:rPr>
                <w:rFonts w:ascii="Arial" w:hAnsi="Arial"/>
                <w:b/>
                <w:bCs/>
                <w:sz w:val="28"/>
                <w:szCs w:val="28"/>
                <w:rtl/>
              </w:rPr>
              <w:t>מחמוד נאטור</w:t>
            </w:r>
            <w:r w:rsidRPr="00A8388A">
              <w:rPr>
                <w:rFonts w:hint="cs"/>
                <w:b/>
                <w:bCs/>
                <w:sz w:val="28"/>
                <w:szCs w:val="28"/>
                <w:rtl/>
              </w:rPr>
              <w:t xml:space="preserve"> </w:t>
            </w:r>
          </w:p>
          <w:p w14:paraId="6283A9B5" w14:textId="77777777" w:rsidR="00FE78E4" w:rsidRPr="00A8388A" w:rsidRDefault="00FE78E4" w:rsidP="00F3207D">
            <w:pPr>
              <w:rPr>
                <w:b/>
                <w:bCs/>
                <w:sz w:val="28"/>
                <w:szCs w:val="28"/>
                <w:rtl/>
              </w:rPr>
            </w:pPr>
            <w:r w:rsidRPr="00A8388A">
              <w:rPr>
                <w:rFonts w:ascii="Arial" w:hAnsi="Arial"/>
                <w:b/>
                <w:bCs/>
                <w:sz w:val="28"/>
                <w:szCs w:val="28"/>
                <w:rtl/>
              </w:rPr>
              <w:t>2</w:t>
            </w:r>
            <w:r w:rsidRPr="00A8388A">
              <w:rPr>
                <w:rFonts w:ascii="Arial" w:hAnsi="Arial" w:hint="cs"/>
                <w:b/>
                <w:bCs/>
                <w:sz w:val="28"/>
                <w:szCs w:val="28"/>
                <w:rtl/>
              </w:rPr>
              <w:t>.</w:t>
            </w:r>
            <w:r w:rsidRPr="00A8388A">
              <w:rPr>
                <w:rFonts w:ascii="Arial" w:hAnsi="Arial"/>
                <w:b/>
                <w:bCs/>
                <w:sz w:val="28"/>
                <w:szCs w:val="28"/>
                <w:rtl/>
              </w:rPr>
              <w:t>נוהאיה נאטור</w:t>
            </w:r>
            <w:r w:rsidRPr="00A8388A">
              <w:rPr>
                <w:rFonts w:hint="cs"/>
                <w:b/>
                <w:bCs/>
                <w:sz w:val="28"/>
                <w:szCs w:val="28"/>
                <w:rtl/>
              </w:rPr>
              <w:t xml:space="preserve"> -נדונה</w:t>
            </w:r>
          </w:p>
        </w:tc>
        <w:tc>
          <w:tcPr>
            <w:tcW w:w="2127" w:type="dxa"/>
            <w:tcBorders>
              <w:top w:val="nil"/>
              <w:left w:val="nil"/>
              <w:bottom w:val="nil"/>
              <w:right w:val="nil"/>
            </w:tcBorders>
            <w:shd w:val="clear" w:color="auto" w:fill="auto"/>
          </w:tcPr>
          <w:p w14:paraId="701270DF" w14:textId="77777777" w:rsidR="00FE78E4" w:rsidRPr="00A8388A" w:rsidRDefault="00FE78E4" w:rsidP="00FE78E4">
            <w:pPr>
              <w:jc w:val="right"/>
              <w:rPr>
                <w:rFonts w:ascii="Arial" w:hAnsi="Arial"/>
                <w:b/>
                <w:bCs/>
                <w:sz w:val="28"/>
                <w:szCs w:val="28"/>
              </w:rPr>
            </w:pPr>
          </w:p>
        </w:tc>
      </w:tr>
      <w:tr w:rsidR="00FE78E4" w:rsidRPr="00A8388A" w14:paraId="07358D4E" w14:textId="77777777" w:rsidTr="00FE78E4">
        <w:trPr>
          <w:trHeight w:val="355"/>
          <w:jc w:val="center"/>
        </w:trPr>
        <w:tc>
          <w:tcPr>
            <w:tcW w:w="945" w:type="dxa"/>
            <w:tcBorders>
              <w:top w:val="nil"/>
              <w:left w:val="nil"/>
              <w:bottom w:val="nil"/>
              <w:right w:val="nil"/>
            </w:tcBorders>
            <w:shd w:val="clear" w:color="auto" w:fill="auto"/>
          </w:tcPr>
          <w:p w14:paraId="0A9BF7B1" w14:textId="77777777" w:rsidR="00FE78E4" w:rsidRPr="00A8388A" w:rsidRDefault="00FE78E4" w:rsidP="00FE78E4">
            <w:pPr>
              <w:jc w:val="both"/>
              <w:rPr>
                <w:rFonts w:ascii="Arial" w:hAnsi="Arial"/>
                <w:b/>
                <w:bCs/>
                <w:sz w:val="28"/>
                <w:szCs w:val="28"/>
                <w:rtl/>
              </w:rPr>
            </w:pPr>
          </w:p>
        </w:tc>
        <w:tc>
          <w:tcPr>
            <w:tcW w:w="5748" w:type="dxa"/>
            <w:tcBorders>
              <w:top w:val="nil"/>
              <w:left w:val="nil"/>
              <w:bottom w:val="nil"/>
              <w:right w:val="nil"/>
            </w:tcBorders>
            <w:shd w:val="clear" w:color="auto" w:fill="auto"/>
          </w:tcPr>
          <w:p w14:paraId="1C7A05CA" w14:textId="77777777" w:rsidR="00FE78E4" w:rsidRPr="00A8388A" w:rsidRDefault="00FE78E4" w:rsidP="00FE78E4">
            <w:pPr>
              <w:jc w:val="both"/>
              <w:rPr>
                <w:b/>
                <w:bCs/>
                <w:sz w:val="28"/>
                <w:szCs w:val="28"/>
                <w:rtl/>
              </w:rPr>
            </w:pPr>
            <w:r w:rsidRPr="00A8388A">
              <w:rPr>
                <w:rFonts w:hint="cs"/>
                <w:b/>
                <w:bCs/>
                <w:sz w:val="28"/>
                <w:szCs w:val="28"/>
                <w:rtl/>
              </w:rPr>
              <w:t>ע"י ב"כ עו"ד שרמן, עו"ד ירום הלוי ועו"ד שאדי נאטור</w:t>
            </w:r>
          </w:p>
        </w:tc>
        <w:tc>
          <w:tcPr>
            <w:tcW w:w="2127" w:type="dxa"/>
            <w:tcBorders>
              <w:top w:val="nil"/>
              <w:left w:val="nil"/>
              <w:bottom w:val="nil"/>
              <w:right w:val="nil"/>
            </w:tcBorders>
            <w:shd w:val="clear" w:color="auto" w:fill="auto"/>
          </w:tcPr>
          <w:p w14:paraId="103CCA9C" w14:textId="77777777" w:rsidR="00FE78E4" w:rsidRPr="00A8388A" w:rsidRDefault="00FE78E4" w:rsidP="00FE78E4">
            <w:pPr>
              <w:jc w:val="right"/>
              <w:rPr>
                <w:rFonts w:ascii="Arial" w:hAnsi="Arial"/>
                <w:b/>
                <w:bCs/>
                <w:sz w:val="28"/>
                <w:szCs w:val="28"/>
              </w:rPr>
            </w:pPr>
            <w:r w:rsidRPr="00A8388A">
              <w:rPr>
                <w:rFonts w:ascii="Arial" w:hAnsi="Arial" w:hint="cs"/>
                <w:b/>
                <w:bCs/>
                <w:sz w:val="28"/>
                <w:szCs w:val="28"/>
                <w:rtl/>
              </w:rPr>
              <w:t>ה</w:t>
            </w:r>
            <w:r w:rsidRPr="00A8388A">
              <w:rPr>
                <w:rFonts w:ascii="Arial" w:hAnsi="Arial"/>
                <w:b/>
                <w:bCs/>
                <w:sz w:val="28"/>
                <w:szCs w:val="28"/>
                <w:rtl/>
              </w:rPr>
              <w:t>נאשם</w:t>
            </w:r>
          </w:p>
        </w:tc>
      </w:tr>
    </w:tbl>
    <w:p w14:paraId="2C7A9984" w14:textId="77777777" w:rsidR="005A7571" w:rsidRDefault="005A7571" w:rsidP="00FE78E4">
      <w:pPr>
        <w:rPr>
          <w:sz w:val="28"/>
          <w:szCs w:val="28"/>
          <w:rtl/>
        </w:rPr>
      </w:pPr>
      <w:bookmarkStart w:id="3" w:name="LawTable"/>
      <w:bookmarkEnd w:id="3"/>
    </w:p>
    <w:p w14:paraId="76602EEC" w14:textId="77777777" w:rsidR="005A7571" w:rsidRPr="005A7571" w:rsidRDefault="005A7571" w:rsidP="005A7571">
      <w:pPr>
        <w:spacing w:after="120" w:line="240" w:lineRule="exact"/>
        <w:ind w:left="283" w:hanging="283"/>
        <w:jc w:val="both"/>
        <w:rPr>
          <w:rFonts w:ascii="FrankRuehl" w:hAnsi="FrankRuehl" w:cs="FrankRuehl"/>
          <w:rtl/>
        </w:rPr>
      </w:pPr>
    </w:p>
    <w:p w14:paraId="62F508FF" w14:textId="77777777" w:rsidR="005A7571" w:rsidRPr="005A7571" w:rsidRDefault="005A7571" w:rsidP="005A7571">
      <w:pPr>
        <w:spacing w:after="120" w:line="240" w:lineRule="exact"/>
        <w:ind w:left="283" w:hanging="283"/>
        <w:jc w:val="both"/>
        <w:rPr>
          <w:rFonts w:ascii="FrankRuehl" w:hAnsi="FrankRuehl" w:cs="FrankRuehl"/>
          <w:rtl/>
        </w:rPr>
      </w:pPr>
      <w:r w:rsidRPr="005A7571">
        <w:rPr>
          <w:rFonts w:ascii="FrankRuehl" w:hAnsi="FrankRuehl" w:cs="FrankRuehl"/>
          <w:rtl/>
        </w:rPr>
        <w:t xml:space="preserve">חקיקה שאוזכרה: </w:t>
      </w:r>
    </w:p>
    <w:p w14:paraId="6D6702D0" w14:textId="77777777" w:rsidR="005A7571" w:rsidRPr="005A7571" w:rsidRDefault="005A7571" w:rsidP="005A7571">
      <w:pPr>
        <w:spacing w:after="120" w:line="240" w:lineRule="exact"/>
        <w:ind w:left="283" w:hanging="283"/>
        <w:jc w:val="both"/>
        <w:rPr>
          <w:rFonts w:ascii="FrankRuehl" w:hAnsi="FrankRuehl" w:cs="FrankRuehl"/>
          <w:rtl/>
        </w:rPr>
      </w:pPr>
      <w:hyperlink r:id="rId7" w:history="1">
        <w:r w:rsidRPr="005A7571">
          <w:rPr>
            <w:rFonts w:ascii="FrankRuehl" w:hAnsi="FrankRuehl" w:cs="FrankRuehl"/>
            <w:color w:val="0000FF"/>
            <w:u w:val="single"/>
            <w:rtl/>
          </w:rPr>
          <w:t>חוק העונשין, תשל"ז-1977</w:t>
        </w:r>
      </w:hyperlink>
      <w:r w:rsidRPr="005A7571">
        <w:rPr>
          <w:rFonts w:ascii="FrankRuehl" w:hAnsi="FrankRuehl" w:cs="FrankRuehl"/>
          <w:rtl/>
        </w:rPr>
        <w:t xml:space="preserve">: סע'  </w:t>
      </w:r>
      <w:hyperlink r:id="rId8" w:history="1">
        <w:r w:rsidRPr="005A7571">
          <w:rPr>
            <w:rFonts w:ascii="FrankRuehl" w:hAnsi="FrankRuehl" w:cs="FrankRuehl"/>
            <w:color w:val="0000FF"/>
            <w:u w:val="single"/>
            <w:rtl/>
          </w:rPr>
          <w:t>40ד'</w:t>
        </w:r>
      </w:hyperlink>
      <w:r w:rsidRPr="005A7571">
        <w:rPr>
          <w:rFonts w:ascii="FrankRuehl" w:hAnsi="FrankRuehl" w:cs="FrankRuehl"/>
          <w:rtl/>
        </w:rPr>
        <w:t xml:space="preserve">, </w:t>
      </w:r>
      <w:hyperlink r:id="rId9" w:history="1">
        <w:r w:rsidRPr="005A7571">
          <w:rPr>
            <w:rFonts w:ascii="FrankRuehl" w:hAnsi="FrankRuehl" w:cs="FrankRuehl"/>
            <w:color w:val="0000FF"/>
            <w:u w:val="single"/>
            <w:rtl/>
          </w:rPr>
          <w:t>40ד'(א)</w:t>
        </w:r>
      </w:hyperlink>
      <w:r w:rsidRPr="005A7571">
        <w:rPr>
          <w:rFonts w:ascii="FrankRuehl" w:hAnsi="FrankRuehl" w:cs="FrankRuehl"/>
          <w:rtl/>
        </w:rPr>
        <w:t xml:space="preserve">, </w:t>
      </w:r>
      <w:hyperlink r:id="rId10" w:history="1">
        <w:r w:rsidRPr="005A7571">
          <w:rPr>
            <w:rFonts w:ascii="FrankRuehl" w:hAnsi="FrankRuehl" w:cs="FrankRuehl"/>
            <w:color w:val="0000FF"/>
            <w:u w:val="single"/>
            <w:rtl/>
          </w:rPr>
          <w:t>144 (א)</w:t>
        </w:r>
      </w:hyperlink>
    </w:p>
    <w:p w14:paraId="23E3E026" w14:textId="77777777" w:rsidR="005A7571" w:rsidRPr="005A7571" w:rsidRDefault="005A7571" w:rsidP="005A7571">
      <w:pPr>
        <w:spacing w:after="120" w:line="240" w:lineRule="exact"/>
        <w:ind w:left="283" w:hanging="283"/>
        <w:jc w:val="both"/>
        <w:rPr>
          <w:rFonts w:ascii="FrankRuehl" w:hAnsi="FrankRuehl" w:cs="FrankRuehl"/>
          <w:rtl/>
        </w:rPr>
      </w:pPr>
      <w:hyperlink r:id="rId11" w:history="1">
        <w:r w:rsidRPr="005A7571">
          <w:rPr>
            <w:rFonts w:ascii="FrankRuehl" w:hAnsi="FrankRuehl" w:cs="FrankRuehl"/>
            <w:color w:val="0000FF"/>
            <w:u w:val="single"/>
            <w:rtl/>
          </w:rPr>
          <w:t>פקודת המבחן [נוסח חדש], תשכ"ט-1969</w:t>
        </w:r>
      </w:hyperlink>
    </w:p>
    <w:p w14:paraId="781ACB92" w14:textId="77777777" w:rsidR="005A7571" w:rsidRPr="005A7571" w:rsidRDefault="005A7571" w:rsidP="005A7571">
      <w:pPr>
        <w:spacing w:after="120" w:line="240" w:lineRule="exact"/>
        <w:ind w:left="283" w:hanging="283"/>
        <w:jc w:val="both"/>
        <w:rPr>
          <w:rFonts w:ascii="FrankRuehl" w:hAnsi="FrankRuehl" w:cs="FrankRuehl"/>
          <w:rtl/>
        </w:rPr>
      </w:pPr>
    </w:p>
    <w:p w14:paraId="3700A1F7" w14:textId="77777777" w:rsidR="005A7571" w:rsidRPr="005A7571" w:rsidRDefault="005A7571" w:rsidP="00FE78E4">
      <w:pPr>
        <w:rPr>
          <w:sz w:val="28"/>
          <w:szCs w:val="28"/>
          <w:rtl/>
        </w:rPr>
      </w:pPr>
      <w:bookmarkStart w:id="4" w:name="LawTable_End"/>
      <w:bookmarkEnd w:id="4"/>
    </w:p>
    <w:p w14:paraId="2E52595F" w14:textId="77777777" w:rsidR="00FE78E4" w:rsidRPr="00A8388A" w:rsidRDefault="00FE78E4" w:rsidP="00FE78E4">
      <w:pPr>
        <w:rPr>
          <w:rFonts w:hint="cs"/>
          <w:b/>
          <w:bCs/>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E78E4" w14:paraId="5E1C0D35" w14:textId="77777777" w:rsidTr="00FE78E4">
        <w:trPr>
          <w:trHeight w:val="355"/>
          <w:jc w:val="center"/>
        </w:trPr>
        <w:tc>
          <w:tcPr>
            <w:tcW w:w="8820" w:type="dxa"/>
            <w:tcBorders>
              <w:top w:val="nil"/>
              <w:left w:val="nil"/>
              <w:bottom w:val="nil"/>
              <w:right w:val="nil"/>
            </w:tcBorders>
            <w:shd w:val="clear" w:color="auto" w:fill="auto"/>
          </w:tcPr>
          <w:p w14:paraId="283B66C8" w14:textId="77777777" w:rsidR="00A8388A" w:rsidRPr="00A8388A" w:rsidRDefault="00A8388A" w:rsidP="00A8388A">
            <w:pPr>
              <w:jc w:val="center"/>
              <w:rPr>
                <w:rFonts w:ascii="Arial" w:hAnsi="Arial" w:cs="FrankRuehl"/>
                <w:b/>
                <w:bCs/>
                <w:sz w:val="40"/>
                <w:szCs w:val="40"/>
                <w:u w:val="single"/>
                <w:rtl/>
              </w:rPr>
            </w:pPr>
            <w:bookmarkStart w:id="5" w:name="PsakDin" w:colFirst="0" w:colLast="0"/>
            <w:bookmarkEnd w:id="0"/>
            <w:r w:rsidRPr="00A8388A">
              <w:rPr>
                <w:rFonts w:ascii="Arial" w:hAnsi="Arial" w:cs="FrankRuehl"/>
                <w:b/>
                <w:bCs/>
                <w:sz w:val="40"/>
                <w:szCs w:val="40"/>
                <w:u w:val="single"/>
                <w:rtl/>
              </w:rPr>
              <w:t>גזר דין</w:t>
            </w:r>
          </w:p>
          <w:p w14:paraId="09E2D542" w14:textId="77777777" w:rsidR="00FE78E4" w:rsidRPr="00A8388A" w:rsidRDefault="00FE78E4" w:rsidP="00A8388A">
            <w:pPr>
              <w:jc w:val="center"/>
              <w:rPr>
                <w:rFonts w:ascii="Arial" w:hAnsi="Arial" w:cs="FrankRuehl"/>
                <w:bCs/>
                <w:sz w:val="40"/>
                <w:szCs w:val="40"/>
                <w:u w:val="single"/>
                <w:rtl/>
              </w:rPr>
            </w:pPr>
          </w:p>
        </w:tc>
      </w:tr>
      <w:bookmarkEnd w:id="5"/>
    </w:tbl>
    <w:p w14:paraId="753387FC" w14:textId="77777777" w:rsidR="00FE78E4" w:rsidRDefault="00FE78E4" w:rsidP="00FE78E4">
      <w:pPr>
        <w:rPr>
          <w:rFonts w:ascii="Arial" w:hAnsi="Arial"/>
          <w:rtl/>
        </w:rPr>
      </w:pPr>
    </w:p>
    <w:p w14:paraId="54F4D7AA" w14:textId="77777777" w:rsidR="00FE78E4" w:rsidRPr="00B05847" w:rsidRDefault="00FE78E4" w:rsidP="00FE78E4">
      <w:pPr>
        <w:rPr>
          <w:rFonts w:ascii="Arial" w:hAnsi="Arial"/>
          <w:rtl/>
        </w:rPr>
      </w:pPr>
    </w:p>
    <w:p w14:paraId="50027E2E" w14:textId="77777777" w:rsidR="00FE78E4" w:rsidRDefault="00FE78E4" w:rsidP="00FE78E4">
      <w:pPr>
        <w:pStyle w:val="a9"/>
        <w:numPr>
          <w:ilvl w:val="0"/>
          <w:numId w:val="1"/>
        </w:numPr>
        <w:spacing w:line="360" w:lineRule="auto"/>
        <w:jc w:val="both"/>
        <w:rPr>
          <w:rFonts w:cs="David"/>
          <w:sz w:val="24"/>
          <w:szCs w:val="24"/>
          <w:rtl/>
        </w:rPr>
      </w:pPr>
      <w:bookmarkStart w:id="6" w:name="ABSTRACT_START"/>
      <w:bookmarkEnd w:id="6"/>
      <w:r>
        <w:rPr>
          <w:rFonts w:cs="David" w:hint="cs"/>
          <w:sz w:val="24"/>
          <w:szCs w:val="24"/>
          <w:rtl/>
        </w:rPr>
        <w:t xml:space="preserve">הנאשם, יליד 1987, הורשע על יסוד הודאתו, בעובדות כתב האישום מתוקן, בשלוש עבירות של החזקת נשק ותחמושת </w:t>
      </w:r>
      <w:r>
        <w:rPr>
          <w:rFonts w:cs="David" w:hint="cs"/>
          <w:sz w:val="24"/>
          <w:szCs w:val="24"/>
          <w:u w:val="single"/>
          <w:rtl/>
        </w:rPr>
        <w:t xml:space="preserve">לפי </w:t>
      </w:r>
      <w:hyperlink r:id="rId12" w:history="1">
        <w:r w:rsidR="0044663C" w:rsidRPr="0044663C">
          <w:rPr>
            <w:rFonts w:cs="David" w:hint="cs"/>
            <w:color w:val="0000FF"/>
            <w:sz w:val="24"/>
            <w:szCs w:val="24"/>
            <w:u w:val="single"/>
            <w:rtl/>
          </w:rPr>
          <w:t>סעיף</w:t>
        </w:r>
        <w:r w:rsidR="0044663C" w:rsidRPr="0044663C">
          <w:rPr>
            <w:rFonts w:cs="David"/>
            <w:color w:val="0000FF"/>
            <w:sz w:val="24"/>
            <w:szCs w:val="24"/>
            <w:u w:val="single"/>
            <w:rtl/>
          </w:rPr>
          <w:t xml:space="preserve"> 144 (</w:t>
        </w:r>
        <w:r w:rsidR="0044663C" w:rsidRPr="0044663C">
          <w:rPr>
            <w:rFonts w:cs="David" w:hint="cs"/>
            <w:color w:val="0000FF"/>
            <w:sz w:val="24"/>
            <w:szCs w:val="24"/>
            <w:u w:val="single"/>
            <w:rtl/>
          </w:rPr>
          <w:t>א</w:t>
        </w:r>
        <w:r w:rsidR="0044663C" w:rsidRPr="0044663C">
          <w:rPr>
            <w:rFonts w:cs="David"/>
            <w:color w:val="0000FF"/>
            <w:sz w:val="24"/>
            <w:szCs w:val="24"/>
            <w:u w:val="single"/>
            <w:rtl/>
          </w:rPr>
          <w:t>)</w:t>
        </w:r>
      </w:hyperlink>
      <w:r>
        <w:rPr>
          <w:rFonts w:cs="David" w:hint="cs"/>
          <w:sz w:val="24"/>
          <w:szCs w:val="24"/>
          <w:u w:val="single"/>
          <w:rtl/>
        </w:rPr>
        <w:t xml:space="preserve"> רישא וסיפא ל</w:t>
      </w:r>
      <w:hyperlink r:id="rId13" w:history="1">
        <w:r w:rsidR="00A8388A" w:rsidRPr="00A8388A">
          <w:rPr>
            <w:rFonts w:cs="David" w:hint="cs"/>
            <w:color w:val="0000FF"/>
            <w:sz w:val="24"/>
            <w:szCs w:val="24"/>
            <w:u w:val="single"/>
            <w:rtl/>
          </w:rPr>
          <w:t>חוק</w:t>
        </w:r>
        <w:r w:rsidR="00A8388A" w:rsidRPr="00A8388A">
          <w:rPr>
            <w:rFonts w:cs="David"/>
            <w:color w:val="0000FF"/>
            <w:sz w:val="24"/>
            <w:szCs w:val="24"/>
            <w:u w:val="single"/>
            <w:rtl/>
          </w:rPr>
          <w:t xml:space="preserve"> </w:t>
        </w:r>
        <w:r w:rsidR="00A8388A" w:rsidRPr="00A8388A">
          <w:rPr>
            <w:rFonts w:cs="David" w:hint="cs"/>
            <w:color w:val="0000FF"/>
            <w:sz w:val="24"/>
            <w:szCs w:val="24"/>
            <w:u w:val="single"/>
            <w:rtl/>
          </w:rPr>
          <w:t>העונשין</w:t>
        </w:r>
      </w:hyperlink>
      <w:r>
        <w:rPr>
          <w:rFonts w:cs="David" w:hint="cs"/>
          <w:sz w:val="24"/>
          <w:szCs w:val="24"/>
          <w:u w:val="single"/>
          <w:rtl/>
        </w:rPr>
        <w:t xml:space="preserve"> התשל"ז-</w:t>
      </w:r>
      <w:r>
        <w:rPr>
          <w:rFonts w:cs="David" w:hint="cs"/>
          <w:sz w:val="24"/>
          <w:szCs w:val="24"/>
          <w:rtl/>
        </w:rPr>
        <w:t>1977.</w:t>
      </w:r>
    </w:p>
    <w:p w14:paraId="0AAF9A5C" w14:textId="77777777" w:rsidR="00FE78E4" w:rsidRDefault="00FE78E4" w:rsidP="00FE78E4">
      <w:pPr>
        <w:pStyle w:val="a9"/>
        <w:spacing w:line="360" w:lineRule="auto"/>
        <w:jc w:val="both"/>
        <w:rPr>
          <w:rFonts w:cs="David"/>
          <w:sz w:val="24"/>
          <w:szCs w:val="24"/>
        </w:rPr>
      </w:pPr>
    </w:p>
    <w:p w14:paraId="0DC16144"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t xml:space="preserve">כמפורט בכתב האישום, בשנת 2010 או בסמוך לכך, ביקש הנאשם מאחותו, נאשמת 2 בכתב האישום, להחביא עבורו בביתה בקלנסואה כלי נשק ותחמושת וזו הסכימה. במשך כשש שנים ועד ליום 6.1.16 הוחזקו הנשק והתחמושת בביתה. במהלך חיפוש בביתה נתפס בחדר השינה בתוך ארונית אקדח ברטה (שנגנב בשנת 1997 מאחר), מחסנית תחמושת ומחסנית ריקה נוספת שהוטמנו בתוך גרב ושקית, בשקית נוספת נתפסה מחסנית </w:t>
      </w:r>
      <w:r>
        <w:rPr>
          <w:rFonts w:cs="David"/>
          <w:sz w:val="24"/>
          <w:szCs w:val="24"/>
        </w:rPr>
        <w:t xml:space="preserve">M-16 </w:t>
      </w:r>
      <w:r>
        <w:rPr>
          <w:rFonts w:cs="David" w:hint="cs"/>
          <w:sz w:val="24"/>
          <w:szCs w:val="24"/>
          <w:rtl/>
        </w:rPr>
        <w:t>, 321 כדורי 9 מ"מ בתפזורת, 9 כדורי 0.22 מ"מ ו-4 כדורי 5.56 מ"מ</w:t>
      </w:r>
      <w:bookmarkStart w:id="7" w:name="ABSTRACT_END"/>
      <w:bookmarkEnd w:id="7"/>
      <w:r>
        <w:rPr>
          <w:rFonts w:cs="David" w:hint="cs"/>
          <w:sz w:val="24"/>
          <w:szCs w:val="24"/>
          <w:rtl/>
        </w:rPr>
        <w:t xml:space="preserve">. </w:t>
      </w:r>
    </w:p>
    <w:p w14:paraId="4EBD16C3" w14:textId="77777777" w:rsidR="00FE78E4" w:rsidRDefault="00FE78E4" w:rsidP="00FE78E4">
      <w:pPr>
        <w:pStyle w:val="a9"/>
        <w:spacing w:line="360" w:lineRule="auto"/>
        <w:jc w:val="both"/>
        <w:rPr>
          <w:rFonts w:cs="David"/>
          <w:sz w:val="24"/>
          <w:szCs w:val="24"/>
        </w:rPr>
      </w:pPr>
    </w:p>
    <w:p w14:paraId="471F255C"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t>עוד נתפסו בגג הבית נשק מסוג "קרל גוסטב", מחסנית כדורי 9 מ"מ, קופסת כדורים ובתוכה 20 כדורי 9 מ"מ, כדורים בתפזורת בתוך שקית, כוורת כדורים המכילה 50 כדורים, שקית המכילה 8 כדורי 0.22 מ"מ, 5 כדורי 5.56 מ"מ, תחמושת נוספת בתפזורת וערכה לניקוי כלי נשק. בתוך גיגית נמצאו ספריי לשימון נשק ושתי מחסניות, אחת מלאה והשנייה ריקה.</w:t>
      </w:r>
    </w:p>
    <w:p w14:paraId="10E91131" w14:textId="77777777" w:rsidR="00FE78E4" w:rsidRDefault="00FE78E4" w:rsidP="00FE78E4">
      <w:pPr>
        <w:pStyle w:val="a9"/>
        <w:spacing w:line="360" w:lineRule="auto"/>
        <w:jc w:val="both"/>
        <w:rPr>
          <w:rFonts w:cs="David"/>
          <w:sz w:val="24"/>
          <w:szCs w:val="24"/>
        </w:rPr>
      </w:pPr>
    </w:p>
    <w:p w14:paraId="58454550"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t xml:space="preserve">ביום 25.1.17, בדיון שהתקיים לפני כב' הש' קרשן הציגו הצדדים הסדר טיעון, לפיו כתב האישום תוקן לקולא ביחס לאחות הנאשם, שהורשעה בעבירות סיוע להחזקת נשק בלבד. עוד סוכם שהנאשם יופנה לקבלת תסקיר ובאשר לאחות הנאשם עתרו הצדדים במשותף למאסר בן 6 חודשים בדרך של עבודות שירות, מאסר על תנאי וקנס. עוד סוכם בין הצדדים, שתבדק טענת ההגנה להחזקת כלי הנשק לצורך הגנה עצמית. </w:t>
      </w:r>
    </w:p>
    <w:p w14:paraId="7480F6F6" w14:textId="77777777" w:rsidR="00FE78E4" w:rsidRDefault="00FE78E4" w:rsidP="00FE78E4">
      <w:pPr>
        <w:pStyle w:val="a9"/>
        <w:spacing w:line="360" w:lineRule="auto"/>
        <w:jc w:val="both"/>
        <w:rPr>
          <w:rFonts w:cs="David"/>
          <w:sz w:val="24"/>
          <w:szCs w:val="24"/>
        </w:rPr>
      </w:pPr>
    </w:p>
    <w:p w14:paraId="128F2099"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t xml:space="preserve">ביום 19.7.17 נגזר דינה של נאשמת 2. בגזר דינה עמדתי על חומרת מעשיה משאפשרה להטמין בביתה ארנסל נשק תוך סיכון הציבור ויושבי ביתה. עם זאת, מצאתי לאמץ הסדר הטיעון נוכח תיקונו לקולא של כתב האישום והעובדה שהנאשמת שהתה יותר מחודש במעצר בגין תיק זה. באשר לנאשם זה, התבקשה ע"י ההגנה דחייה לצורך השלמת טיפול שיקום פרטי שבו שולב הנאשם. לאחר ששמעתי את דברי המשקם הפרטי, עו"ס מר אולמן, ונוכח עתירת המאשימה לתקופת מאסר ממושכת, מצאתי לאפשר דחיית הטיעונים לעונש לצורך המשך טיפול. </w:t>
      </w:r>
    </w:p>
    <w:p w14:paraId="17E25059" w14:textId="77777777" w:rsidR="00FE78E4" w:rsidRDefault="00FE78E4" w:rsidP="00FE78E4">
      <w:pPr>
        <w:pStyle w:val="a9"/>
        <w:spacing w:line="360" w:lineRule="auto"/>
        <w:jc w:val="both"/>
        <w:rPr>
          <w:rFonts w:cs="David"/>
          <w:sz w:val="24"/>
          <w:szCs w:val="24"/>
        </w:rPr>
      </w:pPr>
    </w:p>
    <w:p w14:paraId="603113BD" w14:textId="77777777" w:rsidR="00FE78E4" w:rsidRDefault="00FE78E4" w:rsidP="00FE78E4">
      <w:pPr>
        <w:pStyle w:val="a9"/>
        <w:spacing w:line="360" w:lineRule="auto"/>
        <w:jc w:val="both"/>
        <w:rPr>
          <w:rFonts w:cs="David"/>
          <w:b/>
          <w:bCs/>
          <w:sz w:val="28"/>
          <w:szCs w:val="28"/>
          <w:u w:val="single"/>
        </w:rPr>
      </w:pPr>
      <w:r>
        <w:rPr>
          <w:rFonts w:cs="David" w:hint="cs"/>
          <w:b/>
          <w:bCs/>
          <w:sz w:val="28"/>
          <w:szCs w:val="28"/>
          <w:u w:val="single"/>
          <w:rtl/>
        </w:rPr>
        <w:t>תסקיר שירות מבחן</w:t>
      </w:r>
    </w:p>
    <w:p w14:paraId="55CF1658" w14:textId="77777777" w:rsidR="00FE78E4" w:rsidRDefault="00FE78E4" w:rsidP="00FE78E4">
      <w:pPr>
        <w:pStyle w:val="a9"/>
        <w:numPr>
          <w:ilvl w:val="0"/>
          <w:numId w:val="1"/>
        </w:numPr>
        <w:spacing w:line="360" w:lineRule="auto"/>
        <w:jc w:val="both"/>
        <w:rPr>
          <w:rFonts w:cs="David"/>
          <w:sz w:val="24"/>
          <w:szCs w:val="24"/>
          <w:rtl/>
        </w:rPr>
      </w:pPr>
      <w:r>
        <w:rPr>
          <w:rFonts w:cs="David" w:hint="cs"/>
          <w:sz w:val="24"/>
          <w:szCs w:val="24"/>
          <w:rtl/>
        </w:rPr>
        <w:t>התסקיר שהתקבל על אודות הנאשם חיובי וכולל המלצה טיפולית. כעולה ממנו, הנאשם כבן 29, מאורס ומתגורר בבית הוריו בקלנסואה. הנאשם בן למשפחה נורמטיבית, אביו נפטר והקשר בין בני המשפחה משמעותי וחיובי. הנאשם הסביר כי הארוע השפיע קשות עליו ועל משפחתו, הכה על חטא על כך שעירב את אחותו ואחראי להסתבכותה ולמעצרה. עוד מסר שמצבו הנפשי ירוד, גם בשל חשש מתוצאות הליך זה. הנאשם נטול עבר פלילי. ברקע לביצוע העבירות, קשר רומנטי שלא התקבל ע"י משפחת האשה והוביל לאיומים וחשש לחייו. כתוצאה מכך, אף עזב את מקום מגוריו והתגורר בעיר אילת תקופה ממושכת. לאחר שנורו לעבר ביתו מספר יריות החליט להחזיק בכלי נשק כדי למנוע פגיעה אפשרית בו. במסגרת הליך המעצר, שולב בקבוצה טיפולית ושיתף פעולה כנדרש.</w:t>
      </w:r>
    </w:p>
    <w:p w14:paraId="04992243" w14:textId="77777777" w:rsidR="00FE78E4" w:rsidRDefault="00FE78E4" w:rsidP="00FE78E4">
      <w:pPr>
        <w:pStyle w:val="a9"/>
        <w:spacing w:line="360" w:lineRule="auto"/>
        <w:jc w:val="both"/>
        <w:rPr>
          <w:rFonts w:cs="David"/>
          <w:sz w:val="24"/>
          <w:szCs w:val="24"/>
        </w:rPr>
      </w:pPr>
    </w:p>
    <w:p w14:paraId="01C41439"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lastRenderedPageBreak/>
        <w:t xml:space="preserve">שירות המבחן התרשם מנאשם שבחר להתמודד עם המצוקה אליה נקלע בדרכים עברייניות ותוך סיבוך משפחתו. עוד התרשמו, שהנאשם היה מרוכז בצרכיו ולא גילה רגישות לכך שכלי הנשק הוחזקו בסביבה בה מתגוררים ילדים. לצד זאת, מצא כי הנאשם מתפקד, בעל תובנה ומודע לפסול בהתנהלותו. על כן בא בהמלצה להטיל עליו ענישה מוחשית בדמות עבודות שירות לצד העמדתו במבחן לצורך שילובו בהליך שיקומי. </w:t>
      </w:r>
    </w:p>
    <w:p w14:paraId="5A4884CE" w14:textId="77777777" w:rsidR="00FE78E4" w:rsidRDefault="00FE78E4" w:rsidP="00FE78E4">
      <w:pPr>
        <w:pStyle w:val="a9"/>
        <w:spacing w:line="360" w:lineRule="auto"/>
        <w:jc w:val="both"/>
        <w:rPr>
          <w:rFonts w:cs="David"/>
          <w:sz w:val="24"/>
          <w:szCs w:val="24"/>
        </w:rPr>
      </w:pPr>
    </w:p>
    <w:p w14:paraId="2B1BB239" w14:textId="77777777" w:rsidR="00FE78E4" w:rsidRDefault="00FE78E4" w:rsidP="00FE78E4">
      <w:pPr>
        <w:pStyle w:val="a9"/>
        <w:spacing w:line="360" w:lineRule="auto"/>
        <w:jc w:val="both"/>
        <w:rPr>
          <w:rFonts w:cs="David"/>
          <w:b/>
          <w:bCs/>
          <w:sz w:val="24"/>
          <w:szCs w:val="24"/>
          <w:u w:val="single"/>
        </w:rPr>
      </w:pPr>
      <w:r>
        <w:rPr>
          <w:rFonts w:cs="David" w:hint="cs"/>
          <w:b/>
          <w:bCs/>
          <w:sz w:val="24"/>
          <w:szCs w:val="24"/>
          <w:u w:val="single"/>
          <w:rtl/>
        </w:rPr>
        <w:t>עדותו של המטפל הפרטי, עו"ס ירדן אולמן</w:t>
      </w:r>
    </w:p>
    <w:p w14:paraId="609107F3"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t xml:space="preserve">מר אולמן, עובד סוציאלי שיקומי פסיכיאטרי בהכשרתו, סיפר בעדותו כי עוסק שנים רבות בטיפול ושיקום עבריינים  ומטפל בנאשם כ-10 חודשים. בחוות דעתו, נ/1 ובדבריו מסר, כי התרשם מנאשם נורמטיבי,  אינטליגנט ובעל יכולת התבוננות פנימית עמוקה. עוד סבור שהנאשם מגלה תובנה מלאה לחומרת מעשיו וכי הסתבכותו השפיעה קשות על מצבו הנפשי והוא מצוי תקופה ארוכה במצב של דיכאון תגובתי. המטפל הוסיף שהסיכון הנשקף מהנאשם נמוך ביותר בזכות כברת דרך שיקומית מרשימה שעבר ומבקש להמנע משליחתו למאסר ממש שעלול לדרדר יותר את מצבו הנפשי. עוד הוסיף, שימשיך לסייע לנאשם בדרכו השיקומית ובמתן כלים להתמודדות עם מצבי לחץ ומצוקה. </w:t>
      </w:r>
    </w:p>
    <w:p w14:paraId="36EAEDEA" w14:textId="77777777" w:rsidR="00FE78E4" w:rsidRDefault="00FE78E4" w:rsidP="00FE78E4">
      <w:pPr>
        <w:pStyle w:val="a9"/>
        <w:spacing w:line="360" w:lineRule="auto"/>
        <w:jc w:val="both"/>
        <w:rPr>
          <w:rFonts w:cs="David"/>
          <w:sz w:val="24"/>
          <w:szCs w:val="24"/>
        </w:rPr>
      </w:pPr>
    </w:p>
    <w:p w14:paraId="6DB5EE6A" w14:textId="77777777" w:rsidR="00FE78E4" w:rsidRDefault="00FE78E4" w:rsidP="00FE78E4">
      <w:pPr>
        <w:pStyle w:val="a9"/>
        <w:spacing w:line="360" w:lineRule="auto"/>
        <w:jc w:val="both"/>
        <w:rPr>
          <w:rFonts w:cs="David"/>
          <w:sz w:val="28"/>
          <w:szCs w:val="28"/>
          <w:rtl/>
        </w:rPr>
      </w:pPr>
      <w:r>
        <w:rPr>
          <w:rFonts w:cs="David" w:hint="cs"/>
          <w:b/>
          <w:bCs/>
          <w:sz w:val="28"/>
          <w:szCs w:val="28"/>
          <w:u w:val="single"/>
          <w:rtl/>
        </w:rPr>
        <w:t>תמצית טיעוני הצדדים</w:t>
      </w:r>
    </w:p>
    <w:p w14:paraId="7788527D" w14:textId="77777777" w:rsidR="00FE78E4" w:rsidRDefault="00FE78E4" w:rsidP="00FE78E4">
      <w:pPr>
        <w:pStyle w:val="a9"/>
        <w:numPr>
          <w:ilvl w:val="0"/>
          <w:numId w:val="1"/>
        </w:numPr>
        <w:spacing w:line="360" w:lineRule="auto"/>
        <w:jc w:val="both"/>
        <w:rPr>
          <w:rFonts w:cs="David"/>
          <w:sz w:val="24"/>
          <w:szCs w:val="24"/>
          <w:rtl/>
        </w:rPr>
      </w:pPr>
      <w:r>
        <w:rPr>
          <w:rFonts w:cs="David" w:hint="cs"/>
          <w:sz w:val="24"/>
          <w:szCs w:val="24"/>
          <w:rtl/>
        </w:rPr>
        <w:t xml:space="preserve">ב"כ המאשימה, עו"ד אסעד, עמד על החומרה הגלומה במעשי הנאשם והחובה להחמיר בעונשם של  מחזיקי נשק שלא כדין. ב"כ המאשימה הפנה לריבוי כלי הנשק והתחמושת (מעל 500 כדורים), להחזקתם הממושכת, לכך שהוחזקו בבית האחות והסיכון הרב שגלום בכך ולכך שמדובר בהתנהלות מתוכננת. עוד עתר למתחם ענישה שנע בין 3-5 שנות מאסר ומבקש למקם עונשו של הנאשם, נוכח עברו הנקי ותסקירו החיובי, בתחתית המתחם. באשר לרקע לביצוע העבירות הבהיר כי טענת הנאשם לפיה החזיק בנשק נוכח איומים על חייו נבדקה מודיעינית ואומתה אך אין בכך כדי להסביר החזקת ארסנל נשק ממושכת (ראה פרו' מיום 19.10.17, עמ' 23, ש' 1-3). ב"כ המאשימה סבור שנוכח חומרת מעשיו וטיבם אין מקום להעדיף אפיק שיקומי ואת האינטרסים האישיים של הנאשם. באשר לעונשה של הנאשמת, הסביר, כי נוכח נסיבותיה והעובדה שהחזיקה בנשק רק בהתאם לבקשת אחיה ולא לצורך שימוש אישי בו, הסכימה המאשימה לסטייה ממתחם הענישה הראוי לקולא. לשיטתו, אין בכך כדי להביא להקלה בעונשו של הנאשם אלא כדי להחמירו, משניצל את טוב לבה של אחותו. </w:t>
      </w:r>
    </w:p>
    <w:p w14:paraId="43D17A86" w14:textId="77777777" w:rsidR="00FE78E4" w:rsidRDefault="00FE78E4" w:rsidP="00FE78E4">
      <w:pPr>
        <w:pStyle w:val="a9"/>
        <w:spacing w:line="360" w:lineRule="auto"/>
        <w:jc w:val="both"/>
        <w:rPr>
          <w:rFonts w:cs="David"/>
          <w:sz w:val="24"/>
          <w:szCs w:val="24"/>
        </w:rPr>
      </w:pPr>
    </w:p>
    <w:p w14:paraId="56563CEC"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t xml:space="preserve">באי כח הנאשם, עו"ד הלוי, עו"ד שרמן ועו"ד נאטור, עשו כל שביכולתם ללמד סנגוריה על הנאשם. עו"ד הלוי עמד בטיעוניו על הרקע לביצוע העבירות שנבע מתוך חשש מוחשי וכן לחייו. עוד הסביר שהנאשם בחר שלא לפנות לגורמי אכיפת החוק כדי לא להסלים את המצב. לשיטתו, אין רבותא בהחזקת מספר כלי נשק, מאחר שהדבר נעשה כדי להעניק לנאשם תחושת בטחון ושליטה ולא על מנת לעשות שימוש בהם. עוד הפנה להליך השיקומי המוצלח שעבר הנאשם, התרשמותו החיובית של שירות המבחן וחוות דעת המטפל הפרטי. על כן עתר לאימוץ המלצת התסקיר במלואה. </w:t>
      </w:r>
    </w:p>
    <w:p w14:paraId="456C0632" w14:textId="77777777" w:rsidR="00FE78E4" w:rsidRDefault="00FE78E4" w:rsidP="00FE78E4">
      <w:pPr>
        <w:pStyle w:val="a9"/>
        <w:spacing w:line="360" w:lineRule="auto"/>
        <w:jc w:val="both"/>
        <w:rPr>
          <w:rFonts w:cs="David"/>
          <w:sz w:val="24"/>
          <w:szCs w:val="24"/>
        </w:rPr>
      </w:pPr>
    </w:p>
    <w:p w14:paraId="5C368B8C"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t xml:space="preserve">עו"ד שרמן, החרה החזיק אחריו ואף הוסיף משלו. כך לא התעלם מחומרת עבירות הנשק וצורך השעה בענישה מרתיעה אך סבור שמתחם הענישה שהציגה הפסיקה אינו מידתי ותלוש ממדיניות הענישה הנוהגת. עוד עמד על רצונו של הנאשם להעמיק ההליך הטיפולי ופנייתו למטפל פרטי, בין היתר בשל  יסורי מצפון קשים על שארע לאחותו. עוד סבור שעניינו של הנאשם יוצא דופן נוכח שיקומו המוצלח המבסס סטייה ממתחם הענישה והסתפקות בענישה שלא כוללת מאסר. עלה מטיעוניו שכיום הסכסוך נפתר והנאשם מאורס לאשה אחרת. ההגנה הגישה אסמכתאות פסיקה לתמיכה בעתירתה. </w:t>
      </w:r>
    </w:p>
    <w:p w14:paraId="33945C77" w14:textId="77777777" w:rsidR="00FE78E4" w:rsidRDefault="00FE78E4" w:rsidP="00FE78E4">
      <w:pPr>
        <w:pStyle w:val="a9"/>
        <w:spacing w:line="360" w:lineRule="auto"/>
        <w:jc w:val="both"/>
        <w:rPr>
          <w:rFonts w:cs="David"/>
          <w:sz w:val="24"/>
          <w:szCs w:val="24"/>
        </w:rPr>
      </w:pPr>
    </w:p>
    <w:p w14:paraId="5DAC1C91"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t xml:space="preserve">  הנאשם בדברו האחרון הביע צער על מעשיו וסיפר כי שרוי בדיכאון. </w:t>
      </w:r>
    </w:p>
    <w:p w14:paraId="2ED0D0A0" w14:textId="77777777" w:rsidR="00FE78E4" w:rsidRDefault="00FE78E4" w:rsidP="00FE78E4">
      <w:pPr>
        <w:pStyle w:val="a9"/>
        <w:spacing w:line="360" w:lineRule="auto"/>
        <w:jc w:val="both"/>
        <w:rPr>
          <w:rFonts w:cs="David"/>
          <w:sz w:val="24"/>
          <w:szCs w:val="24"/>
        </w:rPr>
      </w:pPr>
    </w:p>
    <w:p w14:paraId="1BE05DD3" w14:textId="77777777" w:rsidR="00FE78E4" w:rsidRDefault="00FE78E4" w:rsidP="00FE78E4">
      <w:pPr>
        <w:pStyle w:val="a9"/>
        <w:spacing w:line="360" w:lineRule="auto"/>
        <w:jc w:val="both"/>
        <w:rPr>
          <w:rFonts w:cs="David"/>
          <w:sz w:val="28"/>
          <w:szCs w:val="28"/>
          <w:rtl/>
        </w:rPr>
      </w:pPr>
      <w:r>
        <w:rPr>
          <w:rFonts w:cs="David" w:hint="cs"/>
          <w:b/>
          <w:bCs/>
          <w:sz w:val="28"/>
          <w:szCs w:val="28"/>
          <w:u w:val="single"/>
          <w:rtl/>
        </w:rPr>
        <w:t xml:space="preserve">דיון והכרעה </w:t>
      </w:r>
    </w:p>
    <w:p w14:paraId="097C1703"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t xml:space="preserve">מעשיו של הנאשם חמורים ומקימים סכנה ניכרת לשלום הציבור. הפסיקה כינתה ובצדק מעשים אלו בגדר "מכת אזור" המחייבת הרתעת הנאשם ואחרים שכמותו באמצעות ענישה קשה (ר' </w:t>
      </w:r>
      <w:hyperlink r:id="rId14" w:history="1">
        <w:r w:rsidR="00A8388A" w:rsidRPr="00A8388A">
          <w:rPr>
            <w:rFonts w:cs="David" w:hint="cs"/>
            <w:color w:val="0000FF"/>
            <w:sz w:val="24"/>
            <w:szCs w:val="24"/>
            <w:u w:val="single"/>
            <w:rtl/>
          </w:rPr>
          <w:t>עפ</w:t>
        </w:r>
        <w:r w:rsidR="00A8388A" w:rsidRPr="00A8388A">
          <w:rPr>
            <w:rFonts w:cs="David"/>
            <w:color w:val="0000FF"/>
            <w:sz w:val="24"/>
            <w:szCs w:val="24"/>
            <w:u w:val="single"/>
            <w:rtl/>
          </w:rPr>
          <w:t>"</w:t>
        </w:r>
        <w:r w:rsidR="00A8388A" w:rsidRPr="00A8388A">
          <w:rPr>
            <w:rFonts w:cs="David" w:hint="cs"/>
            <w:color w:val="0000FF"/>
            <w:sz w:val="24"/>
            <w:szCs w:val="24"/>
            <w:u w:val="single"/>
            <w:rtl/>
          </w:rPr>
          <w:t>ג</w:t>
        </w:r>
        <w:r w:rsidR="00A8388A" w:rsidRPr="00A8388A">
          <w:rPr>
            <w:rFonts w:cs="David"/>
            <w:color w:val="0000FF"/>
            <w:sz w:val="24"/>
            <w:szCs w:val="24"/>
            <w:u w:val="single"/>
            <w:rtl/>
          </w:rPr>
          <w:t xml:space="preserve"> (</w:t>
        </w:r>
        <w:r w:rsidR="00A8388A" w:rsidRPr="00A8388A">
          <w:rPr>
            <w:rFonts w:cs="David" w:hint="cs"/>
            <w:color w:val="0000FF"/>
            <w:sz w:val="24"/>
            <w:szCs w:val="24"/>
            <w:u w:val="single"/>
            <w:rtl/>
          </w:rPr>
          <w:t>מח</w:t>
        </w:r>
        <w:r w:rsidR="00A8388A" w:rsidRPr="00A8388A">
          <w:rPr>
            <w:rFonts w:cs="David"/>
            <w:color w:val="0000FF"/>
            <w:sz w:val="24"/>
            <w:szCs w:val="24"/>
            <w:u w:val="single"/>
            <w:rtl/>
          </w:rPr>
          <w:t>-</w:t>
        </w:r>
        <w:r w:rsidR="00A8388A" w:rsidRPr="00A8388A">
          <w:rPr>
            <w:rFonts w:cs="David" w:hint="cs"/>
            <w:color w:val="0000FF"/>
            <w:sz w:val="24"/>
            <w:szCs w:val="24"/>
            <w:u w:val="single"/>
            <w:rtl/>
          </w:rPr>
          <w:t>מרכז</w:t>
        </w:r>
        <w:r w:rsidR="00A8388A" w:rsidRPr="00A8388A">
          <w:rPr>
            <w:rFonts w:cs="David"/>
            <w:color w:val="0000FF"/>
            <w:sz w:val="24"/>
            <w:szCs w:val="24"/>
            <w:u w:val="single"/>
            <w:rtl/>
          </w:rPr>
          <w:t>) 27417-11-15</w:t>
        </w:r>
      </w:hyperlink>
      <w:r w:rsidRPr="00EB7A4E">
        <w:rPr>
          <w:rFonts w:cs="David" w:hint="cs"/>
          <w:sz w:val="24"/>
          <w:szCs w:val="24"/>
          <w:rtl/>
        </w:rPr>
        <w:t xml:space="preserve"> </w:t>
      </w:r>
      <w:r>
        <w:rPr>
          <w:rFonts w:cs="Miriam" w:hint="cs"/>
          <w:sz w:val="24"/>
          <w:szCs w:val="24"/>
          <w:rtl/>
        </w:rPr>
        <w:t>מדינת ישראל נ' עבד אל רחים</w:t>
      </w:r>
      <w:r>
        <w:rPr>
          <w:rFonts w:cs="David" w:hint="cs"/>
          <w:sz w:val="24"/>
          <w:szCs w:val="24"/>
          <w:rtl/>
        </w:rPr>
        <w:t>). כדי לעמוד על ממדיי התופעה וחומרתה אפנה לפסק דינה של סג"נ כב' השופטת לורך ב</w:t>
      </w:r>
      <w:hyperlink r:id="rId15" w:history="1">
        <w:r w:rsidR="00A8388A" w:rsidRPr="00A8388A">
          <w:rPr>
            <w:rFonts w:cs="David" w:hint="cs"/>
            <w:color w:val="0000FF"/>
            <w:sz w:val="24"/>
            <w:szCs w:val="24"/>
            <w:u w:val="single"/>
            <w:rtl/>
          </w:rPr>
          <w:t>ת</w:t>
        </w:r>
        <w:r w:rsidR="00A8388A" w:rsidRPr="00A8388A">
          <w:rPr>
            <w:rFonts w:cs="David"/>
            <w:color w:val="0000FF"/>
            <w:sz w:val="24"/>
            <w:szCs w:val="24"/>
            <w:u w:val="single"/>
            <w:rtl/>
          </w:rPr>
          <w:t>"</w:t>
        </w:r>
        <w:r w:rsidR="00A8388A" w:rsidRPr="00A8388A">
          <w:rPr>
            <w:rFonts w:cs="David" w:hint="cs"/>
            <w:color w:val="0000FF"/>
            <w:sz w:val="24"/>
            <w:szCs w:val="24"/>
            <w:u w:val="single"/>
            <w:rtl/>
          </w:rPr>
          <w:t>פ</w:t>
        </w:r>
        <w:r w:rsidR="00A8388A" w:rsidRPr="00A8388A">
          <w:rPr>
            <w:rFonts w:cs="David"/>
            <w:color w:val="0000FF"/>
            <w:sz w:val="24"/>
            <w:szCs w:val="24"/>
            <w:u w:val="single"/>
            <w:rtl/>
          </w:rPr>
          <w:t xml:space="preserve"> (</w:t>
        </w:r>
        <w:r w:rsidR="00A8388A" w:rsidRPr="00A8388A">
          <w:rPr>
            <w:rFonts w:cs="David" w:hint="cs"/>
            <w:color w:val="0000FF"/>
            <w:sz w:val="24"/>
            <w:szCs w:val="24"/>
            <w:u w:val="single"/>
            <w:rtl/>
          </w:rPr>
          <w:t>מח</w:t>
        </w:r>
        <w:r w:rsidR="00A8388A" w:rsidRPr="00A8388A">
          <w:rPr>
            <w:rFonts w:cs="David"/>
            <w:color w:val="0000FF"/>
            <w:sz w:val="24"/>
            <w:szCs w:val="24"/>
            <w:u w:val="single"/>
            <w:rtl/>
          </w:rPr>
          <w:t>-</w:t>
        </w:r>
        <w:r w:rsidR="00A8388A" w:rsidRPr="00A8388A">
          <w:rPr>
            <w:rFonts w:cs="David" w:hint="cs"/>
            <w:color w:val="0000FF"/>
            <w:sz w:val="24"/>
            <w:szCs w:val="24"/>
            <w:u w:val="single"/>
            <w:rtl/>
          </w:rPr>
          <w:t>מרכז</w:t>
        </w:r>
        <w:r w:rsidR="00A8388A" w:rsidRPr="00A8388A">
          <w:rPr>
            <w:rFonts w:cs="David"/>
            <w:color w:val="0000FF"/>
            <w:sz w:val="24"/>
            <w:szCs w:val="24"/>
            <w:u w:val="single"/>
            <w:rtl/>
          </w:rPr>
          <w:t>)  49160-11-15</w:t>
        </w:r>
      </w:hyperlink>
      <w:r>
        <w:rPr>
          <w:rFonts w:cs="David" w:hint="cs"/>
          <w:sz w:val="24"/>
          <w:szCs w:val="24"/>
          <w:rtl/>
        </w:rPr>
        <w:t xml:space="preserve"> </w:t>
      </w:r>
      <w:r>
        <w:rPr>
          <w:rFonts w:cs="Miriam" w:hint="cs"/>
          <w:sz w:val="24"/>
          <w:szCs w:val="24"/>
          <w:rtl/>
        </w:rPr>
        <w:t>מדינת ישראל נ' נאסר</w:t>
      </w:r>
      <w:r>
        <w:rPr>
          <w:rFonts w:cs="David" w:hint="cs"/>
          <w:sz w:val="24"/>
          <w:szCs w:val="24"/>
          <w:rtl/>
        </w:rPr>
        <w:t xml:space="preserve">, שם מפורטים ממצאי חוות דעת המשטרה באשר לתופעת הנשק בלתי חוקי והשפעתו על אירועי האלימות באזורנו. כעולה מחוות הדעת, בין השנים 2010-2015 אירעו קרוב ל-10,000 אירועי ירי במחוז מרכז ונתפסו מעל לכ-1000 כלי נשק בלתי חוקיים. עוד מפרטת חוות הדעת את הקשיים באיתור כלי הנשק ואיתור ראיות להעמדת מחזיקי הנשק לדין, כשרק ב-15% מהמקרים מוגשים, בסופה של חקירה, כתבי אישום. נתונים אלו לא השתנו ואף החמירו בתקופה האחרונה, כשחדשות לבקרים אנו מתבשרים, לצערנו, על מקרי אלימות ורצח במגזר שבהם נעשה שימוש בנשק בלתי חוקי. </w:t>
      </w:r>
    </w:p>
    <w:p w14:paraId="788B79C5" w14:textId="77777777" w:rsidR="00FE78E4" w:rsidRDefault="00FE78E4" w:rsidP="00FE78E4">
      <w:pPr>
        <w:pStyle w:val="a9"/>
        <w:spacing w:line="360" w:lineRule="auto"/>
        <w:jc w:val="both"/>
        <w:rPr>
          <w:rFonts w:cs="David"/>
          <w:sz w:val="24"/>
          <w:szCs w:val="24"/>
        </w:rPr>
      </w:pPr>
    </w:p>
    <w:p w14:paraId="19CB76CD"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t xml:space="preserve"> נוכח הסיכון הממשי הנשקף לביטחון הציבור מעבירות נשק, מורה הפסיקה כי במסגרת שיקולי הענישה יינתן על דרך הכלל משקל רב יותר לאינטרס הציבורי על פני נסיבותיו האישיות של הנאשם (ראו: </w:t>
      </w:r>
      <w:hyperlink r:id="rId16" w:history="1">
        <w:r w:rsidR="007B254D" w:rsidRPr="007B254D">
          <w:rPr>
            <w:rFonts w:cs="David"/>
            <w:color w:val="0000FF"/>
            <w:sz w:val="24"/>
            <w:szCs w:val="24"/>
            <w:u w:val="single"/>
            <w:rtl/>
          </w:rPr>
          <w:t>רע"פ 6583/06</w:t>
        </w:r>
      </w:hyperlink>
      <w:r w:rsidRPr="00EB7A4E">
        <w:rPr>
          <w:rFonts w:cs="David" w:hint="cs"/>
          <w:sz w:val="24"/>
          <w:szCs w:val="24"/>
          <w:rtl/>
        </w:rPr>
        <w:t xml:space="preserve"> </w:t>
      </w:r>
      <w:r>
        <w:rPr>
          <w:rFonts w:cs="Miriam" w:hint="cs"/>
          <w:sz w:val="24"/>
          <w:szCs w:val="24"/>
          <w:rtl/>
        </w:rPr>
        <w:t>אגא אדהאם נ' מדינת ישראל</w:t>
      </w:r>
      <w:r>
        <w:rPr>
          <w:rFonts w:cs="David" w:hint="cs"/>
          <w:sz w:val="24"/>
          <w:szCs w:val="24"/>
          <w:rtl/>
        </w:rPr>
        <w:t xml:space="preserve">, 5.12.06). מחזיקי נשק לא מורשים, כדוגמת הנאשם, שאינם מתאפיינים ברגיל בדפוסי התנהגות עבריינים, נוטלים את החוק לידיהם ומטעמי הגנה על חייהם או חיי משפחתם, רוכשים בדרך לא דרך תתי מקלע, רובים ואקדחים לצד תחמושת מתאימה ומסתירים הנשק במקום מסתור במטרה לעשות בו שימוש קטלני בעת צורך. </w:t>
      </w:r>
    </w:p>
    <w:p w14:paraId="2D99503E" w14:textId="77777777" w:rsidR="00FE78E4" w:rsidRDefault="00FE78E4" w:rsidP="00FE78E4">
      <w:pPr>
        <w:pStyle w:val="a9"/>
        <w:spacing w:line="360" w:lineRule="auto"/>
        <w:jc w:val="both"/>
        <w:rPr>
          <w:rFonts w:cs="David"/>
          <w:sz w:val="24"/>
          <w:szCs w:val="24"/>
        </w:rPr>
      </w:pPr>
      <w:r>
        <w:rPr>
          <w:rFonts w:cs="David" w:hint="cs"/>
          <w:sz w:val="24"/>
          <w:szCs w:val="24"/>
          <w:rtl/>
        </w:rPr>
        <w:t xml:space="preserve"> </w:t>
      </w:r>
    </w:p>
    <w:p w14:paraId="6DA83615"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t xml:space="preserve">בתי המשפט עמדו, חזור ושנה, על החומרה הרבה הגלומה בהחזקת נשק שלא כדין. עוד נפסק, כי חומרתן של העבירות בנשק אינה מסתכמת רק בנזק שאירע בפועל אלא בפוטנציאל הטמון בחובן לסיכון של פגיעה בשלום הציבור ובטחונו (ראו </w:t>
      </w:r>
      <w:hyperlink r:id="rId17" w:history="1">
        <w:r w:rsidR="00A8388A" w:rsidRPr="00A8388A">
          <w:rPr>
            <w:rFonts w:cs="David" w:hint="cs"/>
            <w:color w:val="0000FF"/>
            <w:sz w:val="24"/>
            <w:szCs w:val="24"/>
            <w:u w:val="single"/>
            <w:rtl/>
          </w:rPr>
          <w:t>ע</w:t>
        </w:r>
        <w:r w:rsidR="00A8388A" w:rsidRPr="00A8388A">
          <w:rPr>
            <w:rFonts w:cs="David"/>
            <w:color w:val="0000FF"/>
            <w:sz w:val="24"/>
            <w:szCs w:val="24"/>
            <w:u w:val="single"/>
            <w:rtl/>
          </w:rPr>
          <w:t>"</w:t>
        </w:r>
        <w:r w:rsidR="00A8388A" w:rsidRPr="00A8388A">
          <w:rPr>
            <w:rFonts w:cs="David" w:hint="cs"/>
            <w:color w:val="0000FF"/>
            <w:sz w:val="24"/>
            <w:szCs w:val="24"/>
            <w:u w:val="single"/>
            <w:rtl/>
          </w:rPr>
          <w:t>פ</w:t>
        </w:r>
        <w:r w:rsidR="00A8388A" w:rsidRPr="00A8388A">
          <w:rPr>
            <w:rFonts w:cs="David"/>
            <w:color w:val="0000FF"/>
            <w:sz w:val="24"/>
            <w:szCs w:val="24"/>
            <w:u w:val="single"/>
            <w:rtl/>
          </w:rPr>
          <w:t xml:space="preserve"> 116/13</w:t>
        </w:r>
      </w:hyperlink>
      <w:r>
        <w:rPr>
          <w:rFonts w:cs="David" w:hint="cs"/>
          <w:sz w:val="24"/>
          <w:szCs w:val="24"/>
          <w:u w:val="single"/>
          <w:rtl/>
        </w:rPr>
        <w:t xml:space="preserve"> </w:t>
      </w:r>
      <w:r>
        <w:rPr>
          <w:rFonts w:cs="Miriam" w:hint="cs"/>
          <w:sz w:val="24"/>
          <w:szCs w:val="24"/>
          <w:rtl/>
        </w:rPr>
        <w:t>וקנין נ' מדינת ישראל</w:t>
      </w:r>
      <w:r>
        <w:rPr>
          <w:rFonts w:cs="David" w:hint="cs"/>
          <w:sz w:val="24"/>
          <w:szCs w:val="24"/>
          <w:rtl/>
        </w:rPr>
        <w:t>, מיום 31.07.13). כך נקבע שעבירת החזקת נשק ללא רשות כדין, עקב חומרתה, מצדיקה הטלת עונשי מאסר בפועל, גם על נאשמים שזו להם מעורבותם הראשונה עם החוק וכי  "</w:t>
      </w:r>
      <w:r>
        <w:rPr>
          <w:rFonts w:cs="David" w:hint="cs"/>
          <w:b/>
          <w:bCs/>
          <w:sz w:val="24"/>
          <w:szCs w:val="24"/>
          <w:rtl/>
        </w:rPr>
        <w:t>עצם החזקת נשק בעל פוטנציאל קטילה מבלי שיש עליו ועל בעליו פיקוח מוסדר של הרשויות טומן בחובו סיכון, כאשר המחזיק בו נתון תמיד לחשש שיתפתה לעשות בו שימוש, ולו ברגעי  לחץ ופחד</w:t>
      </w:r>
      <w:r>
        <w:rPr>
          <w:rFonts w:cs="David" w:hint="cs"/>
          <w:sz w:val="24"/>
          <w:szCs w:val="24"/>
          <w:rtl/>
        </w:rPr>
        <w:t>" (</w:t>
      </w:r>
      <w:hyperlink r:id="rId18" w:history="1">
        <w:r w:rsidR="00A8388A" w:rsidRPr="00A8388A">
          <w:rPr>
            <w:rFonts w:cs="David" w:hint="cs"/>
            <w:color w:val="0000FF"/>
            <w:sz w:val="24"/>
            <w:szCs w:val="24"/>
            <w:u w:val="single"/>
            <w:rtl/>
          </w:rPr>
          <w:t>ע</w:t>
        </w:r>
        <w:r w:rsidR="00A8388A" w:rsidRPr="00A8388A">
          <w:rPr>
            <w:rFonts w:cs="David"/>
            <w:color w:val="0000FF"/>
            <w:sz w:val="24"/>
            <w:szCs w:val="24"/>
            <w:u w:val="single"/>
            <w:rtl/>
          </w:rPr>
          <w:t>"</w:t>
        </w:r>
        <w:r w:rsidR="00A8388A" w:rsidRPr="00A8388A">
          <w:rPr>
            <w:rFonts w:cs="David" w:hint="cs"/>
            <w:color w:val="0000FF"/>
            <w:sz w:val="24"/>
            <w:szCs w:val="24"/>
            <w:u w:val="single"/>
            <w:rtl/>
          </w:rPr>
          <w:t>פ</w:t>
        </w:r>
        <w:r w:rsidR="00A8388A" w:rsidRPr="00A8388A">
          <w:rPr>
            <w:rFonts w:cs="David"/>
            <w:color w:val="0000FF"/>
            <w:sz w:val="24"/>
            <w:szCs w:val="24"/>
            <w:u w:val="single"/>
            <w:rtl/>
          </w:rPr>
          <w:t xml:space="preserve"> 4945/13</w:t>
        </w:r>
      </w:hyperlink>
      <w:r>
        <w:rPr>
          <w:rFonts w:cs="David" w:hint="cs"/>
          <w:sz w:val="24"/>
          <w:szCs w:val="24"/>
          <w:rtl/>
        </w:rPr>
        <w:t xml:space="preserve"> </w:t>
      </w:r>
      <w:r>
        <w:rPr>
          <w:rFonts w:cs="Miriam" w:hint="cs"/>
          <w:sz w:val="24"/>
          <w:szCs w:val="24"/>
          <w:rtl/>
        </w:rPr>
        <w:t>מדינת ישראל נ' עבד אלכרים</w:t>
      </w:r>
      <w:r>
        <w:rPr>
          <w:rFonts w:cs="David" w:hint="cs"/>
          <w:sz w:val="24"/>
          <w:szCs w:val="24"/>
          <w:rtl/>
        </w:rPr>
        <w:t xml:space="preserve"> (19.1.14) ).</w:t>
      </w:r>
      <w:r>
        <w:rPr>
          <w:rFonts w:ascii="Times New Roman" w:hAnsi="Times New Roman" w:cs="Times New Roman"/>
          <w:sz w:val="24"/>
          <w:szCs w:val="24"/>
          <w:rtl/>
        </w:rPr>
        <w:t xml:space="preserve"> </w:t>
      </w:r>
    </w:p>
    <w:p w14:paraId="692FC27B" w14:textId="77777777" w:rsidR="00FE78E4" w:rsidRDefault="00FE78E4" w:rsidP="00FE78E4">
      <w:pPr>
        <w:pStyle w:val="a9"/>
        <w:spacing w:line="360" w:lineRule="auto"/>
        <w:jc w:val="both"/>
        <w:rPr>
          <w:rFonts w:cs="David"/>
          <w:sz w:val="24"/>
          <w:szCs w:val="24"/>
        </w:rPr>
      </w:pPr>
    </w:p>
    <w:p w14:paraId="6844D674" w14:textId="77777777" w:rsidR="00FE78E4" w:rsidRDefault="00FE78E4" w:rsidP="00FE78E4">
      <w:pPr>
        <w:pStyle w:val="a9"/>
        <w:numPr>
          <w:ilvl w:val="0"/>
          <w:numId w:val="1"/>
        </w:numPr>
        <w:spacing w:line="360" w:lineRule="auto"/>
        <w:jc w:val="both"/>
        <w:rPr>
          <w:rFonts w:cs="David"/>
          <w:sz w:val="24"/>
          <w:szCs w:val="24"/>
          <w:rtl/>
        </w:rPr>
      </w:pPr>
      <w:r>
        <w:rPr>
          <w:rFonts w:cs="David" w:hint="cs"/>
          <w:sz w:val="24"/>
          <w:szCs w:val="24"/>
          <w:rtl/>
        </w:rPr>
        <w:t xml:space="preserve">בענייננו, לנסיבות מעשי הנאשם מספר פנים מחמירים: </w:t>
      </w:r>
      <w:r>
        <w:rPr>
          <w:rFonts w:cs="David" w:hint="cs"/>
          <w:b/>
          <w:bCs/>
          <w:sz w:val="24"/>
          <w:szCs w:val="24"/>
          <w:u w:val="single"/>
          <w:rtl/>
        </w:rPr>
        <w:t>ריבוי כלי הנשק והתחמושת-</w:t>
      </w:r>
      <w:r>
        <w:rPr>
          <w:rFonts w:cs="David" w:hint="cs"/>
          <w:sz w:val="24"/>
          <w:szCs w:val="24"/>
          <w:rtl/>
        </w:rPr>
        <w:t xml:space="preserve"> הנאשם החזיק בשלושה כלי נשק - שני כלי נשק התקפיים בדמות "קרל גוסטב" ו</w:t>
      </w:r>
      <w:r>
        <w:rPr>
          <w:rFonts w:cs="David"/>
          <w:sz w:val="24"/>
          <w:szCs w:val="24"/>
        </w:rPr>
        <w:t>-M-16</w:t>
      </w:r>
      <w:r>
        <w:rPr>
          <w:rFonts w:cs="David" w:hint="cs"/>
          <w:sz w:val="24"/>
          <w:szCs w:val="24"/>
          <w:rtl/>
        </w:rPr>
        <w:t xml:space="preserve">, ואקדח ברטה גנוב לצד כמות בלתי נתפסת של תחמושת מסוגים שונים ומחסניות מתאימות. </w:t>
      </w:r>
      <w:r>
        <w:rPr>
          <w:rFonts w:cs="David" w:hint="cs"/>
          <w:b/>
          <w:bCs/>
          <w:sz w:val="24"/>
          <w:szCs w:val="24"/>
          <w:u w:val="single"/>
          <w:rtl/>
        </w:rPr>
        <w:t>משך ההחזקה</w:t>
      </w:r>
      <w:r>
        <w:rPr>
          <w:rFonts w:cs="David" w:hint="cs"/>
          <w:sz w:val="24"/>
          <w:szCs w:val="24"/>
          <w:rtl/>
        </w:rPr>
        <w:t xml:space="preserve"> - ארסנל הנשק החריג הוחזק במשך תקופה ארוכה של כ-6 שנים. ניכר שמדובר בהחזקה מתוכננת ובתחזוק מתמשך של כלי הנשק הבא לידי ביטוי בהחזקת כלים לניקוי הנשק ושימונו. </w:t>
      </w:r>
    </w:p>
    <w:p w14:paraId="33E3FDF4" w14:textId="77777777" w:rsidR="00FE78E4" w:rsidRDefault="00FE78E4" w:rsidP="00FE78E4">
      <w:pPr>
        <w:pStyle w:val="a9"/>
        <w:spacing w:line="360" w:lineRule="auto"/>
        <w:jc w:val="both"/>
        <w:rPr>
          <w:rFonts w:cs="David"/>
          <w:sz w:val="24"/>
          <w:szCs w:val="24"/>
        </w:rPr>
      </w:pPr>
    </w:p>
    <w:p w14:paraId="4C923D00"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t xml:space="preserve">היבט חמור נוסף העולה בנסיבות תיק זה הוא </w:t>
      </w:r>
      <w:r>
        <w:rPr>
          <w:rFonts w:cs="David" w:hint="cs"/>
          <w:b/>
          <w:bCs/>
          <w:sz w:val="24"/>
          <w:szCs w:val="24"/>
          <w:u w:val="single"/>
          <w:rtl/>
        </w:rPr>
        <w:t>החזקת הנשק והתחמושת בבית אחות הנאשם</w:t>
      </w:r>
      <w:r>
        <w:rPr>
          <w:rFonts w:cs="David" w:hint="cs"/>
          <w:sz w:val="24"/>
          <w:szCs w:val="24"/>
          <w:rtl/>
        </w:rPr>
        <w:t xml:space="preserve">, הנאשמת 2. הנאשם ניצל את טוב לבה של אחותו והקשר האמיץ ביניהם להפוך ביתה למקום מסתור למצבור הנשק והתחמושת שאסף. כלי הנשק הוחזקו בחדר השינה של הנאשמת ובגג, במשך שנים רבות, תוך סיכון עצום לבני ביתה ובעיקר לילדיה הקטנים. התנהלותו זו מקוממת  ומלמדת על התעלמות ואטימות משלומם ובטחונם הפיזי של בני משפחתו. </w:t>
      </w:r>
    </w:p>
    <w:p w14:paraId="213B0E28" w14:textId="77777777" w:rsidR="00FE78E4" w:rsidRDefault="00FE78E4" w:rsidP="00FE78E4">
      <w:pPr>
        <w:pStyle w:val="a9"/>
        <w:spacing w:line="360" w:lineRule="auto"/>
        <w:jc w:val="both"/>
        <w:rPr>
          <w:rFonts w:cs="David"/>
          <w:sz w:val="24"/>
          <w:szCs w:val="24"/>
        </w:rPr>
      </w:pPr>
    </w:p>
    <w:p w14:paraId="719AD03F" w14:textId="77777777" w:rsidR="00FE78E4" w:rsidRDefault="00FE78E4" w:rsidP="00FE78E4">
      <w:pPr>
        <w:pStyle w:val="a9"/>
        <w:rPr>
          <w:rFonts w:cs="David"/>
          <w:b/>
          <w:bCs/>
          <w:sz w:val="24"/>
          <w:szCs w:val="24"/>
          <w:u w:val="single"/>
          <w:rtl/>
        </w:rPr>
      </w:pPr>
      <w:r>
        <w:rPr>
          <w:rFonts w:cs="David" w:hint="cs"/>
          <w:b/>
          <w:bCs/>
          <w:sz w:val="24"/>
          <w:szCs w:val="24"/>
          <w:u w:val="single"/>
          <w:rtl/>
        </w:rPr>
        <w:t>החזקת נשק לצרכי הגנה עצמית</w:t>
      </w:r>
    </w:p>
    <w:p w14:paraId="5B33F82C" w14:textId="77777777" w:rsidR="00FE78E4" w:rsidRDefault="00FE78E4" w:rsidP="00FE78E4">
      <w:pPr>
        <w:pStyle w:val="a9"/>
        <w:numPr>
          <w:ilvl w:val="0"/>
          <w:numId w:val="1"/>
        </w:numPr>
        <w:spacing w:line="360" w:lineRule="auto"/>
        <w:jc w:val="both"/>
        <w:rPr>
          <w:rFonts w:cs="David"/>
          <w:sz w:val="24"/>
          <w:szCs w:val="24"/>
          <w:rtl/>
        </w:rPr>
      </w:pPr>
      <w:r>
        <w:rPr>
          <w:rFonts w:cs="David" w:hint="cs"/>
          <w:sz w:val="24"/>
          <w:szCs w:val="24"/>
          <w:rtl/>
        </w:rPr>
        <w:t xml:space="preserve">הרקע להחזקת הנשק אינו נתון במחלוקת. כעולה מטיעוני ההגנה, הנאשם היה נתון תחת איומים קשים נוכח קשר רומנטי שניהל עם אחרת ללא הסכמת משפחתה. ב"כ המאשימה הסכים בהגינותו לקבל טענות אלו, ואף הוסיף שנבדקו במישור המודיעיני ואוששו. עם זאת, סבור שאינן יכולות לשמש צידוק להחזקת מצבור כלי נשק, לתקופה ארוכה, ובנסיבות בהם הוחזקו. </w:t>
      </w:r>
    </w:p>
    <w:p w14:paraId="73C4906A" w14:textId="77777777" w:rsidR="00FE78E4" w:rsidRDefault="00FE78E4" w:rsidP="00FE78E4">
      <w:pPr>
        <w:pStyle w:val="a9"/>
        <w:spacing w:line="360" w:lineRule="auto"/>
        <w:jc w:val="both"/>
        <w:rPr>
          <w:rFonts w:cs="David"/>
          <w:sz w:val="24"/>
          <w:szCs w:val="24"/>
        </w:rPr>
      </w:pPr>
    </w:p>
    <w:p w14:paraId="56E529F1" w14:textId="77777777" w:rsidR="00FE78E4" w:rsidRDefault="00FE78E4" w:rsidP="007B254D">
      <w:pPr>
        <w:pStyle w:val="a9"/>
        <w:numPr>
          <w:ilvl w:val="0"/>
          <w:numId w:val="1"/>
        </w:numPr>
        <w:spacing w:line="360" w:lineRule="auto"/>
        <w:jc w:val="both"/>
        <w:rPr>
          <w:rFonts w:cs="David"/>
          <w:sz w:val="24"/>
          <w:szCs w:val="24"/>
        </w:rPr>
      </w:pPr>
      <w:r>
        <w:rPr>
          <w:rFonts w:cs="David" w:hint="cs"/>
          <w:sz w:val="24"/>
          <w:szCs w:val="24"/>
          <w:rtl/>
        </w:rPr>
        <w:t>כידוע, בעבירות הנשק מיוחסת חשיבות רבה לרקע והנסיבות אופפות ביצוען ואף סיווג חומרת העבירה נעשה בהתאם לחומרת נסיבות ביצועה, במדרג חומרה מהכבד אל הקל. (</w:t>
      </w:r>
      <w:hyperlink r:id="rId19" w:history="1">
        <w:r w:rsidR="007B254D" w:rsidRPr="007B254D">
          <w:rPr>
            <w:rFonts w:cs="David"/>
            <w:color w:val="0000FF"/>
            <w:sz w:val="24"/>
            <w:szCs w:val="24"/>
            <w:u w:val="single"/>
            <w:rtl/>
          </w:rPr>
          <w:t xml:space="preserve">ב"ש 625/82 </w:t>
        </w:r>
      </w:hyperlink>
      <w:r w:rsidR="007B254D" w:rsidRPr="007B254D">
        <w:rPr>
          <w:rFonts w:cs="David"/>
          <w:sz w:val="24"/>
          <w:szCs w:val="24"/>
          <w:u w:val="single"/>
          <w:rtl/>
        </w:rPr>
        <w:t xml:space="preserve"> </w:t>
      </w:r>
      <w:r>
        <w:rPr>
          <w:rFonts w:cs="Miriam" w:hint="cs"/>
          <w:sz w:val="24"/>
          <w:szCs w:val="24"/>
          <w:rtl/>
        </w:rPr>
        <w:t>אבו מוך נ' מדינת ישראל</w:t>
      </w:r>
      <w:r>
        <w:rPr>
          <w:rFonts w:cs="David" w:hint="cs"/>
          <w:sz w:val="24"/>
          <w:szCs w:val="24"/>
          <w:rtl/>
        </w:rPr>
        <w:t>). החזקת נשק בשל תחושת איום, ממוקמת במרכז המדרג וההתייחסות אליה מתונה יותר מהחזקת נשק למטרות פליליות או ביטחוניות.</w:t>
      </w:r>
    </w:p>
    <w:p w14:paraId="3086F112" w14:textId="77777777" w:rsidR="00FE78E4" w:rsidRDefault="00FE78E4" w:rsidP="00FE78E4">
      <w:pPr>
        <w:pStyle w:val="a9"/>
        <w:spacing w:line="360" w:lineRule="auto"/>
        <w:jc w:val="both"/>
        <w:rPr>
          <w:rFonts w:cs="David"/>
          <w:sz w:val="24"/>
          <w:szCs w:val="24"/>
        </w:rPr>
      </w:pPr>
    </w:p>
    <w:p w14:paraId="43DB164E" w14:textId="77777777" w:rsidR="00FE78E4" w:rsidRDefault="00FE78E4" w:rsidP="00FE78E4">
      <w:pPr>
        <w:pStyle w:val="a9"/>
        <w:numPr>
          <w:ilvl w:val="0"/>
          <w:numId w:val="1"/>
        </w:numPr>
        <w:spacing w:line="360" w:lineRule="auto"/>
        <w:jc w:val="both"/>
        <w:rPr>
          <w:rFonts w:cs="David"/>
          <w:sz w:val="24"/>
          <w:szCs w:val="24"/>
          <w:rtl/>
        </w:rPr>
      </w:pPr>
      <w:r>
        <w:rPr>
          <w:rFonts w:cs="David" w:hint="cs"/>
          <w:sz w:val="24"/>
          <w:szCs w:val="24"/>
          <w:rtl/>
        </w:rPr>
        <w:t xml:space="preserve">בענייננו, גם אם אלך כברת דרך לקראת הנאשם ואתחשב במטרת החזקת הנשק המוסכמת על הצדדים, הרי  שאין בנתונים אלו כדי לספק הסבר מניח את הדעת מדוע בחר הנאשם להחזיק ארסנל נשק ותחמושת, במשך תקופה ארוכה, בנסיבות המייצרות סיכון לסביבתו.  על כן מצאתי ליתן לנתון זה משקל מוגבל בלבד. </w:t>
      </w:r>
    </w:p>
    <w:p w14:paraId="46F39536" w14:textId="77777777" w:rsidR="00FE78E4" w:rsidRDefault="00FE78E4" w:rsidP="00FE78E4">
      <w:pPr>
        <w:pStyle w:val="a9"/>
        <w:rPr>
          <w:rFonts w:cs="David"/>
          <w:sz w:val="24"/>
          <w:szCs w:val="24"/>
        </w:rPr>
      </w:pPr>
    </w:p>
    <w:p w14:paraId="09B02185" w14:textId="77777777" w:rsidR="00FE78E4" w:rsidRDefault="00FE78E4" w:rsidP="00FE78E4">
      <w:pPr>
        <w:pStyle w:val="a9"/>
        <w:spacing w:line="360" w:lineRule="auto"/>
        <w:jc w:val="both"/>
        <w:rPr>
          <w:rFonts w:cs="David"/>
          <w:b/>
          <w:bCs/>
          <w:sz w:val="24"/>
          <w:szCs w:val="24"/>
          <w:u w:val="single"/>
          <w:rtl/>
        </w:rPr>
      </w:pPr>
      <w:r>
        <w:rPr>
          <w:rFonts w:cs="David" w:hint="cs"/>
          <w:b/>
          <w:bCs/>
          <w:sz w:val="24"/>
          <w:szCs w:val="24"/>
          <w:u w:val="single"/>
          <w:rtl/>
        </w:rPr>
        <w:t>קביעת מתחם העונש ההולם</w:t>
      </w:r>
    </w:p>
    <w:p w14:paraId="4502AA2E" w14:textId="77777777" w:rsidR="00FE78E4" w:rsidRDefault="00FE78E4" w:rsidP="00FE78E4">
      <w:pPr>
        <w:pStyle w:val="a9"/>
        <w:numPr>
          <w:ilvl w:val="0"/>
          <w:numId w:val="1"/>
        </w:numPr>
        <w:spacing w:line="360" w:lineRule="auto"/>
        <w:jc w:val="both"/>
        <w:rPr>
          <w:rFonts w:cs="David"/>
          <w:b/>
          <w:bCs/>
          <w:sz w:val="24"/>
          <w:szCs w:val="24"/>
        </w:rPr>
      </w:pPr>
      <w:r>
        <w:rPr>
          <w:rFonts w:cs="David" w:hint="cs"/>
          <w:sz w:val="24"/>
          <w:szCs w:val="24"/>
          <w:rtl/>
        </w:rPr>
        <w:t xml:space="preserve">מגמת ההחמרה משתקפת גם בעונשים שמוטלים על המבצעים עבירות בנשק. כך נקבע </w:t>
      </w:r>
      <w:r>
        <w:rPr>
          <w:rFonts w:cs="David" w:hint="cs"/>
          <w:sz w:val="24"/>
          <w:szCs w:val="24"/>
          <w:u w:val="single"/>
          <w:rtl/>
        </w:rPr>
        <w:t>ב</w:t>
      </w:r>
      <w:hyperlink r:id="rId20" w:history="1">
        <w:r w:rsidR="00A8388A" w:rsidRPr="00A8388A">
          <w:rPr>
            <w:rFonts w:cs="David" w:hint="cs"/>
            <w:color w:val="0000FF"/>
            <w:sz w:val="24"/>
            <w:szCs w:val="24"/>
            <w:u w:val="single"/>
            <w:rtl/>
          </w:rPr>
          <w:t>רע</w:t>
        </w:r>
        <w:r w:rsidR="00A8388A" w:rsidRPr="00A8388A">
          <w:rPr>
            <w:rFonts w:cs="David"/>
            <w:color w:val="0000FF"/>
            <w:sz w:val="24"/>
            <w:szCs w:val="24"/>
            <w:u w:val="single"/>
            <w:rtl/>
          </w:rPr>
          <w:t>"</w:t>
        </w:r>
        <w:r w:rsidR="00A8388A" w:rsidRPr="00A8388A">
          <w:rPr>
            <w:rFonts w:cs="David" w:hint="cs"/>
            <w:color w:val="0000FF"/>
            <w:sz w:val="24"/>
            <w:szCs w:val="24"/>
            <w:u w:val="single"/>
            <w:rtl/>
          </w:rPr>
          <w:t>פ</w:t>
        </w:r>
        <w:r w:rsidR="00A8388A" w:rsidRPr="00A8388A">
          <w:rPr>
            <w:rFonts w:cs="David"/>
            <w:color w:val="0000FF"/>
            <w:sz w:val="24"/>
            <w:szCs w:val="24"/>
            <w:u w:val="single"/>
            <w:rtl/>
          </w:rPr>
          <w:t xml:space="preserve"> 2718/04</w:t>
        </w:r>
      </w:hyperlink>
      <w:r>
        <w:rPr>
          <w:rFonts w:cs="David" w:hint="cs"/>
          <w:sz w:val="24"/>
          <w:szCs w:val="24"/>
          <w:u w:val="single"/>
          <w:rtl/>
        </w:rPr>
        <w:t xml:space="preserve"> </w:t>
      </w:r>
      <w:r>
        <w:rPr>
          <w:rFonts w:cs="Miriam" w:hint="cs"/>
          <w:sz w:val="24"/>
          <w:szCs w:val="24"/>
          <w:rtl/>
        </w:rPr>
        <w:t>אבו דאחל  נ' מדינת ישראל</w:t>
      </w:r>
      <w:r>
        <w:rPr>
          <w:rFonts w:cs="David" w:hint="cs"/>
          <w:sz w:val="24"/>
          <w:szCs w:val="24"/>
          <w:rtl/>
        </w:rPr>
        <w:t xml:space="preserve"> כי "</w:t>
      </w:r>
      <w:r>
        <w:rPr>
          <w:rFonts w:cs="David" w:hint="cs"/>
          <w:b/>
          <w:bCs/>
          <w:sz w:val="24"/>
          <w:szCs w:val="24"/>
          <w:rtl/>
        </w:rPr>
        <w:t>הסכנה הטמונה בעבירה חמורה של החזקת נשק מצדיקה הטלת עונשי מאסר לריצוי בפועל גם על מי שזו עבירתו הראשונה. בבוא בית המשפט לשקול את הענישה מסוג זה, עליו לתת משקל נכבד יותר לאינטרס הציבורי ולצורך להרתיע עבריינים בכח מלבצע עבירות דומות, על פני נסיבות האישיות של העבריין".</w:t>
      </w:r>
      <w:r>
        <w:rPr>
          <w:rFonts w:cs="David" w:hint="cs"/>
          <w:sz w:val="24"/>
          <w:szCs w:val="24"/>
          <w:rtl/>
        </w:rPr>
        <w:t xml:space="preserve"> בפסיקה רבה וענפה נגזר על מחזיקי נשק, חלקם נטולי עבר פלילי, מאסר מאחורי סורג ובריח שנע בין מספר חודשים ועד 18 חודשים.</w:t>
      </w:r>
    </w:p>
    <w:p w14:paraId="12478FC3" w14:textId="77777777" w:rsidR="00FE78E4" w:rsidRDefault="00FE78E4" w:rsidP="00FE78E4">
      <w:pPr>
        <w:pStyle w:val="a9"/>
        <w:rPr>
          <w:rFonts w:cs="David"/>
          <w:sz w:val="24"/>
          <w:szCs w:val="24"/>
        </w:rPr>
      </w:pPr>
    </w:p>
    <w:p w14:paraId="5E62F8A4" w14:textId="77777777" w:rsidR="00FE78E4" w:rsidRDefault="00FE78E4" w:rsidP="00FE78E4">
      <w:pPr>
        <w:pStyle w:val="a9"/>
        <w:numPr>
          <w:ilvl w:val="0"/>
          <w:numId w:val="1"/>
        </w:numPr>
        <w:spacing w:line="360" w:lineRule="auto"/>
        <w:jc w:val="both"/>
        <w:rPr>
          <w:rFonts w:cs="David"/>
          <w:sz w:val="24"/>
          <w:szCs w:val="24"/>
          <w:rtl/>
        </w:rPr>
      </w:pPr>
      <w:r>
        <w:rPr>
          <w:rFonts w:cs="David" w:hint="cs"/>
          <w:b/>
          <w:bCs/>
          <w:sz w:val="24"/>
          <w:szCs w:val="24"/>
          <w:rtl/>
        </w:rPr>
        <w:t>ריבוי כלי הנשק</w:t>
      </w:r>
      <w:r>
        <w:rPr>
          <w:rFonts w:cs="David" w:hint="cs"/>
          <w:sz w:val="24"/>
          <w:szCs w:val="24"/>
          <w:rtl/>
        </w:rPr>
        <w:t xml:space="preserve"> משליך אף הוא משמעותית על רמת הענישה. ב</w:t>
      </w:r>
      <w:hyperlink r:id="rId21" w:history="1">
        <w:r w:rsidR="00A8388A" w:rsidRPr="00A8388A">
          <w:rPr>
            <w:rFonts w:cs="David" w:hint="cs"/>
            <w:color w:val="0000FF"/>
            <w:sz w:val="24"/>
            <w:szCs w:val="24"/>
            <w:u w:val="single"/>
            <w:rtl/>
          </w:rPr>
          <w:t>עפ</w:t>
        </w:r>
        <w:r w:rsidR="00A8388A" w:rsidRPr="00A8388A">
          <w:rPr>
            <w:rFonts w:cs="David"/>
            <w:color w:val="0000FF"/>
            <w:sz w:val="24"/>
            <w:szCs w:val="24"/>
            <w:u w:val="single"/>
            <w:rtl/>
          </w:rPr>
          <w:t>"</w:t>
        </w:r>
        <w:r w:rsidR="00A8388A" w:rsidRPr="00A8388A">
          <w:rPr>
            <w:rFonts w:cs="David" w:hint="cs"/>
            <w:color w:val="0000FF"/>
            <w:sz w:val="24"/>
            <w:szCs w:val="24"/>
            <w:u w:val="single"/>
            <w:rtl/>
          </w:rPr>
          <w:t>ג</w:t>
        </w:r>
        <w:r w:rsidR="00A8388A" w:rsidRPr="00A8388A">
          <w:rPr>
            <w:rFonts w:cs="David"/>
            <w:color w:val="0000FF"/>
            <w:sz w:val="24"/>
            <w:szCs w:val="24"/>
            <w:u w:val="single"/>
            <w:rtl/>
          </w:rPr>
          <w:t xml:space="preserve"> (</w:t>
        </w:r>
        <w:r w:rsidR="00A8388A" w:rsidRPr="00A8388A">
          <w:rPr>
            <w:rFonts w:cs="David" w:hint="cs"/>
            <w:color w:val="0000FF"/>
            <w:sz w:val="24"/>
            <w:szCs w:val="24"/>
            <w:u w:val="single"/>
            <w:rtl/>
          </w:rPr>
          <w:t>מח</w:t>
        </w:r>
        <w:r w:rsidR="00A8388A" w:rsidRPr="00A8388A">
          <w:rPr>
            <w:rFonts w:cs="David"/>
            <w:color w:val="0000FF"/>
            <w:sz w:val="24"/>
            <w:szCs w:val="24"/>
            <w:u w:val="single"/>
            <w:rtl/>
          </w:rPr>
          <w:t>-</w:t>
        </w:r>
        <w:r w:rsidR="00A8388A" w:rsidRPr="00A8388A">
          <w:rPr>
            <w:rFonts w:cs="David" w:hint="cs"/>
            <w:color w:val="0000FF"/>
            <w:sz w:val="24"/>
            <w:szCs w:val="24"/>
            <w:u w:val="single"/>
            <w:rtl/>
          </w:rPr>
          <w:t>מרכז</w:t>
        </w:r>
        <w:r w:rsidR="00A8388A" w:rsidRPr="00A8388A">
          <w:rPr>
            <w:rFonts w:cs="David"/>
            <w:color w:val="0000FF"/>
            <w:sz w:val="24"/>
            <w:szCs w:val="24"/>
            <w:u w:val="single"/>
            <w:rtl/>
          </w:rPr>
          <w:t>) 27417-11-15</w:t>
        </w:r>
      </w:hyperlink>
      <w:r>
        <w:rPr>
          <w:rFonts w:cs="David" w:hint="cs"/>
          <w:sz w:val="24"/>
          <w:szCs w:val="24"/>
          <w:u w:val="single"/>
          <w:rtl/>
        </w:rPr>
        <w:t xml:space="preserve"> </w:t>
      </w:r>
      <w:r>
        <w:rPr>
          <w:rFonts w:cs="Miriam" w:hint="cs"/>
          <w:sz w:val="24"/>
          <w:szCs w:val="24"/>
          <w:rtl/>
        </w:rPr>
        <w:t>מדינת ישראל נ' עבד אל רחים</w:t>
      </w:r>
      <w:r>
        <w:rPr>
          <w:rFonts w:cs="David" w:hint="cs"/>
          <w:sz w:val="24"/>
          <w:szCs w:val="24"/>
          <w:rtl/>
        </w:rPr>
        <w:t>, נדון עניינו של נאשם נעדר עבר פלילי שהחזיק ברובה, תת מקלע "עוזי" ותחמושת מתאימה, ונגזרו עליו 14 חודשי מאסר. בית המשפט המחוזי החמיר בעונשו, קבע מתחם ענישה שנע בין 18-36 חודשי מאסר והעמיד עונשו על 20 חודשי מאסר. עוד קבע, בדברים נכוחים שרלוונטיים גם לעניננו: כי "</w:t>
      </w:r>
      <w:r>
        <w:rPr>
          <w:rFonts w:cs="David" w:hint="cs"/>
          <w:b/>
          <w:bCs/>
          <w:sz w:val="24"/>
          <w:szCs w:val="24"/>
          <w:rtl/>
        </w:rPr>
        <w:t>מעשהו של המשיב הוא מעשה חמור אשר טומן בחובו סכנה לשלום הציבור וביטחונו ועל בתי המשפט לגלות גישה מחמירה כלפי מי שמחזיק בכלי נשק ותחמושת שנועדה לשימוש בהם, כפ שעשה המשיב. מדובר בהחזקת נשק שהיא עבירה שניתן להגדיר אותה כ"מכת מדינה" ובוודאי כ"מכת אזור" שפגיעתה בשלום הציבור וביטחונו הוא פגיעה קשה גם אם לא הוכח שנעשה שימוש פלילי בכלי הנשק שהוחזקו ע"י המשיב"</w:t>
      </w:r>
      <w:r>
        <w:rPr>
          <w:rFonts w:cs="David" w:hint="cs"/>
          <w:sz w:val="24"/>
          <w:szCs w:val="24"/>
          <w:rtl/>
        </w:rPr>
        <w:t xml:space="preserve"> (שם, עמ' 4 לפסה"ד). </w:t>
      </w:r>
    </w:p>
    <w:p w14:paraId="15E98C63" w14:textId="77777777" w:rsidR="00FE78E4" w:rsidRDefault="00FE78E4" w:rsidP="00FE78E4">
      <w:pPr>
        <w:pStyle w:val="a9"/>
        <w:spacing w:line="360" w:lineRule="auto"/>
        <w:jc w:val="both"/>
        <w:rPr>
          <w:rFonts w:cs="David"/>
          <w:sz w:val="24"/>
          <w:szCs w:val="24"/>
        </w:rPr>
      </w:pPr>
    </w:p>
    <w:p w14:paraId="3BBB7F84"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t>הצדדים הקדישו חלק מטיעוניהם לגזר דיני ב</w:t>
      </w:r>
      <w:hyperlink r:id="rId22" w:history="1">
        <w:r w:rsidR="00A8388A" w:rsidRPr="00A8388A">
          <w:rPr>
            <w:rFonts w:cs="David" w:hint="cs"/>
            <w:color w:val="0000FF"/>
            <w:sz w:val="24"/>
            <w:szCs w:val="24"/>
            <w:u w:val="single"/>
            <w:rtl/>
          </w:rPr>
          <w:t>ת</w:t>
        </w:r>
        <w:r w:rsidR="00A8388A" w:rsidRPr="00A8388A">
          <w:rPr>
            <w:rFonts w:cs="David"/>
            <w:color w:val="0000FF"/>
            <w:sz w:val="24"/>
            <w:szCs w:val="24"/>
            <w:u w:val="single"/>
            <w:rtl/>
          </w:rPr>
          <w:t>"</w:t>
        </w:r>
        <w:r w:rsidR="00A8388A" w:rsidRPr="00A8388A">
          <w:rPr>
            <w:rFonts w:cs="David" w:hint="cs"/>
            <w:color w:val="0000FF"/>
            <w:sz w:val="24"/>
            <w:szCs w:val="24"/>
            <w:u w:val="single"/>
            <w:rtl/>
          </w:rPr>
          <w:t>פ</w:t>
        </w:r>
        <w:r w:rsidR="00A8388A" w:rsidRPr="00A8388A">
          <w:rPr>
            <w:rFonts w:cs="David"/>
            <w:color w:val="0000FF"/>
            <w:sz w:val="24"/>
            <w:szCs w:val="24"/>
            <w:u w:val="single"/>
            <w:rtl/>
          </w:rPr>
          <w:t xml:space="preserve"> 65958-12-15</w:t>
        </w:r>
      </w:hyperlink>
      <w:r>
        <w:rPr>
          <w:rFonts w:cs="David" w:hint="cs"/>
          <w:sz w:val="24"/>
          <w:szCs w:val="24"/>
          <w:u w:val="single"/>
          <w:rtl/>
        </w:rPr>
        <w:t xml:space="preserve"> </w:t>
      </w:r>
      <w:r>
        <w:rPr>
          <w:rFonts w:cs="Miriam" w:hint="cs"/>
          <w:sz w:val="24"/>
          <w:szCs w:val="24"/>
          <w:rtl/>
        </w:rPr>
        <w:t>מדינת ישראל נ' נור חאג' יחיא.</w:t>
      </w:r>
      <w:r>
        <w:rPr>
          <w:rFonts w:cs="David" w:hint="cs"/>
          <w:sz w:val="24"/>
          <w:szCs w:val="24"/>
          <w:rtl/>
        </w:rPr>
        <w:t xml:space="preserve"> במקרה זה נדון עניינו של נאשם שהחזיק במצבור כלי נשק דומה לזה שלפנינו. המדובר היה בנאשם נעדר עבר פלילי, שתסקירו חיובי אך נטול המלצה טיפולית. בגזר הדין קבעתי מתחם ענישה שנע בין 18-36 חודשי מאסר וגזרתי על הנאשם 20 חודשי מאסר. על החלטתי זו הוגש ערעור מטעם ההגנה (</w:t>
      </w:r>
      <w:r>
        <w:rPr>
          <w:rFonts w:cs="David" w:hint="cs"/>
          <w:sz w:val="24"/>
          <w:szCs w:val="24"/>
          <w:u w:val="single"/>
          <w:rtl/>
        </w:rPr>
        <w:t>עפ"ג (מח-מרכז), 29487-07-17</w:t>
      </w:r>
      <w:r>
        <w:rPr>
          <w:rFonts w:cs="David" w:hint="cs"/>
          <w:sz w:val="24"/>
          <w:szCs w:val="24"/>
          <w:rtl/>
        </w:rPr>
        <w:t xml:space="preserve">, </w:t>
      </w:r>
      <w:r>
        <w:rPr>
          <w:rFonts w:cs="Miriam" w:hint="cs"/>
          <w:sz w:val="24"/>
          <w:szCs w:val="24"/>
          <w:rtl/>
        </w:rPr>
        <w:t>חאג' יחיא נ' מדינת ישראל</w:t>
      </w:r>
      <w:r>
        <w:rPr>
          <w:rFonts w:cs="David" w:hint="cs"/>
          <w:sz w:val="24"/>
          <w:szCs w:val="24"/>
          <w:rtl/>
        </w:rPr>
        <w:t xml:space="preserve">, מיום 24.10.17) שנדחה. בפסק דינו  מצא בית המשפט המחוזי, שמתחם הענישה שנקבע הינו צודק והולם מדיניות הפסיקה (לקביעה זו הסכימה גם ב"כ המדינה, שם עמ' 6).  </w:t>
      </w:r>
    </w:p>
    <w:p w14:paraId="2317C4B8" w14:textId="77777777" w:rsidR="00FE78E4" w:rsidRDefault="00FE78E4" w:rsidP="00FE78E4">
      <w:pPr>
        <w:pStyle w:val="a9"/>
        <w:spacing w:line="360" w:lineRule="auto"/>
        <w:jc w:val="both"/>
        <w:rPr>
          <w:rFonts w:cs="David"/>
          <w:sz w:val="24"/>
          <w:szCs w:val="24"/>
        </w:rPr>
      </w:pPr>
    </w:p>
    <w:p w14:paraId="61E2918C"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t xml:space="preserve">על כן, לאחר שבחנתי נסיבות מעשי הנאשם, משך ההחזקה והפגיעה החמורה בערכים המוגנים, </w:t>
      </w:r>
      <w:r>
        <w:rPr>
          <w:rFonts w:cs="David" w:hint="cs"/>
          <w:b/>
          <w:bCs/>
          <w:sz w:val="24"/>
          <w:szCs w:val="24"/>
          <w:rtl/>
        </w:rPr>
        <w:t>מצאתי לקבוע מתחם ענישה שנע בין 20-40 חודשי מאסר</w:t>
      </w:r>
      <w:r>
        <w:rPr>
          <w:rFonts w:cs="David" w:hint="cs"/>
          <w:sz w:val="24"/>
          <w:szCs w:val="24"/>
          <w:rtl/>
        </w:rPr>
        <w:t xml:space="preserve">. </w:t>
      </w:r>
    </w:p>
    <w:p w14:paraId="4BF6855F" w14:textId="77777777" w:rsidR="00FE78E4" w:rsidRDefault="00FE78E4" w:rsidP="00FE78E4">
      <w:pPr>
        <w:pStyle w:val="a9"/>
        <w:spacing w:line="360" w:lineRule="auto"/>
        <w:jc w:val="both"/>
        <w:rPr>
          <w:rFonts w:cs="David"/>
          <w:sz w:val="24"/>
          <w:szCs w:val="24"/>
          <w:u w:val="single"/>
        </w:rPr>
      </w:pPr>
    </w:p>
    <w:p w14:paraId="4B675B5D" w14:textId="77777777" w:rsidR="00FE78E4" w:rsidRDefault="00FE78E4" w:rsidP="00FE78E4">
      <w:pPr>
        <w:spacing w:line="360" w:lineRule="auto"/>
        <w:jc w:val="both"/>
        <w:rPr>
          <w:rtl/>
        </w:rPr>
      </w:pPr>
      <w:r>
        <w:rPr>
          <w:rFonts w:hint="cs"/>
          <w:b/>
          <w:bCs/>
          <w:u w:val="single"/>
          <w:rtl/>
        </w:rPr>
        <w:t>עתירת ההגנה לסטייה ממתחם הענישה לצרכי שיקום</w:t>
      </w:r>
    </w:p>
    <w:p w14:paraId="5728CE0F" w14:textId="77777777" w:rsidR="00FE78E4" w:rsidRDefault="00FE78E4" w:rsidP="00FE78E4">
      <w:pPr>
        <w:pStyle w:val="a9"/>
        <w:numPr>
          <w:ilvl w:val="0"/>
          <w:numId w:val="1"/>
        </w:numPr>
        <w:spacing w:line="360" w:lineRule="auto"/>
        <w:ind w:left="360"/>
        <w:jc w:val="both"/>
        <w:rPr>
          <w:rFonts w:cs="David"/>
          <w:sz w:val="24"/>
          <w:szCs w:val="24"/>
          <w:rtl/>
        </w:rPr>
      </w:pPr>
      <w:r>
        <w:rPr>
          <w:rFonts w:cs="David" w:hint="cs"/>
          <w:sz w:val="24"/>
          <w:szCs w:val="24"/>
          <w:rtl/>
        </w:rPr>
        <w:t xml:space="preserve">עתה, משנקבע מתחם הענישה, יש להמשיך ולבחון עתירת ההגנה לחרוג ממנו מטעמי שיקום ובהתאם להוראת </w:t>
      </w:r>
      <w:hyperlink r:id="rId23" w:history="1">
        <w:r w:rsidR="0044663C" w:rsidRPr="0044663C">
          <w:rPr>
            <w:rFonts w:cs="David" w:hint="cs"/>
            <w:color w:val="0000FF"/>
            <w:sz w:val="24"/>
            <w:szCs w:val="24"/>
            <w:u w:val="single"/>
            <w:rtl/>
          </w:rPr>
          <w:t>סעיף</w:t>
        </w:r>
        <w:r w:rsidR="0044663C" w:rsidRPr="0044663C">
          <w:rPr>
            <w:rFonts w:cs="David"/>
            <w:color w:val="0000FF"/>
            <w:sz w:val="24"/>
            <w:szCs w:val="24"/>
            <w:u w:val="single"/>
            <w:rtl/>
          </w:rPr>
          <w:t xml:space="preserve"> 40</w:t>
        </w:r>
        <w:r w:rsidR="0044663C" w:rsidRPr="0044663C">
          <w:rPr>
            <w:rFonts w:cs="David" w:hint="cs"/>
            <w:color w:val="0000FF"/>
            <w:sz w:val="24"/>
            <w:szCs w:val="24"/>
            <w:u w:val="single"/>
            <w:rtl/>
          </w:rPr>
          <w:t>ד</w:t>
        </w:r>
        <w:r w:rsidR="0044663C" w:rsidRPr="0044663C">
          <w:rPr>
            <w:rFonts w:cs="David"/>
            <w:color w:val="0000FF"/>
            <w:sz w:val="24"/>
            <w:szCs w:val="24"/>
            <w:u w:val="single"/>
            <w:rtl/>
          </w:rPr>
          <w:t>'(</w:t>
        </w:r>
        <w:r w:rsidR="0044663C" w:rsidRPr="0044663C">
          <w:rPr>
            <w:rFonts w:cs="David" w:hint="cs"/>
            <w:color w:val="0000FF"/>
            <w:sz w:val="24"/>
            <w:szCs w:val="24"/>
            <w:u w:val="single"/>
            <w:rtl/>
          </w:rPr>
          <w:t>א</w:t>
        </w:r>
        <w:r w:rsidR="0044663C" w:rsidRPr="0044663C">
          <w:rPr>
            <w:rFonts w:cs="David"/>
            <w:color w:val="0000FF"/>
            <w:sz w:val="24"/>
            <w:szCs w:val="24"/>
            <w:u w:val="single"/>
            <w:rtl/>
          </w:rPr>
          <w:t>)</w:t>
        </w:r>
      </w:hyperlink>
      <w:r>
        <w:rPr>
          <w:rFonts w:cs="David" w:hint="cs"/>
          <w:sz w:val="24"/>
          <w:szCs w:val="24"/>
          <w:rtl/>
        </w:rPr>
        <w:t xml:space="preserve"> ל</w:t>
      </w:r>
      <w:hyperlink r:id="rId24" w:history="1">
        <w:r w:rsidR="00A8388A" w:rsidRPr="00A8388A">
          <w:rPr>
            <w:rFonts w:cs="David" w:hint="cs"/>
            <w:color w:val="0000FF"/>
            <w:sz w:val="24"/>
            <w:szCs w:val="24"/>
            <w:u w:val="single"/>
            <w:rtl/>
          </w:rPr>
          <w:t>חוק</w:t>
        </w:r>
        <w:r w:rsidR="00A8388A" w:rsidRPr="00A8388A">
          <w:rPr>
            <w:rFonts w:cs="David"/>
            <w:color w:val="0000FF"/>
            <w:sz w:val="24"/>
            <w:szCs w:val="24"/>
            <w:u w:val="single"/>
            <w:rtl/>
          </w:rPr>
          <w:t xml:space="preserve"> </w:t>
        </w:r>
        <w:r w:rsidR="00A8388A" w:rsidRPr="00A8388A">
          <w:rPr>
            <w:rFonts w:cs="David" w:hint="cs"/>
            <w:color w:val="0000FF"/>
            <w:sz w:val="24"/>
            <w:szCs w:val="24"/>
            <w:u w:val="single"/>
            <w:rtl/>
          </w:rPr>
          <w:t>העונשין</w:t>
        </w:r>
      </w:hyperlink>
      <w:r>
        <w:rPr>
          <w:rFonts w:cs="David" w:hint="cs"/>
          <w:sz w:val="24"/>
          <w:szCs w:val="24"/>
          <w:rtl/>
        </w:rPr>
        <w:t xml:space="preserve">.  </w:t>
      </w:r>
      <w:hyperlink r:id="rId25" w:history="1">
        <w:r w:rsidR="0044663C" w:rsidRPr="0044663C">
          <w:rPr>
            <w:rFonts w:cs="David" w:hint="cs"/>
            <w:color w:val="0000FF"/>
            <w:sz w:val="24"/>
            <w:szCs w:val="24"/>
            <w:u w:val="single"/>
            <w:rtl/>
          </w:rPr>
          <w:t>סעיף</w:t>
        </w:r>
        <w:r w:rsidR="0044663C" w:rsidRPr="0044663C">
          <w:rPr>
            <w:rFonts w:cs="David"/>
            <w:color w:val="0000FF"/>
            <w:sz w:val="24"/>
            <w:szCs w:val="24"/>
            <w:u w:val="single"/>
            <w:rtl/>
          </w:rPr>
          <w:t xml:space="preserve"> 40</w:t>
        </w:r>
        <w:r w:rsidR="0044663C" w:rsidRPr="0044663C">
          <w:rPr>
            <w:rFonts w:cs="David" w:hint="cs"/>
            <w:color w:val="0000FF"/>
            <w:sz w:val="24"/>
            <w:szCs w:val="24"/>
            <w:u w:val="single"/>
            <w:rtl/>
          </w:rPr>
          <w:t>ד</w:t>
        </w:r>
        <w:r w:rsidR="0044663C" w:rsidRPr="0044663C">
          <w:rPr>
            <w:rFonts w:cs="David"/>
            <w:color w:val="0000FF"/>
            <w:sz w:val="24"/>
            <w:szCs w:val="24"/>
            <w:u w:val="single"/>
            <w:rtl/>
          </w:rPr>
          <w:t>'(</w:t>
        </w:r>
        <w:r w:rsidR="0044663C" w:rsidRPr="0044663C">
          <w:rPr>
            <w:rFonts w:cs="David" w:hint="cs"/>
            <w:color w:val="0000FF"/>
            <w:sz w:val="24"/>
            <w:szCs w:val="24"/>
            <w:u w:val="single"/>
            <w:rtl/>
          </w:rPr>
          <w:t>א</w:t>
        </w:r>
        <w:r w:rsidR="0044663C" w:rsidRPr="0044663C">
          <w:rPr>
            <w:rFonts w:cs="David"/>
            <w:color w:val="0000FF"/>
            <w:sz w:val="24"/>
            <w:szCs w:val="24"/>
            <w:u w:val="single"/>
            <w:rtl/>
          </w:rPr>
          <w:t>)</w:t>
        </w:r>
      </w:hyperlink>
      <w:r>
        <w:rPr>
          <w:rFonts w:cs="David" w:hint="cs"/>
          <w:sz w:val="24"/>
          <w:szCs w:val="24"/>
          <w:rtl/>
        </w:rPr>
        <w:t xml:space="preserve"> ל</w:t>
      </w:r>
      <w:hyperlink r:id="rId26" w:history="1">
        <w:r w:rsidR="00A8388A" w:rsidRPr="00A8388A">
          <w:rPr>
            <w:rFonts w:cs="David" w:hint="cs"/>
            <w:color w:val="0000FF"/>
            <w:sz w:val="24"/>
            <w:szCs w:val="24"/>
            <w:u w:val="single"/>
            <w:rtl/>
          </w:rPr>
          <w:t>חוק</w:t>
        </w:r>
        <w:r w:rsidR="00A8388A" w:rsidRPr="00A8388A">
          <w:rPr>
            <w:rFonts w:cs="David"/>
            <w:color w:val="0000FF"/>
            <w:sz w:val="24"/>
            <w:szCs w:val="24"/>
            <w:u w:val="single"/>
            <w:rtl/>
          </w:rPr>
          <w:t xml:space="preserve"> </w:t>
        </w:r>
        <w:r w:rsidR="00A8388A" w:rsidRPr="00A8388A">
          <w:rPr>
            <w:rFonts w:cs="David" w:hint="cs"/>
            <w:color w:val="0000FF"/>
            <w:sz w:val="24"/>
            <w:szCs w:val="24"/>
            <w:u w:val="single"/>
            <w:rtl/>
          </w:rPr>
          <w:t>העונשין</w:t>
        </w:r>
      </w:hyperlink>
      <w:r>
        <w:rPr>
          <w:rFonts w:cs="David" w:hint="cs"/>
          <w:sz w:val="24"/>
          <w:szCs w:val="24"/>
          <w:rtl/>
        </w:rPr>
        <w:t xml:space="preserve">  מורה כך: "</w:t>
      </w:r>
      <w:r>
        <w:rPr>
          <w:rFonts w:cs="David" w:hint="cs"/>
          <w:b/>
          <w:bCs/>
          <w:sz w:val="24"/>
          <w:szCs w:val="24"/>
          <w:rtl/>
        </w:rPr>
        <w:t xml:space="preserve">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סעיפים 82 או 86 או לפי </w:t>
      </w:r>
      <w:hyperlink r:id="rId27" w:history="1">
        <w:r w:rsidR="00A8388A" w:rsidRPr="00A8388A">
          <w:rPr>
            <w:rFonts w:cs="David" w:hint="cs"/>
            <w:b/>
            <w:bCs/>
            <w:color w:val="0000FF"/>
            <w:sz w:val="24"/>
            <w:szCs w:val="24"/>
            <w:u w:val="single"/>
            <w:rtl/>
          </w:rPr>
          <w:t>פקודת</w:t>
        </w:r>
        <w:r w:rsidR="00A8388A" w:rsidRPr="00A8388A">
          <w:rPr>
            <w:rFonts w:cs="David"/>
            <w:b/>
            <w:bCs/>
            <w:color w:val="0000FF"/>
            <w:sz w:val="24"/>
            <w:szCs w:val="24"/>
            <w:u w:val="single"/>
            <w:rtl/>
          </w:rPr>
          <w:t xml:space="preserve"> </w:t>
        </w:r>
        <w:r w:rsidR="00A8388A" w:rsidRPr="00A8388A">
          <w:rPr>
            <w:rFonts w:cs="David" w:hint="cs"/>
            <w:b/>
            <w:bCs/>
            <w:color w:val="0000FF"/>
            <w:sz w:val="24"/>
            <w:szCs w:val="24"/>
            <w:u w:val="single"/>
            <w:rtl/>
          </w:rPr>
          <w:t>המבחן</w:t>
        </w:r>
      </w:hyperlink>
      <w:r>
        <w:rPr>
          <w:rFonts w:cs="David" w:hint="cs"/>
          <w:b/>
          <w:bCs/>
          <w:sz w:val="24"/>
          <w:szCs w:val="24"/>
          <w:rtl/>
        </w:rPr>
        <w:t xml:space="preserve"> [נוסח חדש], התשכ"ט-1969</w:t>
      </w:r>
      <w:r>
        <w:rPr>
          <w:rFonts w:cs="David" w:hint="cs"/>
          <w:sz w:val="24"/>
          <w:szCs w:val="24"/>
          <w:rtl/>
        </w:rPr>
        <w:t xml:space="preserve">." </w:t>
      </w:r>
    </w:p>
    <w:p w14:paraId="5375F608" w14:textId="77777777" w:rsidR="00FE78E4" w:rsidRDefault="00FE78E4" w:rsidP="00FE78E4">
      <w:pPr>
        <w:pStyle w:val="a9"/>
        <w:rPr>
          <w:rFonts w:cs="David"/>
          <w:sz w:val="24"/>
          <w:szCs w:val="24"/>
        </w:rPr>
      </w:pPr>
    </w:p>
    <w:p w14:paraId="6F6C6FEA" w14:textId="77777777" w:rsidR="00FE78E4" w:rsidRDefault="00FE78E4" w:rsidP="00FE78E4">
      <w:pPr>
        <w:pStyle w:val="a9"/>
        <w:numPr>
          <w:ilvl w:val="0"/>
          <w:numId w:val="1"/>
        </w:numPr>
        <w:spacing w:line="360" w:lineRule="auto"/>
        <w:jc w:val="both"/>
        <w:rPr>
          <w:rFonts w:cs="David"/>
          <w:sz w:val="24"/>
          <w:szCs w:val="24"/>
          <w:rtl/>
        </w:rPr>
      </w:pPr>
      <w:r>
        <w:rPr>
          <w:rFonts w:cs="David" w:hint="cs"/>
          <w:sz w:val="24"/>
          <w:szCs w:val="24"/>
          <w:rtl/>
        </w:rPr>
        <w:t xml:space="preserve">התשובה לשאלה אילו מן המקרים ייחשבו  מקרי שיקום כמשמעותו </w:t>
      </w:r>
      <w:hyperlink r:id="rId28" w:history="1">
        <w:r w:rsidR="0044663C" w:rsidRPr="0044663C">
          <w:rPr>
            <w:rFonts w:cs="David" w:hint="cs"/>
            <w:color w:val="0000FF"/>
            <w:sz w:val="24"/>
            <w:szCs w:val="24"/>
            <w:u w:val="single"/>
            <w:rtl/>
          </w:rPr>
          <w:t>בסעיף</w:t>
        </w:r>
        <w:r w:rsidR="0044663C" w:rsidRPr="0044663C">
          <w:rPr>
            <w:rFonts w:cs="David"/>
            <w:color w:val="0000FF"/>
            <w:sz w:val="24"/>
            <w:szCs w:val="24"/>
            <w:u w:val="single"/>
            <w:rtl/>
          </w:rPr>
          <w:t xml:space="preserve"> 40</w:t>
        </w:r>
        <w:r w:rsidR="0044663C" w:rsidRPr="0044663C">
          <w:rPr>
            <w:rFonts w:cs="David" w:hint="cs"/>
            <w:color w:val="0000FF"/>
            <w:sz w:val="24"/>
            <w:szCs w:val="24"/>
            <w:u w:val="single"/>
            <w:rtl/>
          </w:rPr>
          <w:t>ד</w:t>
        </w:r>
        <w:r w:rsidR="0044663C" w:rsidRPr="0044663C">
          <w:rPr>
            <w:rFonts w:cs="David"/>
            <w:color w:val="0000FF"/>
            <w:sz w:val="24"/>
            <w:szCs w:val="24"/>
            <w:u w:val="single"/>
            <w:rtl/>
          </w:rPr>
          <w:t>'</w:t>
        </w:r>
      </w:hyperlink>
      <w:r>
        <w:rPr>
          <w:rFonts w:cs="David" w:hint="cs"/>
          <w:sz w:val="24"/>
          <w:szCs w:val="24"/>
          <w:rtl/>
        </w:rPr>
        <w:t xml:space="preserve"> לחוק ואילו לאו מורכבת ותלויה במספר פרמטרים, בין היתר חומרת העבירה, נסיבות הנאשם, טיבו של הליך השיקום והסיכון להישנות עבירות. לשון </w:t>
      </w:r>
      <w:hyperlink r:id="rId29" w:history="1">
        <w:r w:rsidR="0044663C" w:rsidRPr="0044663C">
          <w:rPr>
            <w:rFonts w:cs="David" w:hint="cs"/>
            <w:color w:val="0000FF"/>
            <w:sz w:val="24"/>
            <w:szCs w:val="24"/>
            <w:u w:val="single"/>
            <w:rtl/>
          </w:rPr>
          <w:t>סעיף</w:t>
        </w:r>
        <w:r w:rsidR="0044663C" w:rsidRPr="0044663C">
          <w:rPr>
            <w:rFonts w:cs="David"/>
            <w:color w:val="0000FF"/>
            <w:sz w:val="24"/>
            <w:szCs w:val="24"/>
            <w:u w:val="single"/>
            <w:rtl/>
          </w:rPr>
          <w:t xml:space="preserve"> 40</w:t>
        </w:r>
        <w:r w:rsidR="0044663C" w:rsidRPr="0044663C">
          <w:rPr>
            <w:rFonts w:cs="David" w:hint="cs"/>
            <w:color w:val="0000FF"/>
            <w:sz w:val="24"/>
            <w:szCs w:val="24"/>
            <w:u w:val="single"/>
            <w:rtl/>
          </w:rPr>
          <w:t>ד</w:t>
        </w:r>
        <w:r w:rsidR="0044663C" w:rsidRPr="0044663C">
          <w:rPr>
            <w:rFonts w:cs="David"/>
            <w:color w:val="0000FF"/>
            <w:sz w:val="24"/>
            <w:szCs w:val="24"/>
            <w:u w:val="single"/>
            <w:rtl/>
          </w:rPr>
          <w:t>'</w:t>
        </w:r>
      </w:hyperlink>
      <w:r>
        <w:rPr>
          <w:rFonts w:cs="David" w:hint="cs"/>
          <w:sz w:val="24"/>
          <w:szCs w:val="24"/>
          <w:rtl/>
        </w:rPr>
        <w:t xml:space="preserve"> לחוק מלמדת, כי לעיתים כאשר "נאשם השתקם" או כי "יש סיכוי של ממש שישתקם", עשויים שיקולי השיקום לגבור על שיקולי ההרתעה והגמול (ראו </w:t>
      </w:r>
      <w:hyperlink r:id="rId30" w:history="1">
        <w:r w:rsidR="00A8388A" w:rsidRPr="00A8388A">
          <w:rPr>
            <w:rFonts w:cs="David" w:hint="cs"/>
            <w:color w:val="0000FF"/>
            <w:sz w:val="24"/>
            <w:szCs w:val="24"/>
            <w:u w:val="single"/>
            <w:rtl/>
          </w:rPr>
          <w:t>רע</w:t>
        </w:r>
        <w:r w:rsidR="00A8388A" w:rsidRPr="00A8388A">
          <w:rPr>
            <w:rFonts w:cs="David"/>
            <w:color w:val="0000FF"/>
            <w:sz w:val="24"/>
            <w:szCs w:val="24"/>
            <w:u w:val="single"/>
            <w:rtl/>
          </w:rPr>
          <w:t>"</w:t>
        </w:r>
        <w:r w:rsidR="00A8388A" w:rsidRPr="00A8388A">
          <w:rPr>
            <w:rFonts w:cs="David" w:hint="cs"/>
            <w:color w:val="0000FF"/>
            <w:sz w:val="24"/>
            <w:szCs w:val="24"/>
            <w:u w:val="single"/>
            <w:rtl/>
          </w:rPr>
          <w:t>פ</w:t>
        </w:r>
        <w:r w:rsidR="00A8388A" w:rsidRPr="00A8388A">
          <w:rPr>
            <w:rFonts w:cs="David"/>
            <w:color w:val="0000FF"/>
            <w:sz w:val="24"/>
            <w:szCs w:val="24"/>
            <w:u w:val="single"/>
            <w:rtl/>
          </w:rPr>
          <w:t xml:space="preserve"> 7572/12</w:t>
        </w:r>
      </w:hyperlink>
      <w:r>
        <w:rPr>
          <w:rFonts w:cs="David" w:hint="cs"/>
          <w:sz w:val="24"/>
          <w:szCs w:val="24"/>
          <w:rtl/>
        </w:rPr>
        <w:t xml:space="preserve"> </w:t>
      </w:r>
      <w:r>
        <w:rPr>
          <w:rFonts w:cs="Miriam" w:hint="cs"/>
          <w:sz w:val="24"/>
          <w:szCs w:val="24"/>
          <w:rtl/>
        </w:rPr>
        <w:t>הזייל נ' מדינת ישראל</w:t>
      </w:r>
      <w:r>
        <w:rPr>
          <w:rFonts w:cs="David" w:hint="cs"/>
          <w:sz w:val="24"/>
          <w:szCs w:val="24"/>
          <w:rtl/>
        </w:rPr>
        <w:t xml:space="preserve"> (23.10.12)) ואולם, אין די בנאשם המראה נכונות כנה להשתלב בהליך שיקום אלא יש להציג הליך משמעותי המגלה פוטנציאל שיקומי ממשי, תוך קביעה כי הסיכוי לביצוע עבירות נוספות בעתיד הוא נמוך ביותר (ראו </w:t>
      </w:r>
      <w:hyperlink r:id="rId31" w:history="1">
        <w:r w:rsidR="00A8388A" w:rsidRPr="00A8388A">
          <w:rPr>
            <w:rFonts w:cs="David" w:hint="cs"/>
            <w:color w:val="0000FF"/>
            <w:sz w:val="24"/>
            <w:szCs w:val="24"/>
            <w:u w:val="single"/>
            <w:rtl/>
          </w:rPr>
          <w:t>ע</w:t>
        </w:r>
        <w:r w:rsidR="00A8388A" w:rsidRPr="00A8388A">
          <w:rPr>
            <w:rFonts w:cs="David"/>
            <w:color w:val="0000FF"/>
            <w:sz w:val="24"/>
            <w:szCs w:val="24"/>
            <w:u w:val="single"/>
            <w:rtl/>
          </w:rPr>
          <w:t>"</w:t>
        </w:r>
        <w:r w:rsidR="00A8388A" w:rsidRPr="00A8388A">
          <w:rPr>
            <w:rFonts w:cs="David" w:hint="cs"/>
            <w:color w:val="0000FF"/>
            <w:sz w:val="24"/>
            <w:szCs w:val="24"/>
            <w:u w:val="single"/>
            <w:rtl/>
          </w:rPr>
          <w:t>פ</w:t>
        </w:r>
        <w:r w:rsidR="00A8388A" w:rsidRPr="00A8388A">
          <w:rPr>
            <w:rFonts w:cs="David"/>
            <w:color w:val="0000FF"/>
            <w:sz w:val="24"/>
            <w:szCs w:val="24"/>
            <w:u w:val="single"/>
            <w:rtl/>
          </w:rPr>
          <w:t xml:space="preserve"> 1903/13</w:t>
        </w:r>
      </w:hyperlink>
      <w:r>
        <w:rPr>
          <w:rFonts w:cs="David" w:hint="cs"/>
          <w:sz w:val="24"/>
          <w:szCs w:val="24"/>
          <w:rtl/>
        </w:rPr>
        <w:t xml:space="preserve"> </w:t>
      </w:r>
      <w:r>
        <w:rPr>
          <w:rFonts w:cs="Miriam" w:hint="cs"/>
          <w:sz w:val="24"/>
          <w:szCs w:val="24"/>
          <w:rtl/>
        </w:rPr>
        <w:t>עיאשה נ'</w:t>
      </w:r>
      <w:r>
        <w:rPr>
          <w:rFonts w:cs="David" w:hint="cs"/>
          <w:b/>
          <w:bCs/>
          <w:sz w:val="24"/>
          <w:szCs w:val="24"/>
          <w:rtl/>
        </w:rPr>
        <w:t xml:space="preserve"> </w:t>
      </w:r>
      <w:r>
        <w:rPr>
          <w:rFonts w:cs="Miriam" w:hint="cs"/>
          <w:sz w:val="24"/>
          <w:szCs w:val="24"/>
          <w:rtl/>
        </w:rPr>
        <w:t>מדינת ישראל</w:t>
      </w:r>
      <w:r>
        <w:rPr>
          <w:rFonts w:cs="David" w:hint="cs"/>
          <w:sz w:val="24"/>
          <w:szCs w:val="24"/>
          <w:rtl/>
        </w:rPr>
        <w:t xml:space="preserve"> (14.07.13)). לתסקיר שירות המבחן בהקשר זה מעמד משמעותי ביותר, אם כי כמובן שאינו מחייב את בית המשפט.  </w:t>
      </w:r>
    </w:p>
    <w:p w14:paraId="2E0E4A23" w14:textId="77777777" w:rsidR="00FE78E4" w:rsidRDefault="00FE78E4" w:rsidP="00FE78E4">
      <w:pPr>
        <w:pStyle w:val="a9"/>
        <w:spacing w:line="360" w:lineRule="auto"/>
        <w:jc w:val="both"/>
        <w:rPr>
          <w:rFonts w:cs="David"/>
          <w:sz w:val="24"/>
          <w:szCs w:val="24"/>
        </w:rPr>
      </w:pPr>
    </w:p>
    <w:p w14:paraId="753EEA5E" w14:textId="77777777" w:rsidR="00FE78E4" w:rsidRDefault="00FE78E4" w:rsidP="00FE78E4">
      <w:pPr>
        <w:pStyle w:val="a9"/>
        <w:numPr>
          <w:ilvl w:val="0"/>
          <w:numId w:val="1"/>
        </w:numPr>
        <w:spacing w:line="360" w:lineRule="auto"/>
        <w:jc w:val="both"/>
        <w:rPr>
          <w:rFonts w:cs="David"/>
          <w:b/>
          <w:bCs/>
          <w:sz w:val="24"/>
          <w:szCs w:val="24"/>
        </w:rPr>
      </w:pPr>
      <w:r>
        <w:rPr>
          <w:rFonts w:cs="David" w:hint="cs"/>
          <w:sz w:val="24"/>
          <w:szCs w:val="24"/>
          <w:rtl/>
        </w:rPr>
        <w:t xml:space="preserve">ודוק, לא כל מקרי השיקום יובילו בהכרח למסקנה, כי אין מקום לגזור על נאשם עונש מאסר בפועל. מידת החריגה מהמתחם תלויה בשני פרמטרים מרכזיים המשפיעים הדדית האחד על רעותו: הראשון, הינו טיב ההליך השיקומי והפוטנציאל השיקומי והשני נוגע לחומרת העבירה. כך ככל שמעשי הנאשם חמורים יותר נדרש בית המשפט ליתן משקל נכבד יותר לאינטרסים הציבוריים על פני שיקולים אחרים. </w:t>
      </w:r>
    </w:p>
    <w:p w14:paraId="09B20732" w14:textId="77777777" w:rsidR="00FE78E4" w:rsidRDefault="00FE78E4" w:rsidP="00FE78E4">
      <w:pPr>
        <w:pStyle w:val="a9"/>
        <w:spacing w:line="360" w:lineRule="auto"/>
        <w:ind w:left="360"/>
        <w:jc w:val="both"/>
        <w:rPr>
          <w:rFonts w:cs="David"/>
          <w:sz w:val="24"/>
          <w:szCs w:val="24"/>
        </w:rPr>
      </w:pPr>
    </w:p>
    <w:p w14:paraId="0DCAC423"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t xml:space="preserve"> בענייננו, מדובר בנאשם  נטול עבר פלילי, בן למשפחה חיובית ותומכת, שנקלע למצב מצוקה וחשש לחייו על רקע קשר רומנטי שניהל במועד הרלוונטי ולא התקבל בברכה ע"י משפחת האישה. טעם זה עמד ברקע ביצוע המעשים המיוחסים לו.</w:t>
      </w:r>
    </w:p>
    <w:p w14:paraId="36D32451" w14:textId="77777777" w:rsidR="00FE78E4" w:rsidRPr="006D4CB2" w:rsidRDefault="00FE78E4" w:rsidP="00FE78E4">
      <w:pPr>
        <w:pStyle w:val="a9"/>
        <w:spacing w:line="360" w:lineRule="auto"/>
        <w:jc w:val="both"/>
        <w:rPr>
          <w:rFonts w:cs="David"/>
          <w:sz w:val="24"/>
          <w:szCs w:val="24"/>
        </w:rPr>
      </w:pPr>
    </w:p>
    <w:p w14:paraId="5D251AB4"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t xml:space="preserve">הנאשם לווה תקופה ארוכה ע"י שירות המבחן, כבר משלב המעצר כשהיה נתון תחת פיקוחם ושולב בקבוצה טיפולית לעצורי בית. שירות המבחן התרשם מנאשם שהתנהלותו יציבה בכל מישורי חייו, מהפחתה ניכרת במסוכנותו ומשיתוף פעולה מלא עם הגורמים הטיפוליים. על כן בא בהמלצה להעמידו בצו מבחן ולהמנע מלהטיל עליו מאסר ממש. </w:t>
      </w:r>
    </w:p>
    <w:p w14:paraId="737E5F14" w14:textId="77777777" w:rsidR="00FE78E4" w:rsidRDefault="00FE78E4" w:rsidP="00FE78E4">
      <w:pPr>
        <w:pStyle w:val="a9"/>
        <w:spacing w:line="360" w:lineRule="auto"/>
        <w:jc w:val="both"/>
        <w:rPr>
          <w:rFonts w:cs="David"/>
          <w:sz w:val="24"/>
          <w:szCs w:val="24"/>
        </w:rPr>
      </w:pPr>
    </w:p>
    <w:p w14:paraId="52126D7D"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t xml:space="preserve">לצד זאת וככל הנראה נוכח צורך כן ואמיתי שעלה אצל הנאשם להעמיק ההליך הטיפולי, פנה מיוזמתו למטפל שיקומי פרטי ובמשך תקופה ארוכה מטופל ברציפות, כשהמלצות העו"ס המטפל מחזקות המלצותיו של שירות המבחן. נתונים אלו מעידים על פוטנציאל שיקומי גבוה המאפשר חריגה מהמתחם בהתאם להוראות </w:t>
      </w:r>
      <w:hyperlink r:id="rId32" w:history="1">
        <w:r w:rsidR="0044663C" w:rsidRPr="0044663C">
          <w:rPr>
            <w:rFonts w:cs="David" w:hint="cs"/>
            <w:color w:val="0000FF"/>
            <w:sz w:val="24"/>
            <w:szCs w:val="24"/>
            <w:u w:val="single"/>
            <w:rtl/>
          </w:rPr>
          <w:t>סעיף</w:t>
        </w:r>
        <w:r w:rsidR="0044663C" w:rsidRPr="0044663C">
          <w:rPr>
            <w:rFonts w:cs="David"/>
            <w:color w:val="0000FF"/>
            <w:sz w:val="24"/>
            <w:szCs w:val="24"/>
            <w:u w:val="single"/>
            <w:rtl/>
          </w:rPr>
          <w:t xml:space="preserve"> 40</w:t>
        </w:r>
        <w:r w:rsidR="0044663C" w:rsidRPr="0044663C">
          <w:rPr>
            <w:rFonts w:cs="David" w:hint="cs"/>
            <w:color w:val="0000FF"/>
            <w:sz w:val="24"/>
            <w:szCs w:val="24"/>
            <w:u w:val="single"/>
            <w:rtl/>
          </w:rPr>
          <w:t>ד</w:t>
        </w:r>
        <w:r w:rsidR="0044663C" w:rsidRPr="0044663C">
          <w:rPr>
            <w:rFonts w:cs="David"/>
            <w:color w:val="0000FF"/>
            <w:sz w:val="24"/>
            <w:szCs w:val="24"/>
            <w:u w:val="single"/>
            <w:rtl/>
          </w:rPr>
          <w:t>(</w:t>
        </w:r>
        <w:r w:rsidR="0044663C" w:rsidRPr="0044663C">
          <w:rPr>
            <w:rFonts w:cs="David" w:hint="cs"/>
            <w:color w:val="0000FF"/>
            <w:sz w:val="24"/>
            <w:szCs w:val="24"/>
            <w:u w:val="single"/>
            <w:rtl/>
          </w:rPr>
          <w:t>א</w:t>
        </w:r>
        <w:r w:rsidR="0044663C" w:rsidRPr="0044663C">
          <w:rPr>
            <w:rFonts w:cs="David"/>
            <w:color w:val="0000FF"/>
            <w:sz w:val="24"/>
            <w:szCs w:val="24"/>
            <w:u w:val="single"/>
            <w:rtl/>
          </w:rPr>
          <w:t>)</w:t>
        </w:r>
      </w:hyperlink>
      <w:r>
        <w:rPr>
          <w:rFonts w:cs="David" w:hint="cs"/>
          <w:sz w:val="24"/>
          <w:szCs w:val="24"/>
          <w:rtl/>
        </w:rPr>
        <w:t xml:space="preserve"> לחוק. </w:t>
      </w:r>
    </w:p>
    <w:p w14:paraId="27FF2B8E" w14:textId="77777777" w:rsidR="00FE78E4" w:rsidRDefault="00FE78E4" w:rsidP="00FE78E4">
      <w:pPr>
        <w:pStyle w:val="a9"/>
        <w:spacing w:line="360" w:lineRule="auto"/>
        <w:jc w:val="both"/>
        <w:rPr>
          <w:rFonts w:cs="David"/>
          <w:sz w:val="24"/>
          <w:szCs w:val="24"/>
        </w:rPr>
      </w:pPr>
    </w:p>
    <w:p w14:paraId="0336A395"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t>עם זאת, בשים לב לחומרת מעשי הנאשם ונסיבות ביצועם, אין מקום לסטייה לקולא ממתחם הענישה המובילה לפטור מעונש של מאסר לריצוי בפועל ואף לא להסתפקות במאסר קצר בלבד אלא להתחשבות בשיקול זה, בין מכלול השיקולים שעומדים לנגד עיני בית המשפט במקרה זה, לצורך הקלה מסוימת במשך תקופת המאסר. (</w:t>
      </w:r>
      <w:r>
        <w:rPr>
          <w:rFonts w:cs="David" w:hint="cs"/>
          <w:sz w:val="24"/>
          <w:szCs w:val="24"/>
          <w:u w:val="single"/>
          <w:rtl/>
        </w:rPr>
        <w:t xml:space="preserve">ר' </w:t>
      </w:r>
      <w:hyperlink r:id="rId33" w:history="1">
        <w:r w:rsidR="00A8388A" w:rsidRPr="00A8388A">
          <w:rPr>
            <w:rFonts w:cs="David" w:hint="cs"/>
            <w:color w:val="0000FF"/>
            <w:sz w:val="24"/>
            <w:szCs w:val="24"/>
            <w:u w:val="single"/>
            <w:rtl/>
          </w:rPr>
          <w:t>רע</w:t>
        </w:r>
        <w:r w:rsidR="00A8388A" w:rsidRPr="00A8388A">
          <w:rPr>
            <w:rFonts w:cs="David"/>
            <w:color w:val="0000FF"/>
            <w:sz w:val="24"/>
            <w:szCs w:val="24"/>
            <w:u w:val="single"/>
            <w:rtl/>
          </w:rPr>
          <w:t>"</w:t>
        </w:r>
        <w:r w:rsidR="00A8388A" w:rsidRPr="00A8388A">
          <w:rPr>
            <w:rFonts w:cs="David" w:hint="cs"/>
            <w:color w:val="0000FF"/>
            <w:sz w:val="24"/>
            <w:szCs w:val="24"/>
            <w:u w:val="single"/>
            <w:rtl/>
          </w:rPr>
          <w:t>פ</w:t>
        </w:r>
        <w:r w:rsidR="00A8388A" w:rsidRPr="00A8388A">
          <w:rPr>
            <w:rFonts w:cs="David"/>
            <w:color w:val="0000FF"/>
            <w:sz w:val="24"/>
            <w:szCs w:val="24"/>
            <w:u w:val="single"/>
            <w:rtl/>
          </w:rPr>
          <w:t xml:space="preserve"> 1370/17</w:t>
        </w:r>
      </w:hyperlink>
      <w:r>
        <w:rPr>
          <w:rFonts w:cs="David" w:hint="cs"/>
          <w:sz w:val="24"/>
          <w:szCs w:val="24"/>
          <w:u w:val="single"/>
          <w:rtl/>
        </w:rPr>
        <w:t xml:space="preserve"> </w:t>
      </w:r>
      <w:r>
        <w:rPr>
          <w:rFonts w:cs="Miriam" w:hint="cs"/>
          <w:sz w:val="24"/>
          <w:szCs w:val="24"/>
          <w:rtl/>
        </w:rPr>
        <w:t>אליהו נ' מדינת ישראל</w:t>
      </w:r>
      <w:r>
        <w:rPr>
          <w:rFonts w:cs="David" w:hint="cs"/>
          <w:sz w:val="24"/>
          <w:szCs w:val="24"/>
          <w:rtl/>
        </w:rPr>
        <w:t xml:space="preserve"> (20.4.17); </w:t>
      </w:r>
      <w:hyperlink r:id="rId34" w:history="1">
        <w:r w:rsidR="00A8388A" w:rsidRPr="00A8388A">
          <w:rPr>
            <w:rFonts w:cs="David" w:hint="cs"/>
            <w:color w:val="0000FF"/>
            <w:sz w:val="24"/>
            <w:szCs w:val="24"/>
            <w:u w:val="single"/>
            <w:rtl/>
          </w:rPr>
          <w:t>רע</w:t>
        </w:r>
        <w:r w:rsidR="00A8388A" w:rsidRPr="00A8388A">
          <w:rPr>
            <w:rFonts w:cs="David"/>
            <w:color w:val="0000FF"/>
            <w:sz w:val="24"/>
            <w:szCs w:val="24"/>
            <w:u w:val="single"/>
            <w:rtl/>
          </w:rPr>
          <w:t>"</w:t>
        </w:r>
        <w:r w:rsidR="00A8388A" w:rsidRPr="00A8388A">
          <w:rPr>
            <w:rFonts w:cs="David" w:hint="cs"/>
            <w:color w:val="0000FF"/>
            <w:sz w:val="24"/>
            <w:szCs w:val="24"/>
            <w:u w:val="single"/>
            <w:rtl/>
          </w:rPr>
          <w:t>פ</w:t>
        </w:r>
        <w:r w:rsidR="00A8388A" w:rsidRPr="00A8388A">
          <w:rPr>
            <w:rFonts w:cs="David"/>
            <w:color w:val="0000FF"/>
            <w:sz w:val="24"/>
            <w:szCs w:val="24"/>
            <w:u w:val="single"/>
            <w:rtl/>
          </w:rPr>
          <w:t xml:space="preserve"> 8095/17</w:t>
        </w:r>
      </w:hyperlink>
      <w:r>
        <w:rPr>
          <w:rFonts w:cs="David" w:hint="cs"/>
          <w:sz w:val="24"/>
          <w:szCs w:val="24"/>
          <w:rtl/>
        </w:rPr>
        <w:t xml:space="preserve"> </w:t>
      </w:r>
      <w:r>
        <w:rPr>
          <w:rFonts w:cs="Miriam" w:hint="cs"/>
          <w:sz w:val="24"/>
          <w:szCs w:val="24"/>
          <w:rtl/>
        </w:rPr>
        <w:t>סטרוסטה נ' מדינת ישראל,</w:t>
      </w:r>
      <w:r>
        <w:rPr>
          <w:rFonts w:cs="David" w:hint="cs"/>
          <w:sz w:val="24"/>
          <w:szCs w:val="24"/>
          <w:rtl/>
        </w:rPr>
        <w:t xml:space="preserve"> 26.10.17)</w:t>
      </w:r>
    </w:p>
    <w:p w14:paraId="622E390F" w14:textId="77777777" w:rsidR="00FE78E4" w:rsidRDefault="00FE78E4" w:rsidP="00FE78E4">
      <w:pPr>
        <w:pStyle w:val="a9"/>
        <w:spacing w:line="360" w:lineRule="auto"/>
        <w:jc w:val="both"/>
        <w:rPr>
          <w:rFonts w:cs="David"/>
          <w:sz w:val="24"/>
          <w:szCs w:val="24"/>
        </w:rPr>
      </w:pPr>
    </w:p>
    <w:p w14:paraId="224FDB8E"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t xml:space="preserve">גישה לפיה העדרו של עבר פלילי, ניהול אורח חיים תקין, שיתוף פעולה עם הגורמים הטיפוליים ורמת סיכון נמוכה מהווים בסיס ראוי להגדרת עניינו של נאשם </w:t>
      </w:r>
      <w:r>
        <w:rPr>
          <w:rFonts w:cs="David" w:hint="cs"/>
          <w:b/>
          <w:bCs/>
          <w:sz w:val="24"/>
          <w:szCs w:val="24"/>
          <w:rtl/>
        </w:rPr>
        <w:t>בעבירת נשק</w:t>
      </w:r>
      <w:r>
        <w:rPr>
          <w:rFonts w:cs="David" w:hint="cs"/>
          <w:sz w:val="24"/>
          <w:szCs w:val="24"/>
          <w:rtl/>
        </w:rPr>
        <w:t xml:space="preserve"> כמקרה שיקום, ניתן למצוא בפסיקה שונה של בית המשפט העליון, ברובה חרג בית המשפט ממתחם העונש והעמידו על תקופת מאסר קצרה יותר. כך </w:t>
      </w:r>
      <w:r>
        <w:rPr>
          <w:rFonts w:cs="David" w:hint="cs"/>
          <w:sz w:val="24"/>
          <w:szCs w:val="24"/>
          <w:u w:val="single"/>
          <w:rtl/>
        </w:rPr>
        <w:t>ב</w:t>
      </w:r>
      <w:hyperlink r:id="rId35" w:history="1">
        <w:r w:rsidR="00A8388A" w:rsidRPr="00A8388A">
          <w:rPr>
            <w:rFonts w:cs="David" w:hint="cs"/>
            <w:color w:val="0000FF"/>
            <w:sz w:val="24"/>
            <w:szCs w:val="24"/>
            <w:u w:val="single"/>
            <w:rtl/>
          </w:rPr>
          <w:t>ע</w:t>
        </w:r>
        <w:r w:rsidR="00A8388A" w:rsidRPr="00A8388A">
          <w:rPr>
            <w:rFonts w:cs="David"/>
            <w:color w:val="0000FF"/>
            <w:sz w:val="24"/>
            <w:szCs w:val="24"/>
            <w:u w:val="single"/>
            <w:rtl/>
          </w:rPr>
          <w:t>"</w:t>
        </w:r>
        <w:r w:rsidR="00A8388A" w:rsidRPr="00A8388A">
          <w:rPr>
            <w:rFonts w:cs="David" w:hint="cs"/>
            <w:color w:val="0000FF"/>
            <w:sz w:val="24"/>
            <w:szCs w:val="24"/>
            <w:u w:val="single"/>
            <w:rtl/>
          </w:rPr>
          <w:t>פ</w:t>
        </w:r>
        <w:r w:rsidR="00A8388A" w:rsidRPr="00A8388A">
          <w:rPr>
            <w:rFonts w:cs="David"/>
            <w:color w:val="0000FF"/>
            <w:sz w:val="24"/>
            <w:szCs w:val="24"/>
            <w:u w:val="single"/>
            <w:rtl/>
          </w:rPr>
          <w:t xml:space="preserve"> 1903/13</w:t>
        </w:r>
      </w:hyperlink>
      <w:r>
        <w:rPr>
          <w:rFonts w:cs="David" w:hint="cs"/>
          <w:sz w:val="24"/>
          <w:szCs w:val="24"/>
          <w:rtl/>
        </w:rPr>
        <w:t xml:space="preserve"> </w:t>
      </w:r>
      <w:r>
        <w:rPr>
          <w:rFonts w:cs="Miriam" w:hint="cs"/>
          <w:sz w:val="24"/>
          <w:szCs w:val="24"/>
          <w:rtl/>
        </w:rPr>
        <w:t>עיאשה נ' מדינת ישראל</w:t>
      </w:r>
      <w:r>
        <w:rPr>
          <w:rFonts w:cs="David" w:hint="cs"/>
          <w:sz w:val="24"/>
          <w:szCs w:val="24"/>
          <w:rtl/>
        </w:rPr>
        <w:t xml:space="preserve"> (14.7.13) דן בית המשפט (כב' הש' ארבל, כתוארה אז) בעניינו של מערער שהורשע בעבירות של קשירת קשר, החזקה ונשיאת נשק, בידוי ראיות ומסירת ידיעה כוזבת ונדון, בין היתר נוכח המלצה חיובית של שירות המבחן, למאסר בפועל בן 15 חודשים. בפסק דינו עומד בית המשפט על עברו הנקי של המערער, ניהול אורח חיים נורמטיבי, תסקיר בעל פוטנציאל שיקומי והמלצת שירות המבחן להסתפקות בעבודות שירות ומגדירם כמעידים על פוטנציאל שיקומי ממשי (שם, פ' 12). מטעמים אלו מפחית עונשו של הנאשם ומעמידו על 10 חודשי מאסר.</w:t>
      </w:r>
    </w:p>
    <w:p w14:paraId="6CA69EAA" w14:textId="77777777" w:rsidR="00FE78E4" w:rsidRDefault="00FE78E4" w:rsidP="00FE78E4">
      <w:pPr>
        <w:pStyle w:val="a9"/>
        <w:spacing w:line="360" w:lineRule="auto"/>
        <w:jc w:val="both"/>
        <w:rPr>
          <w:rFonts w:cs="David"/>
          <w:sz w:val="24"/>
          <w:szCs w:val="24"/>
        </w:rPr>
      </w:pPr>
    </w:p>
    <w:p w14:paraId="4F21D5EB"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t>מגמה דומה נמצא גם ב</w:t>
      </w:r>
      <w:hyperlink r:id="rId36" w:history="1">
        <w:r w:rsidR="00A8388A" w:rsidRPr="00A8388A">
          <w:rPr>
            <w:rFonts w:cs="David" w:hint="cs"/>
            <w:color w:val="0000FF"/>
            <w:sz w:val="24"/>
            <w:szCs w:val="24"/>
            <w:u w:val="single"/>
            <w:rtl/>
          </w:rPr>
          <w:t>ע</w:t>
        </w:r>
        <w:r w:rsidR="00A8388A" w:rsidRPr="00A8388A">
          <w:rPr>
            <w:rFonts w:cs="David"/>
            <w:color w:val="0000FF"/>
            <w:sz w:val="24"/>
            <w:szCs w:val="24"/>
            <w:u w:val="single"/>
            <w:rtl/>
          </w:rPr>
          <w:t>"</w:t>
        </w:r>
        <w:r w:rsidR="00A8388A" w:rsidRPr="00A8388A">
          <w:rPr>
            <w:rFonts w:cs="David" w:hint="cs"/>
            <w:color w:val="0000FF"/>
            <w:sz w:val="24"/>
            <w:szCs w:val="24"/>
            <w:u w:val="single"/>
            <w:rtl/>
          </w:rPr>
          <w:t>פ</w:t>
        </w:r>
        <w:r w:rsidR="00A8388A" w:rsidRPr="00A8388A">
          <w:rPr>
            <w:rFonts w:cs="David"/>
            <w:color w:val="0000FF"/>
            <w:sz w:val="24"/>
            <w:szCs w:val="24"/>
            <w:u w:val="single"/>
            <w:rtl/>
          </w:rPr>
          <w:t xml:space="preserve"> 526/14</w:t>
        </w:r>
      </w:hyperlink>
      <w:r>
        <w:rPr>
          <w:rFonts w:cs="David" w:hint="cs"/>
          <w:sz w:val="24"/>
          <w:szCs w:val="24"/>
          <w:u w:val="single"/>
          <w:rtl/>
        </w:rPr>
        <w:t xml:space="preserve"> </w:t>
      </w:r>
      <w:r>
        <w:rPr>
          <w:rFonts w:cs="Miriam" w:hint="cs"/>
          <w:sz w:val="24"/>
          <w:szCs w:val="24"/>
          <w:rtl/>
        </w:rPr>
        <w:t>פלוני נ' מדינת ישראל</w:t>
      </w:r>
      <w:r>
        <w:rPr>
          <w:rFonts w:cs="David" w:hint="cs"/>
          <w:sz w:val="24"/>
          <w:szCs w:val="24"/>
          <w:rtl/>
        </w:rPr>
        <w:t xml:space="preserve"> (מיום 12.3.14), שם נדון עניינו של נאשם שהורשע בעבירות חמורות של סחר בנשק ונדון ל-22 חודשי מאסר. בית המשפט שדן הנאשם מצא ליתן משקל לנסיבותיו האישיות והמשפחתיות, כברת הדרך הטיפולית שעבר וסיכויי שיקומו. על אף זאת, מחליט שלא לסטות מגדרי מתחם הענישה שנע בין 18-48 חודשים אלא למקמו ברף התחתון (ראו בהרחבה פסק דינו של בית המשפט המחוזי בב"ש ב</w:t>
      </w:r>
      <w:hyperlink r:id="rId37" w:history="1">
        <w:r w:rsidR="00A8388A" w:rsidRPr="00A8388A">
          <w:rPr>
            <w:rFonts w:cs="David" w:hint="cs"/>
            <w:color w:val="0000FF"/>
            <w:sz w:val="24"/>
            <w:szCs w:val="24"/>
            <w:u w:val="single"/>
            <w:rtl/>
          </w:rPr>
          <w:t>ת</w:t>
        </w:r>
        <w:r w:rsidR="00A8388A" w:rsidRPr="00A8388A">
          <w:rPr>
            <w:rFonts w:cs="David"/>
            <w:color w:val="0000FF"/>
            <w:sz w:val="24"/>
            <w:szCs w:val="24"/>
            <w:u w:val="single"/>
            <w:rtl/>
          </w:rPr>
          <w:t>"</w:t>
        </w:r>
        <w:r w:rsidR="00A8388A" w:rsidRPr="00A8388A">
          <w:rPr>
            <w:rFonts w:cs="David" w:hint="cs"/>
            <w:color w:val="0000FF"/>
            <w:sz w:val="24"/>
            <w:szCs w:val="24"/>
            <w:u w:val="single"/>
            <w:rtl/>
          </w:rPr>
          <w:t>פ</w:t>
        </w:r>
        <w:r w:rsidR="00A8388A" w:rsidRPr="00A8388A">
          <w:rPr>
            <w:rFonts w:cs="David"/>
            <w:color w:val="0000FF"/>
            <w:sz w:val="24"/>
            <w:szCs w:val="24"/>
            <w:u w:val="single"/>
            <w:rtl/>
          </w:rPr>
          <w:t xml:space="preserve"> 39259-01-13</w:t>
        </w:r>
      </w:hyperlink>
      <w:r>
        <w:rPr>
          <w:rFonts w:cs="David" w:hint="cs"/>
          <w:sz w:val="24"/>
          <w:szCs w:val="24"/>
          <w:rtl/>
        </w:rPr>
        <w:t xml:space="preserve">). בית המשפט העליון מוצא שעניינו של הנאשם מגלה פוטנציאל שיקומי ממשי באופן המצדיק חריגה מסוימת מהמתחם ועל כן מקל בעונשו ומעמידו על 16 חודשי מאסר. </w:t>
      </w:r>
    </w:p>
    <w:p w14:paraId="60188371" w14:textId="77777777" w:rsidR="00FE78E4" w:rsidRDefault="00FE78E4" w:rsidP="00FE78E4">
      <w:pPr>
        <w:pStyle w:val="a9"/>
        <w:spacing w:line="360" w:lineRule="auto"/>
        <w:jc w:val="both"/>
        <w:rPr>
          <w:rFonts w:cs="David"/>
          <w:sz w:val="24"/>
          <w:szCs w:val="24"/>
        </w:rPr>
      </w:pPr>
    </w:p>
    <w:p w14:paraId="2777758C" w14:textId="77777777" w:rsidR="00FE78E4" w:rsidRDefault="00FE78E4" w:rsidP="00FE78E4">
      <w:pPr>
        <w:pStyle w:val="a9"/>
        <w:spacing w:line="360" w:lineRule="auto"/>
        <w:jc w:val="both"/>
        <w:rPr>
          <w:rFonts w:cs="David"/>
          <w:sz w:val="24"/>
          <w:szCs w:val="24"/>
          <w:rtl/>
        </w:rPr>
      </w:pPr>
      <w:r>
        <w:rPr>
          <w:rFonts w:cs="David" w:hint="cs"/>
          <w:sz w:val="24"/>
          <w:szCs w:val="24"/>
          <w:rtl/>
        </w:rPr>
        <w:t>עוד אפנה ל</w:t>
      </w:r>
      <w:hyperlink r:id="rId38" w:history="1">
        <w:r w:rsidR="00A8388A" w:rsidRPr="00A8388A">
          <w:rPr>
            <w:rFonts w:cs="David" w:hint="cs"/>
            <w:color w:val="0000FF"/>
            <w:sz w:val="24"/>
            <w:szCs w:val="24"/>
            <w:u w:val="single"/>
            <w:rtl/>
          </w:rPr>
          <w:t>רע</w:t>
        </w:r>
        <w:r w:rsidR="00A8388A" w:rsidRPr="00A8388A">
          <w:rPr>
            <w:rFonts w:cs="David"/>
            <w:color w:val="0000FF"/>
            <w:sz w:val="24"/>
            <w:szCs w:val="24"/>
            <w:u w:val="single"/>
            <w:rtl/>
          </w:rPr>
          <w:t>"</w:t>
        </w:r>
        <w:r w:rsidR="00A8388A" w:rsidRPr="00A8388A">
          <w:rPr>
            <w:rFonts w:cs="David" w:hint="cs"/>
            <w:color w:val="0000FF"/>
            <w:sz w:val="24"/>
            <w:szCs w:val="24"/>
            <w:u w:val="single"/>
            <w:rtl/>
          </w:rPr>
          <w:t>פ</w:t>
        </w:r>
        <w:r w:rsidR="00A8388A" w:rsidRPr="00A8388A">
          <w:rPr>
            <w:rFonts w:cs="David"/>
            <w:color w:val="0000FF"/>
            <w:sz w:val="24"/>
            <w:szCs w:val="24"/>
            <w:u w:val="single"/>
            <w:rtl/>
          </w:rPr>
          <w:t xml:space="preserve"> 4559/16</w:t>
        </w:r>
      </w:hyperlink>
      <w:r>
        <w:rPr>
          <w:rFonts w:cs="David" w:hint="cs"/>
          <w:sz w:val="24"/>
          <w:szCs w:val="24"/>
          <w:rtl/>
        </w:rPr>
        <w:t xml:space="preserve"> </w:t>
      </w:r>
      <w:r>
        <w:rPr>
          <w:rFonts w:cs="Miriam" w:hint="cs"/>
          <w:sz w:val="24"/>
          <w:szCs w:val="24"/>
          <w:rtl/>
        </w:rPr>
        <w:t>נוסיראת נ' מדינת ישראל</w:t>
      </w:r>
      <w:r>
        <w:rPr>
          <w:rFonts w:cs="David" w:hint="cs"/>
          <w:sz w:val="24"/>
          <w:szCs w:val="24"/>
          <w:rtl/>
        </w:rPr>
        <w:t xml:space="preserve"> (22.6.16)), שם נדחתה בקשת ערעור של המבקש שעונשו הוחמר </w:t>
      </w:r>
      <w:r>
        <w:rPr>
          <w:rFonts w:cs="Miriam" w:hint="cs"/>
          <w:sz w:val="24"/>
          <w:szCs w:val="24"/>
          <w:rtl/>
        </w:rPr>
        <w:t>(</w:t>
      </w:r>
      <w:hyperlink r:id="rId39" w:history="1">
        <w:r w:rsidR="00A8388A" w:rsidRPr="00A8388A">
          <w:rPr>
            <w:rFonts w:cs="Miriam" w:hint="cs"/>
            <w:color w:val="0000FF"/>
            <w:sz w:val="24"/>
            <w:szCs w:val="24"/>
            <w:u w:val="single"/>
            <w:rtl/>
          </w:rPr>
          <w:t>עפ</w:t>
        </w:r>
        <w:r w:rsidR="00A8388A" w:rsidRPr="00A8388A">
          <w:rPr>
            <w:rFonts w:cs="Miriam"/>
            <w:color w:val="0000FF"/>
            <w:sz w:val="24"/>
            <w:szCs w:val="24"/>
            <w:u w:val="single"/>
            <w:rtl/>
          </w:rPr>
          <w:t>"</w:t>
        </w:r>
        <w:r w:rsidR="00A8388A" w:rsidRPr="00A8388A">
          <w:rPr>
            <w:rFonts w:cs="Miriam" w:hint="cs"/>
            <w:color w:val="0000FF"/>
            <w:sz w:val="24"/>
            <w:szCs w:val="24"/>
            <w:u w:val="single"/>
            <w:rtl/>
          </w:rPr>
          <w:t>ג</w:t>
        </w:r>
        <w:r w:rsidR="00A8388A" w:rsidRPr="00A8388A">
          <w:rPr>
            <w:rFonts w:cs="Miriam"/>
            <w:color w:val="0000FF"/>
            <w:sz w:val="24"/>
            <w:szCs w:val="24"/>
            <w:u w:val="single"/>
            <w:rtl/>
          </w:rPr>
          <w:t xml:space="preserve"> 27108-01-16</w:t>
        </w:r>
      </w:hyperlink>
      <w:r>
        <w:rPr>
          <w:rFonts w:cs="David" w:hint="cs"/>
          <w:sz w:val="24"/>
          <w:szCs w:val="24"/>
          <w:u w:val="single"/>
          <w:rtl/>
        </w:rPr>
        <w:t xml:space="preserve"> מח-מרכז</w:t>
      </w:r>
      <w:r>
        <w:rPr>
          <w:rFonts w:cs="David" w:hint="cs"/>
          <w:sz w:val="24"/>
          <w:szCs w:val="24"/>
          <w:rtl/>
        </w:rPr>
        <w:t>) מ-6 חודשי עבודות שירות למאסר בן -9 חודשים. בית המשפט קבע, כי אין די בנסיבותיו האישיות של הנאשם, עברו הנקי ותסקיר חיובי במיוחד, כדי להביא לחריגה לקולא ממתחם הענישה, אף לא מטעמי שיקום ול</w:t>
      </w:r>
      <w:hyperlink r:id="rId40" w:history="1">
        <w:r w:rsidR="00A8388A" w:rsidRPr="00A8388A">
          <w:rPr>
            <w:rFonts w:cs="David" w:hint="cs"/>
            <w:color w:val="0000FF"/>
            <w:sz w:val="24"/>
            <w:szCs w:val="24"/>
            <w:u w:val="single"/>
            <w:rtl/>
          </w:rPr>
          <w:t>עפ</w:t>
        </w:r>
        <w:r w:rsidR="00A8388A" w:rsidRPr="00A8388A">
          <w:rPr>
            <w:rFonts w:cs="David"/>
            <w:color w:val="0000FF"/>
            <w:sz w:val="24"/>
            <w:szCs w:val="24"/>
            <w:u w:val="single"/>
            <w:rtl/>
          </w:rPr>
          <w:t>"</w:t>
        </w:r>
        <w:r w:rsidR="00A8388A" w:rsidRPr="00A8388A">
          <w:rPr>
            <w:rFonts w:cs="David" w:hint="cs"/>
            <w:color w:val="0000FF"/>
            <w:sz w:val="24"/>
            <w:szCs w:val="24"/>
            <w:u w:val="single"/>
            <w:rtl/>
          </w:rPr>
          <w:t>ג</w:t>
        </w:r>
        <w:r w:rsidR="00A8388A" w:rsidRPr="00A8388A">
          <w:rPr>
            <w:rFonts w:cs="David"/>
            <w:color w:val="0000FF"/>
            <w:sz w:val="24"/>
            <w:szCs w:val="24"/>
            <w:u w:val="single"/>
            <w:rtl/>
          </w:rPr>
          <w:t xml:space="preserve"> 50329-10-15</w:t>
        </w:r>
      </w:hyperlink>
      <w:r>
        <w:rPr>
          <w:rFonts w:cs="David" w:hint="cs"/>
          <w:sz w:val="24"/>
          <w:szCs w:val="24"/>
          <w:rtl/>
        </w:rPr>
        <w:t xml:space="preserve"> (מח-מרכז) </w:t>
      </w:r>
      <w:r>
        <w:rPr>
          <w:rFonts w:cs="Miriam" w:hint="cs"/>
          <w:sz w:val="24"/>
          <w:szCs w:val="24"/>
          <w:rtl/>
        </w:rPr>
        <w:t>מדינת ישראל נ' ענזי</w:t>
      </w:r>
      <w:r>
        <w:rPr>
          <w:rFonts w:cs="David" w:hint="cs"/>
          <w:b/>
          <w:bCs/>
          <w:sz w:val="24"/>
          <w:szCs w:val="24"/>
          <w:rtl/>
        </w:rPr>
        <w:t>,</w:t>
      </w:r>
      <w:r>
        <w:rPr>
          <w:rFonts w:cs="David" w:hint="cs"/>
          <w:sz w:val="24"/>
          <w:szCs w:val="24"/>
          <w:rtl/>
        </w:rPr>
        <w:t xml:space="preserve"> שם הוחמר עונשו של בגיר צעיר, נטול עבר, ששירות המבחן המליץ להימנע בעניינו ממאסר ממש, מ-6 חודשי עבודות שירות ל-10 חודשי מאסר. </w:t>
      </w:r>
    </w:p>
    <w:p w14:paraId="2CE53A20" w14:textId="77777777" w:rsidR="00FE78E4" w:rsidRDefault="00FE78E4" w:rsidP="00FE78E4">
      <w:pPr>
        <w:pStyle w:val="a9"/>
        <w:spacing w:line="360" w:lineRule="auto"/>
        <w:jc w:val="both"/>
        <w:rPr>
          <w:rFonts w:cs="David"/>
          <w:sz w:val="24"/>
          <w:szCs w:val="24"/>
        </w:rPr>
      </w:pPr>
    </w:p>
    <w:p w14:paraId="70F3B54A" w14:textId="77777777" w:rsidR="00FE78E4" w:rsidRDefault="00FE78E4" w:rsidP="00FE78E4">
      <w:pPr>
        <w:pStyle w:val="a9"/>
        <w:spacing w:line="360" w:lineRule="auto"/>
        <w:jc w:val="both"/>
        <w:rPr>
          <w:rFonts w:cs="David"/>
          <w:b/>
          <w:bCs/>
          <w:sz w:val="24"/>
          <w:szCs w:val="24"/>
          <w:u w:val="single"/>
          <w:rtl/>
        </w:rPr>
      </w:pPr>
      <w:r>
        <w:rPr>
          <w:rFonts w:cs="David" w:hint="cs"/>
          <w:b/>
          <w:bCs/>
          <w:sz w:val="24"/>
          <w:szCs w:val="24"/>
          <w:u w:val="single"/>
          <w:rtl/>
        </w:rPr>
        <w:t>קביעת העונש המתאים</w:t>
      </w:r>
    </w:p>
    <w:p w14:paraId="507EC5A7"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t xml:space="preserve">בהנתן המתחם שנקבע, קביעתי שהנאשם פגע פגיעה עוצמתית בערכים החברתיים המוגנים ומסקנתי שניתן לחרוג ממנו חריגה מידתית, מצאתי לקבוע העונש המתאים תוך התחשבות בהליך השיקומי, עברו הנקי של הנאשם, גילו, נטילת האחריות, שהייתו הממושכת בתנאים מגבילים, הטלטלה הקשה שעבר מאז הסתבכותו בתיק זה  והמלצות הגופים הטיפוליים. עוד נתתי דעתי לכך שהסכסוך בין הצדדים הסתיים, בת זוגו דאז נישאה לאחר והנאשם מאורס כיום לאחרת. </w:t>
      </w:r>
    </w:p>
    <w:p w14:paraId="2A71758E" w14:textId="77777777" w:rsidR="00FE78E4" w:rsidRDefault="00FE78E4" w:rsidP="00FE78E4">
      <w:pPr>
        <w:pStyle w:val="a9"/>
        <w:spacing w:line="360" w:lineRule="auto"/>
        <w:jc w:val="both"/>
        <w:rPr>
          <w:rFonts w:cs="David"/>
          <w:sz w:val="24"/>
          <w:szCs w:val="24"/>
        </w:rPr>
      </w:pPr>
    </w:p>
    <w:p w14:paraId="5DB792EA" w14:textId="77777777" w:rsidR="00FE78E4" w:rsidRDefault="00FE78E4" w:rsidP="00FE78E4">
      <w:pPr>
        <w:pStyle w:val="a9"/>
        <w:numPr>
          <w:ilvl w:val="0"/>
          <w:numId w:val="1"/>
        </w:numPr>
        <w:spacing w:line="360" w:lineRule="auto"/>
        <w:jc w:val="both"/>
        <w:rPr>
          <w:rFonts w:cs="David"/>
          <w:sz w:val="24"/>
          <w:szCs w:val="24"/>
        </w:rPr>
      </w:pPr>
      <w:r>
        <w:rPr>
          <w:rFonts w:cs="David" w:hint="cs"/>
          <w:sz w:val="24"/>
          <w:szCs w:val="24"/>
          <w:rtl/>
        </w:rPr>
        <w:t xml:space="preserve">אני דוחה טענת ההגנה, לפיה יש לראות בעונשה של אחותו, שנדונה למאסר בדרך של עבודות שירות בלבד (ואף שהתה מעל לחודש במעצר), עונש מוצא לגזירת עונשו של הנאשם. מעשיו של הנאשם חמורים וקשים משמעותית מאלו של אחותו, וצודק ב"כ המאשימה שזוקף לחובתו ניצול קשריו החמים עם אחותו לסייע לו. </w:t>
      </w:r>
    </w:p>
    <w:p w14:paraId="668BFC0A" w14:textId="77777777" w:rsidR="00FE78E4" w:rsidRDefault="00FE78E4" w:rsidP="00FE78E4">
      <w:pPr>
        <w:pStyle w:val="a9"/>
        <w:spacing w:line="360" w:lineRule="auto"/>
        <w:jc w:val="both"/>
        <w:rPr>
          <w:rFonts w:cs="David"/>
          <w:sz w:val="24"/>
          <w:szCs w:val="24"/>
        </w:rPr>
      </w:pPr>
    </w:p>
    <w:p w14:paraId="2350EE17" w14:textId="77777777" w:rsidR="00FE78E4" w:rsidRDefault="00FE78E4" w:rsidP="00FE78E4">
      <w:pPr>
        <w:pStyle w:val="a9"/>
        <w:numPr>
          <w:ilvl w:val="0"/>
          <w:numId w:val="1"/>
        </w:numPr>
        <w:spacing w:line="360" w:lineRule="auto"/>
        <w:jc w:val="both"/>
        <w:rPr>
          <w:rFonts w:cs="David"/>
          <w:sz w:val="24"/>
          <w:szCs w:val="24"/>
        </w:rPr>
      </w:pPr>
      <w:r>
        <w:rPr>
          <w:rFonts w:cs="David" w:hint="cs"/>
          <w:b/>
          <w:bCs/>
          <w:sz w:val="24"/>
          <w:szCs w:val="24"/>
          <w:rtl/>
        </w:rPr>
        <w:t xml:space="preserve">לאור האמור לעיל, ולאחר ששקלתי את כלל השיקולים הנדרשים, אני גוזרת על הנאשם את העונשים הבאים: </w:t>
      </w:r>
    </w:p>
    <w:p w14:paraId="72CAB5C1" w14:textId="77777777" w:rsidR="00FE78E4" w:rsidRDefault="00FE78E4" w:rsidP="00FE78E4">
      <w:pPr>
        <w:pStyle w:val="a9"/>
        <w:numPr>
          <w:ilvl w:val="0"/>
          <w:numId w:val="2"/>
        </w:numPr>
        <w:spacing w:line="360" w:lineRule="auto"/>
        <w:jc w:val="both"/>
        <w:rPr>
          <w:rFonts w:cs="David"/>
          <w:sz w:val="24"/>
          <w:szCs w:val="24"/>
          <w:rtl/>
        </w:rPr>
      </w:pPr>
      <w:r>
        <w:rPr>
          <w:rFonts w:cs="David" w:hint="cs"/>
          <w:sz w:val="24"/>
          <w:szCs w:val="24"/>
          <w:rtl/>
        </w:rPr>
        <w:t>16 חודשי מאסר בפועל, בניכוי ימי מעצרו 6.1.16 עד 14.2.16.</w:t>
      </w:r>
    </w:p>
    <w:p w14:paraId="65AB9F4D" w14:textId="77777777" w:rsidR="00FE78E4" w:rsidRDefault="00FE78E4" w:rsidP="00FE78E4">
      <w:pPr>
        <w:pStyle w:val="a9"/>
        <w:numPr>
          <w:ilvl w:val="0"/>
          <w:numId w:val="2"/>
        </w:numPr>
        <w:spacing w:line="360" w:lineRule="auto"/>
        <w:jc w:val="both"/>
        <w:rPr>
          <w:rFonts w:cs="David"/>
          <w:sz w:val="24"/>
          <w:szCs w:val="24"/>
        </w:rPr>
      </w:pPr>
      <w:r>
        <w:rPr>
          <w:rFonts w:cs="David" w:hint="cs"/>
          <w:sz w:val="24"/>
          <w:szCs w:val="24"/>
          <w:rtl/>
        </w:rPr>
        <w:t xml:space="preserve">מאסר על תנאי בן 7 חודשים לבל יעבור הנאשם עבירת נשק תוך 3 שנים מיום שחרורו. </w:t>
      </w:r>
    </w:p>
    <w:p w14:paraId="040B4649" w14:textId="77777777" w:rsidR="00FE78E4" w:rsidRDefault="00FE78E4" w:rsidP="00FE78E4">
      <w:pPr>
        <w:pStyle w:val="a9"/>
        <w:numPr>
          <w:ilvl w:val="0"/>
          <w:numId w:val="2"/>
        </w:numPr>
        <w:spacing w:line="360" w:lineRule="auto"/>
        <w:jc w:val="both"/>
        <w:rPr>
          <w:rFonts w:cs="David"/>
          <w:sz w:val="24"/>
          <w:szCs w:val="24"/>
        </w:rPr>
      </w:pPr>
      <w:r>
        <w:rPr>
          <w:rFonts w:cs="David" w:hint="cs"/>
          <w:sz w:val="24"/>
          <w:szCs w:val="24"/>
          <w:rtl/>
        </w:rPr>
        <w:t xml:space="preserve">קנס בסך 5000 ₪ או 30 ימי מאסר. הקנס ישולם עד ליום 1.3.18. </w:t>
      </w:r>
    </w:p>
    <w:p w14:paraId="3F9414EB" w14:textId="77777777" w:rsidR="00FE78E4" w:rsidRDefault="00FE78E4" w:rsidP="00FE78E4">
      <w:pPr>
        <w:spacing w:line="360" w:lineRule="auto"/>
        <w:ind w:left="720"/>
        <w:jc w:val="both"/>
        <w:rPr>
          <w:rtl/>
        </w:rPr>
      </w:pPr>
      <w:r>
        <w:rPr>
          <w:rFonts w:hint="cs"/>
          <w:rtl/>
        </w:rPr>
        <w:t xml:space="preserve">משגזרתי על הנאשם עונש מאסר ממש, לא ניתן להעמידו בפיקוח שירות המבחן. עם זאת, שמעתי הבטחת המטפל הפרטי כי ימשיך בטיפול בו גם לאחר ריצוי עונשו ואני תקווה שכך ייעשה. </w:t>
      </w:r>
    </w:p>
    <w:p w14:paraId="2EF35044" w14:textId="77777777" w:rsidR="00FE78E4" w:rsidRPr="00FE78E4" w:rsidRDefault="00FE78E4" w:rsidP="00FE78E4">
      <w:pPr>
        <w:rPr>
          <w:rFonts w:cs="Arial"/>
          <w:sz w:val="22"/>
          <w:szCs w:val="22"/>
        </w:rPr>
      </w:pPr>
    </w:p>
    <w:p w14:paraId="475B12D3" w14:textId="77777777" w:rsidR="00FE78E4" w:rsidRPr="00BD2517" w:rsidRDefault="00FE78E4" w:rsidP="00FE78E4">
      <w:pPr>
        <w:rPr>
          <w:rtl/>
        </w:rPr>
      </w:pPr>
    </w:p>
    <w:p w14:paraId="0BEE057E" w14:textId="77777777" w:rsidR="00FE78E4" w:rsidRPr="00A8388A" w:rsidRDefault="00A8388A" w:rsidP="00FE78E4">
      <w:pPr>
        <w:rPr>
          <w:color w:val="FFFFFF"/>
          <w:sz w:val="2"/>
          <w:szCs w:val="2"/>
          <w:rtl/>
        </w:rPr>
      </w:pPr>
      <w:r w:rsidRPr="00A8388A">
        <w:rPr>
          <w:color w:val="FFFFFF"/>
          <w:sz w:val="2"/>
          <w:szCs w:val="2"/>
          <w:rtl/>
        </w:rPr>
        <w:t>5129371</w:t>
      </w:r>
    </w:p>
    <w:p w14:paraId="45556846" w14:textId="77777777" w:rsidR="00FE78E4" w:rsidRDefault="00A8388A" w:rsidP="00FE78E4">
      <w:pPr>
        <w:rPr>
          <w:rFonts w:cs="FrankRuehl"/>
          <w:sz w:val="28"/>
          <w:szCs w:val="28"/>
          <w:rtl/>
        </w:rPr>
      </w:pPr>
      <w:r w:rsidRPr="00A8388A">
        <w:rPr>
          <w:rFonts w:ascii="Arial" w:hAnsi="Arial"/>
          <w:color w:val="FFFFFF"/>
          <w:sz w:val="2"/>
          <w:szCs w:val="2"/>
          <w:rtl/>
        </w:rPr>
        <w:t>54678313</w:t>
      </w:r>
      <w:r>
        <w:rPr>
          <w:rFonts w:ascii="Arial" w:hAnsi="Arial"/>
          <w:rtl/>
        </w:rPr>
        <w:t xml:space="preserve">ניתן היום,  כ"ד חשוון תשע"ח, 13 נובמבר 2017, במעמד הצדדים. </w:t>
      </w:r>
    </w:p>
    <w:p w14:paraId="788E136D" w14:textId="77777777" w:rsidR="00FE78E4" w:rsidRDefault="00FE78E4" w:rsidP="00FE78E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7D8C402B" w14:textId="77777777" w:rsidR="00FE78E4" w:rsidRDefault="00FE78E4" w:rsidP="00FE78E4">
      <w:pPr>
        <w:jc w:val="center"/>
        <w:rPr>
          <w:rFonts w:ascii="Arial" w:hAnsi="Arial" w:cs="FrankRuehl"/>
          <w:sz w:val="28"/>
          <w:szCs w:val="28"/>
          <w:rtl/>
        </w:rPr>
      </w:pPr>
    </w:p>
    <w:p w14:paraId="0886B054" w14:textId="77777777" w:rsidR="00FE78E4" w:rsidRDefault="00FE78E4" w:rsidP="00FE78E4">
      <w:pPr>
        <w:rPr>
          <w:rFonts w:cs="FrankRuehl"/>
          <w:sz w:val="28"/>
          <w:szCs w:val="28"/>
          <w:rtl/>
        </w:rPr>
      </w:pPr>
    </w:p>
    <w:p w14:paraId="32273FFD" w14:textId="77777777" w:rsidR="00FE78E4" w:rsidRPr="0044663C" w:rsidRDefault="0044663C" w:rsidP="00FE78E4">
      <w:pPr>
        <w:pStyle w:val="a3"/>
        <w:jc w:val="center"/>
        <w:rPr>
          <w:color w:val="FFFFFF"/>
          <w:sz w:val="2"/>
          <w:szCs w:val="2"/>
          <w:rtl/>
        </w:rPr>
      </w:pPr>
      <w:r w:rsidRPr="0044663C">
        <w:rPr>
          <w:color w:val="FFFFFF"/>
          <w:sz w:val="2"/>
          <w:szCs w:val="2"/>
          <w:rtl/>
        </w:rPr>
        <w:t>5129371</w:t>
      </w:r>
    </w:p>
    <w:p w14:paraId="26CE8C9A" w14:textId="77777777" w:rsidR="002D7B2F" w:rsidRPr="0044663C" w:rsidRDefault="0044663C" w:rsidP="00A8388A">
      <w:pPr>
        <w:keepNext/>
        <w:rPr>
          <w:rFonts w:ascii="David" w:hAnsi="David"/>
          <w:color w:val="FFFFFF"/>
          <w:sz w:val="2"/>
          <w:szCs w:val="2"/>
          <w:rtl/>
        </w:rPr>
      </w:pPr>
      <w:r w:rsidRPr="0044663C">
        <w:rPr>
          <w:rFonts w:ascii="David" w:hAnsi="David"/>
          <w:color w:val="FFFFFF"/>
          <w:sz w:val="2"/>
          <w:szCs w:val="2"/>
          <w:rtl/>
        </w:rPr>
        <w:t>54678313</w:t>
      </w:r>
    </w:p>
    <w:p w14:paraId="5CF4B28E" w14:textId="77777777" w:rsidR="00A8388A" w:rsidRPr="00A8388A" w:rsidRDefault="00A8388A" w:rsidP="00A8388A">
      <w:pPr>
        <w:keepNext/>
        <w:rPr>
          <w:rFonts w:ascii="David" w:hAnsi="David"/>
          <w:color w:val="000000"/>
          <w:sz w:val="22"/>
          <w:szCs w:val="22"/>
          <w:rtl/>
        </w:rPr>
      </w:pPr>
      <w:r w:rsidRPr="00A8388A">
        <w:rPr>
          <w:rFonts w:ascii="David" w:hAnsi="David"/>
          <w:color w:val="000000"/>
          <w:sz w:val="22"/>
          <w:szCs w:val="22"/>
          <w:rtl/>
        </w:rPr>
        <w:t>מרב גרינברג 54678313</w:t>
      </w:r>
    </w:p>
    <w:p w14:paraId="3272DDC9" w14:textId="77777777" w:rsidR="00A8388A" w:rsidRDefault="00A8388A" w:rsidP="00A8388A">
      <w:r w:rsidRPr="00A8388A">
        <w:rPr>
          <w:color w:val="000000"/>
          <w:rtl/>
        </w:rPr>
        <w:t>נוסח מסמך זה כפוף לשינויי ניסוח ועריכה</w:t>
      </w:r>
    </w:p>
    <w:p w14:paraId="7BB32695" w14:textId="77777777" w:rsidR="00A8388A" w:rsidRDefault="00A8388A" w:rsidP="00A8388A">
      <w:pPr>
        <w:rPr>
          <w:rtl/>
        </w:rPr>
      </w:pPr>
    </w:p>
    <w:p w14:paraId="22DC15AC" w14:textId="77777777" w:rsidR="00A8388A" w:rsidRDefault="00A8388A" w:rsidP="00A8388A">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r w:rsidR="005A7571">
        <w:rPr>
          <w:rFonts w:hint="cs"/>
          <w:color w:val="0000FF"/>
          <w:u w:val="single"/>
          <w:rtl/>
        </w:rPr>
        <w:t xml:space="preserve"> </w:t>
      </w:r>
    </w:p>
    <w:p w14:paraId="70381E8E" w14:textId="77777777" w:rsidR="0044663C" w:rsidRPr="0044663C" w:rsidRDefault="0044663C" w:rsidP="0044663C">
      <w:pPr>
        <w:keepNext/>
        <w:rPr>
          <w:rFonts w:ascii="David" w:hAnsi="David"/>
          <w:color w:val="000000"/>
          <w:sz w:val="22"/>
          <w:szCs w:val="22"/>
          <w:rtl/>
        </w:rPr>
      </w:pPr>
    </w:p>
    <w:p w14:paraId="33F91AD5" w14:textId="77777777" w:rsidR="00A8388A" w:rsidRPr="00A8388A" w:rsidRDefault="00A8388A" w:rsidP="0044663C">
      <w:pPr>
        <w:rPr>
          <w:color w:val="0000FF"/>
          <w:u w:val="single"/>
        </w:rPr>
      </w:pPr>
    </w:p>
    <w:sectPr w:rsidR="00A8388A" w:rsidRPr="00A8388A" w:rsidSect="0044663C">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31E01C" w14:textId="77777777" w:rsidR="00B65D10" w:rsidRDefault="00B65D10" w:rsidP="002E29EF">
      <w:r>
        <w:separator/>
      </w:r>
    </w:p>
  </w:endnote>
  <w:endnote w:type="continuationSeparator" w:id="0">
    <w:p w14:paraId="50B9C545" w14:textId="77777777" w:rsidR="00B65D10" w:rsidRDefault="00B65D10" w:rsidP="002E2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878B96" w14:textId="77777777" w:rsidR="00703735" w:rsidRDefault="00703735" w:rsidP="0044663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102BD74" w14:textId="77777777" w:rsidR="00703735" w:rsidRPr="0044663C" w:rsidRDefault="00703735" w:rsidP="0044663C">
    <w:pPr>
      <w:pStyle w:val="a5"/>
      <w:pBdr>
        <w:top w:val="single" w:sz="4" w:space="1" w:color="auto"/>
        <w:between w:val="single" w:sz="4" w:space="0" w:color="auto"/>
      </w:pBdr>
      <w:spacing w:after="60"/>
      <w:jc w:val="center"/>
      <w:rPr>
        <w:rFonts w:ascii="FrankRuehl" w:hAnsi="FrankRuehl" w:cs="FrankRuehl"/>
        <w:color w:val="000000"/>
      </w:rPr>
    </w:pPr>
    <w:r w:rsidRPr="0044663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C7389" w14:textId="77777777" w:rsidR="00703735" w:rsidRDefault="00703735" w:rsidP="0044663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F676F">
      <w:rPr>
        <w:rFonts w:ascii="FrankRuehl" w:hAnsi="FrankRuehl" w:cs="FrankRuehl"/>
        <w:noProof/>
        <w:rtl/>
      </w:rPr>
      <w:t>1</w:t>
    </w:r>
    <w:r>
      <w:rPr>
        <w:rFonts w:ascii="FrankRuehl" w:hAnsi="FrankRuehl" w:cs="FrankRuehl"/>
        <w:rtl/>
      </w:rPr>
      <w:fldChar w:fldCharType="end"/>
    </w:r>
  </w:p>
  <w:p w14:paraId="1859490E" w14:textId="77777777" w:rsidR="00703735" w:rsidRPr="0044663C" w:rsidRDefault="00703735" w:rsidP="0044663C">
    <w:pPr>
      <w:pStyle w:val="a5"/>
      <w:pBdr>
        <w:top w:val="single" w:sz="4" w:space="1" w:color="auto"/>
        <w:between w:val="single" w:sz="4" w:space="0" w:color="auto"/>
      </w:pBdr>
      <w:spacing w:after="60"/>
      <w:jc w:val="center"/>
      <w:rPr>
        <w:rFonts w:ascii="FrankRuehl" w:hAnsi="FrankRuehl" w:cs="FrankRuehl"/>
        <w:color w:val="000000"/>
      </w:rPr>
    </w:pPr>
    <w:r w:rsidRPr="0044663C">
      <w:rPr>
        <w:rFonts w:ascii="FrankRuehl" w:hAnsi="FrankRuehl" w:cs="FrankRuehl"/>
        <w:color w:val="000000"/>
      </w:rPr>
      <w:pict w14:anchorId="3C61D7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6CBBE1" w14:textId="77777777" w:rsidR="00B65D10" w:rsidRDefault="00B65D10" w:rsidP="002E29EF">
      <w:r>
        <w:separator/>
      </w:r>
    </w:p>
  </w:footnote>
  <w:footnote w:type="continuationSeparator" w:id="0">
    <w:p w14:paraId="58187E67" w14:textId="77777777" w:rsidR="00B65D10" w:rsidRDefault="00B65D10" w:rsidP="002E29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5CCEE" w14:textId="77777777" w:rsidR="00703735" w:rsidRPr="0044663C" w:rsidRDefault="00703735" w:rsidP="0044663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21459-01-16</w:t>
    </w:r>
    <w:r>
      <w:rPr>
        <w:rFonts w:ascii="David" w:hAnsi="David"/>
        <w:color w:val="000000"/>
        <w:sz w:val="22"/>
        <w:szCs w:val="22"/>
        <w:rtl/>
      </w:rPr>
      <w:tab/>
      <w:t xml:space="preserve"> מדינת ישראל נ' מחמוד נאטור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F77C0" w14:textId="77777777" w:rsidR="00703735" w:rsidRPr="0044663C" w:rsidRDefault="00703735" w:rsidP="0044663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21459-01-16</w:t>
    </w:r>
    <w:r>
      <w:rPr>
        <w:rFonts w:ascii="David" w:hAnsi="David"/>
        <w:color w:val="000000"/>
        <w:sz w:val="22"/>
        <w:szCs w:val="22"/>
        <w:rtl/>
      </w:rPr>
      <w:tab/>
      <w:t xml:space="preserve"> מדינת ישראל נ' מחמוד נאטור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6A0D32"/>
    <w:multiLevelType w:val="hybridMultilevel"/>
    <w:tmpl w:val="98E4CE56"/>
    <w:lvl w:ilvl="0" w:tplc="BEDC841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4F6C25C2"/>
    <w:multiLevelType w:val="hybridMultilevel"/>
    <w:tmpl w:val="9F7A75CC"/>
    <w:lvl w:ilvl="0" w:tplc="934AED6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989431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379614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E78E4"/>
    <w:rsid w:val="001465F7"/>
    <w:rsid w:val="002D7B2F"/>
    <w:rsid w:val="002E29EF"/>
    <w:rsid w:val="003F676F"/>
    <w:rsid w:val="0044663C"/>
    <w:rsid w:val="005A7571"/>
    <w:rsid w:val="00703735"/>
    <w:rsid w:val="00793F45"/>
    <w:rsid w:val="007B254D"/>
    <w:rsid w:val="00894870"/>
    <w:rsid w:val="00A37397"/>
    <w:rsid w:val="00A8388A"/>
    <w:rsid w:val="00B65D10"/>
    <w:rsid w:val="00BA16A0"/>
    <w:rsid w:val="00F3207D"/>
    <w:rsid w:val="00FE78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2D8FF60"/>
  <w15:chartTrackingRefBased/>
  <w15:docId w15:val="{AAE073DB-6AE8-446C-B31C-8D31131F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E78E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E78E4"/>
    <w:pPr>
      <w:tabs>
        <w:tab w:val="center" w:pos="4153"/>
        <w:tab w:val="right" w:pos="8306"/>
      </w:tabs>
    </w:pPr>
  </w:style>
  <w:style w:type="character" w:customStyle="1" w:styleId="a4">
    <w:name w:val="כותרת עליונה תו"/>
    <w:link w:val="a3"/>
    <w:rsid w:val="00FE78E4"/>
    <w:rPr>
      <w:rFonts w:ascii="Times New Roman" w:eastAsia="Times New Roman" w:hAnsi="Times New Roman" w:cs="David"/>
      <w:sz w:val="24"/>
      <w:szCs w:val="24"/>
    </w:rPr>
  </w:style>
  <w:style w:type="paragraph" w:styleId="a5">
    <w:name w:val="footer"/>
    <w:basedOn w:val="a"/>
    <w:link w:val="a6"/>
    <w:rsid w:val="00FE78E4"/>
    <w:pPr>
      <w:tabs>
        <w:tab w:val="center" w:pos="4153"/>
        <w:tab w:val="right" w:pos="8306"/>
      </w:tabs>
    </w:pPr>
  </w:style>
  <w:style w:type="character" w:customStyle="1" w:styleId="a6">
    <w:name w:val="כותרת תחתונה תו"/>
    <w:link w:val="a5"/>
    <w:rsid w:val="00FE78E4"/>
    <w:rPr>
      <w:rFonts w:ascii="Times New Roman" w:eastAsia="Times New Roman" w:hAnsi="Times New Roman" w:cs="David"/>
      <w:sz w:val="24"/>
      <w:szCs w:val="24"/>
    </w:rPr>
  </w:style>
  <w:style w:type="table" w:styleId="a7">
    <w:name w:val="Table Grid"/>
    <w:basedOn w:val="a1"/>
    <w:rsid w:val="00FE78E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E78E4"/>
  </w:style>
  <w:style w:type="paragraph" w:styleId="a9">
    <w:name w:val="List Paragraph"/>
    <w:basedOn w:val="a"/>
    <w:qFormat/>
    <w:rsid w:val="00FE78E4"/>
    <w:pPr>
      <w:spacing w:after="160" w:line="256" w:lineRule="auto"/>
      <w:ind w:left="720"/>
      <w:contextualSpacing/>
    </w:pPr>
    <w:rPr>
      <w:rFonts w:ascii="Calibri" w:eastAsia="Calibri" w:hAnsi="Calibri" w:cs="Arial"/>
      <w:sz w:val="22"/>
      <w:szCs w:val="22"/>
    </w:rPr>
  </w:style>
  <w:style w:type="character" w:styleId="Hyperlink">
    <w:name w:val="Hyperlink"/>
    <w:rsid w:val="00FE78E4"/>
    <w:rPr>
      <w:color w:val="0000FF"/>
      <w:u w:val="single"/>
    </w:rPr>
  </w:style>
  <w:style w:type="character" w:styleId="aa">
    <w:name w:val="Unresolved Mention"/>
    <w:rsid w:val="00A838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7791493"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20881655" TargetMode="External"/><Relationship Id="rId21" Type="http://schemas.openxmlformats.org/officeDocument/2006/relationships/hyperlink" Target="http://www.nevo.co.il/case/20723375" TargetMode="External"/><Relationship Id="rId34" Type="http://schemas.openxmlformats.org/officeDocument/2006/relationships/hyperlink" Target="http://www.nevo.co.il/case/23226235"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6072945" TargetMode="External"/><Relationship Id="rId29" Type="http://schemas.openxmlformats.org/officeDocument/2006/relationships/hyperlink" Target="http://www.nevo.co.il/law/70301/40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1553"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40d.a" TargetMode="External"/><Relationship Id="rId37" Type="http://schemas.openxmlformats.org/officeDocument/2006/relationships/hyperlink" Target="http://www.nevo.co.il/case/5466378" TargetMode="External"/><Relationship Id="rId40" Type="http://schemas.openxmlformats.org/officeDocument/2006/relationships/hyperlink" Target="http://www.nevo.co.il/case/20658167"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0745111" TargetMode="External"/><Relationship Id="rId23" Type="http://schemas.openxmlformats.org/officeDocument/2006/relationships/hyperlink" Target="http://www.nevo.co.il/law/70301/40d.a" TargetMode="External"/><Relationship Id="rId28" Type="http://schemas.openxmlformats.org/officeDocument/2006/relationships/hyperlink" Target="http://www.nevo.co.il/law/70301/40d" TargetMode="External"/><Relationship Id="rId36" Type="http://schemas.openxmlformats.org/officeDocument/2006/relationships/hyperlink" Target="http://www.nevo.co.il/case/11269745"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case/17929065" TargetMode="External"/><Relationship Id="rId31" Type="http://schemas.openxmlformats.org/officeDocument/2006/relationships/hyperlink" Target="http://www.nevo.co.il/case/6824952"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d.a" TargetMode="External"/><Relationship Id="rId14" Type="http://schemas.openxmlformats.org/officeDocument/2006/relationships/hyperlink" Target="http://www.nevo.co.il/case/20723375" TargetMode="External"/><Relationship Id="rId22" Type="http://schemas.openxmlformats.org/officeDocument/2006/relationships/hyperlink" Target="http://www.nevo.co.il/case/20844996" TargetMode="External"/><Relationship Id="rId27" Type="http://schemas.openxmlformats.org/officeDocument/2006/relationships/hyperlink" Target="http://www.nevo.co.il/law/71553" TargetMode="External"/><Relationship Id="rId30" Type="http://schemas.openxmlformats.org/officeDocument/2006/relationships/hyperlink" Target="http://www.nevo.co.il/case/5601732" TargetMode="External"/><Relationship Id="rId35" Type="http://schemas.openxmlformats.org/officeDocument/2006/relationships/hyperlink" Target="http://www.nevo.co.il/case/6824952" TargetMode="External"/><Relationship Id="rId43" Type="http://schemas.openxmlformats.org/officeDocument/2006/relationships/header" Target="header2.xml"/><Relationship Id="rId8" Type="http://schemas.openxmlformats.org/officeDocument/2006/relationships/hyperlink" Target="http://www.nevo.co.il/law/70301/40d"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case/5568354" TargetMode="External"/><Relationship Id="rId25" Type="http://schemas.openxmlformats.org/officeDocument/2006/relationships/hyperlink" Target="http://www.nevo.co.il/law/70301/40d.a" TargetMode="External"/><Relationship Id="rId33" Type="http://schemas.openxmlformats.org/officeDocument/2006/relationships/hyperlink" Target="http://www.nevo.co.il/case/22240058" TargetMode="External"/><Relationship Id="rId38" Type="http://schemas.openxmlformats.org/officeDocument/2006/relationships/hyperlink" Target="http://www.nevo.co.il/case/21475135" TargetMode="External"/><Relationship Id="rId46" Type="http://schemas.openxmlformats.org/officeDocument/2006/relationships/fontTable" Target="fontTable.xml"/><Relationship Id="rId20" Type="http://schemas.openxmlformats.org/officeDocument/2006/relationships/hyperlink" Target="http://www.nevo.co.il/case/5852404"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3186</Words>
  <Characters>15930</Characters>
  <Application>Microsoft Office Word</Application>
  <DocSecurity>0</DocSecurity>
  <Lines>132</Lines>
  <Paragraphs>38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19078</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3801200</vt:i4>
      </vt:variant>
      <vt:variant>
        <vt:i4>99</vt:i4>
      </vt:variant>
      <vt:variant>
        <vt:i4>0</vt:i4>
      </vt:variant>
      <vt:variant>
        <vt:i4>5</vt:i4>
      </vt:variant>
      <vt:variant>
        <vt:lpwstr>http://www.nevo.co.il/case/20658167</vt:lpwstr>
      </vt:variant>
      <vt:variant>
        <vt:lpwstr/>
      </vt:variant>
      <vt:variant>
        <vt:i4>4063354</vt:i4>
      </vt:variant>
      <vt:variant>
        <vt:i4>96</vt:i4>
      </vt:variant>
      <vt:variant>
        <vt:i4>0</vt:i4>
      </vt:variant>
      <vt:variant>
        <vt:i4>5</vt:i4>
      </vt:variant>
      <vt:variant>
        <vt:lpwstr>http://www.nevo.co.il/case/20881655</vt:lpwstr>
      </vt:variant>
      <vt:variant>
        <vt:lpwstr/>
      </vt:variant>
      <vt:variant>
        <vt:i4>3145843</vt:i4>
      </vt:variant>
      <vt:variant>
        <vt:i4>93</vt:i4>
      </vt:variant>
      <vt:variant>
        <vt:i4>0</vt:i4>
      </vt:variant>
      <vt:variant>
        <vt:i4>5</vt:i4>
      </vt:variant>
      <vt:variant>
        <vt:lpwstr>http://www.nevo.co.il/case/21475135</vt:lpwstr>
      </vt:variant>
      <vt:variant>
        <vt:lpwstr/>
      </vt:variant>
      <vt:variant>
        <vt:i4>3670129</vt:i4>
      </vt:variant>
      <vt:variant>
        <vt:i4>90</vt:i4>
      </vt:variant>
      <vt:variant>
        <vt:i4>0</vt:i4>
      </vt:variant>
      <vt:variant>
        <vt:i4>5</vt:i4>
      </vt:variant>
      <vt:variant>
        <vt:lpwstr>http://www.nevo.co.il/case/5466378</vt:lpwstr>
      </vt:variant>
      <vt:variant>
        <vt:lpwstr/>
      </vt:variant>
      <vt:variant>
        <vt:i4>4063348</vt:i4>
      </vt:variant>
      <vt:variant>
        <vt:i4>87</vt:i4>
      </vt:variant>
      <vt:variant>
        <vt:i4>0</vt:i4>
      </vt:variant>
      <vt:variant>
        <vt:i4>5</vt:i4>
      </vt:variant>
      <vt:variant>
        <vt:lpwstr>http://www.nevo.co.il/case/11269745</vt:lpwstr>
      </vt:variant>
      <vt:variant>
        <vt:lpwstr/>
      </vt:variant>
      <vt:variant>
        <vt:i4>4128893</vt:i4>
      </vt:variant>
      <vt:variant>
        <vt:i4>84</vt:i4>
      </vt:variant>
      <vt:variant>
        <vt:i4>0</vt:i4>
      </vt:variant>
      <vt:variant>
        <vt:i4>5</vt:i4>
      </vt:variant>
      <vt:variant>
        <vt:lpwstr>http://www.nevo.co.il/case/6824952</vt:lpwstr>
      </vt:variant>
      <vt:variant>
        <vt:lpwstr/>
      </vt:variant>
      <vt:variant>
        <vt:i4>3473527</vt:i4>
      </vt:variant>
      <vt:variant>
        <vt:i4>81</vt:i4>
      </vt:variant>
      <vt:variant>
        <vt:i4>0</vt:i4>
      </vt:variant>
      <vt:variant>
        <vt:i4>5</vt:i4>
      </vt:variant>
      <vt:variant>
        <vt:lpwstr>http://www.nevo.co.il/case/23226235</vt:lpwstr>
      </vt:variant>
      <vt:variant>
        <vt:lpwstr/>
      </vt:variant>
      <vt:variant>
        <vt:i4>3473522</vt:i4>
      </vt:variant>
      <vt:variant>
        <vt:i4>78</vt:i4>
      </vt:variant>
      <vt:variant>
        <vt:i4>0</vt:i4>
      </vt:variant>
      <vt:variant>
        <vt:i4>5</vt:i4>
      </vt:variant>
      <vt:variant>
        <vt:lpwstr>http://www.nevo.co.il/case/22240058</vt:lpwstr>
      </vt:variant>
      <vt:variant>
        <vt:lpwstr/>
      </vt:variant>
      <vt:variant>
        <vt:i4>4915205</vt:i4>
      </vt:variant>
      <vt:variant>
        <vt:i4>75</vt:i4>
      </vt:variant>
      <vt:variant>
        <vt:i4>0</vt:i4>
      </vt:variant>
      <vt:variant>
        <vt:i4>5</vt:i4>
      </vt:variant>
      <vt:variant>
        <vt:lpwstr>http://www.nevo.co.il/law/70301/40d.a</vt:lpwstr>
      </vt:variant>
      <vt:variant>
        <vt:lpwstr/>
      </vt:variant>
      <vt:variant>
        <vt:i4>4128893</vt:i4>
      </vt:variant>
      <vt:variant>
        <vt:i4>72</vt:i4>
      </vt:variant>
      <vt:variant>
        <vt:i4>0</vt:i4>
      </vt:variant>
      <vt:variant>
        <vt:i4>5</vt:i4>
      </vt:variant>
      <vt:variant>
        <vt:lpwstr>http://www.nevo.co.il/case/6824952</vt:lpwstr>
      </vt:variant>
      <vt:variant>
        <vt:lpwstr/>
      </vt:variant>
      <vt:variant>
        <vt:i4>3145840</vt:i4>
      </vt:variant>
      <vt:variant>
        <vt:i4>69</vt:i4>
      </vt:variant>
      <vt:variant>
        <vt:i4>0</vt:i4>
      </vt:variant>
      <vt:variant>
        <vt:i4>5</vt:i4>
      </vt:variant>
      <vt:variant>
        <vt:lpwstr>http://www.nevo.co.il/case/5601732</vt:lpwstr>
      </vt:variant>
      <vt:variant>
        <vt:lpwstr/>
      </vt:variant>
      <vt:variant>
        <vt:i4>6619233</vt:i4>
      </vt:variant>
      <vt:variant>
        <vt:i4>66</vt:i4>
      </vt:variant>
      <vt:variant>
        <vt:i4>0</vt:i4>
      </vt:variant>
      <vt:variant>
        <vt:i4>5</vt:i4>
      </vt:variant>
      <vt:variant>
        <vt:lpwstr>http://www.nevo.co.il/law/70301/40d</vt:lpwstr>
      </vt:variant>
      <vt:variant>
        <vt:lpwstr/>
      </vt:variant>
      <vt:variant>
        <vt:i4>6619233</vt:i4>
      </vt:variant>
      <vt:variant>
        <vt:i4>63</vt:i4>
      </vt:variant>
      <vt:variant>
        <vt:i4>0</vt:i4>
      </vt:variant>
      <vt:variant>
        <vt:i4>5</vt:i4>
      </vt:variant>
      <vt:variant>
        <vt:lpwstr>http://www.nevo.co.il/law/70301/40d</vt:lpwstr>
      </vt:variant>
      <vt:variant>
        <vt:lpwstr/>
      </vt:variant>
      <vt:variant>
        <vt:i4>8257634</vt:i4>
      </vt:variant>
      <vt:variant>
        <vt:i4>60</vt:i4>
      </vt:variant>
      <vt:variant>
        <vt:i4>0</vt:i4>
      </vt:variant>
      <vt:variant>
        <vt:i4>5</vt:i4>
      </vt:variant>
      <vt:variant>
        <vt:lpwstr>http://www.nevo.co.il/law/71553</vt:lpwstr>
      </vt:variant>
      <vt:variant>
        <vt:lpwstr/>
      </vt:variant>
      <vt:variant>
        <vt:i4>7995492</vt:i4>
      </vt:variant>
      <vt:variant>
        <vt:i4>57</vt:i4>
      </vt:variant>
      <vt:variant>
        <vt:i4>0</vt:i4>
      </vt:variant>
      <vt:variant>
        <vt:i4>5</vt:i4>
      </vt:variant>
      <vt:variant>
        <vt:lpwstr>http://www.nevo.co.il/law/70301</vt:lpwstr>
      </vt:variant>
      <vt:variant>
        <vt:lpwstr/>
      </vt:variant>
      <vt:variant>
        <vt:i4>4915205</vt:i4>
      </vt:variant>
      <vt:variant>
        <vt:i4>54</vt:i4>
      </vt:variant>
      <vt:variant>
        <vt:i4>0</vt:i4>
      </vt:variant>
      <vt:variant>
        <vt:i4>5</vt:i4>
      </vt:variant>
      <vt:variant>
        <vt:lpwstr>http://www.nevo.co.il/law/70301/40d.a</vt:lpwstr>
      </vt:variant>
      <vt:variant>
        <vt:lpwstr/>
      </vt:variant>
      <vt:variant>
        <vt:i4>7995492</vt:i4>
      </vt:variant>
      <vt:variant>
        <vt:i4>51</vt:i4>
      </vt:variant>
      <vt:variant>
        <vt:i4>0</vt:i4>
      </vt:variant>
      <vt:variant>
        <vt:i4>5</vt:i4>
      </vt:variant>
      <vt:variant>
        <vt:lpwstr>http://www.nevo.co.il/law/70301</vt:lpwstr>
      </vt:variant>
      <vt:variant>
        <vt:lpwstr/>
      </vt:variant>
      <vt:variant>
        <vt:i4>4915205</vt:i4>
      </vt:variant>
      <vt:variant>
        <vt:i4>48</vt:i4>
      </vt:variant>
      <vt:variant>
        <vt:i4>0</vt:i4>
      </vt:variant>
      <vt:variant>
        <vt:i4>5</vt:i4>
      </vt:variant>
      <vt:variant>
        <vt:lpwstr>http://www.nevo.co.il/law/70301/40d.a</vt:lpwstr>
      </vt:variant>
      <vt:variant>
        <vt:lpwstr/>
      </vt:variant>
      <vt:variant>
        <vt:i4>3604601</vt:i4>
      </vt:variant>
      <vt:variant>
        <vt:i4>45</vt:i4>
      </vt:variant>
      <vt:variant>
        <vt:i4>0</vt:i4>
      </vt:variant>
      <vt:variant>
        <vt:i4>5</vt:i4>
      </vt:variant>
      <vt:variant>
        <vt:lpwstr>http://www.nevo.co.il/case/20844996</vt:lpwstr>
      </vt:variant>
      <vt:variant>
        <vt:lpwstr/>
      </vt:variant>
      <vt:variant>
        <vt:i4>3211381</vt:i4>
      </vt:variant>
      <vt:variant>
        <vt:i4>42</vt:i4>
      </vt:variant>
      <vt:variant>
        <vt:i4>0</vt:i4>
      </vt:variant>
      <vt:variant>
        <vt:i4>5</vt:i4>
      </vt:variant>
      <vt:variant>
        <vt:lpwstr>http://www.nevo.co.il/case/20723375</vt:lpwstr>
      </vt:variant>
      <vt:variant>
        <vt:lpwstr/>
      </vt:variant>
      <vt:variant>
        <vt:i4>3145854</vt:i4>
      </vt:variant>
      <vt:variant>
        <vt:i4>39</vt:i4>
      </vt:variant>
      <vt:variant>
        <vt:i4>0</vt:i4>
      </vt:variant>
      <vt:variant>
        <vt:i4>5</vt:i4>
      </vt:variant>
      <vt:variant>
        <vt:lpwstr>http://www.nevo.co.il/case/5852404</vt:lpwstr>
      </vt:variant>
      <vt:variant>
        <vt:lpwstr/>
      </vt:variant>
      <vt:variant>
        <vt:i4>3604593</vt:i4>
      </vt:variant>
      <vt:variant>
        <vt:i4>36</vt:i4>
      </vt:variant>
      <vt:variant>
        <vt:i4>0</vt:i4>
      </vt:variant>
      <vt:variant>
        <vt:i4>5</vt:i4>
      </vt:variant>
      <vt:variant>
        <vt:lpwstr>http://www.nevo.co.il/case/17929065</vt:lpwstr>
      </vt:variant>
      <vt:variant>
        <vt:lpwstr/>
      </vt:variant>
      <vt:variant>
        <vt:i4>3735675</vt:i4>
      </vt:variant>
      <vt:variant>
        <vt:i4>33</vt:i4>
      </vt:variant>
      <vt:variant>
        <vt:i4>0</vt:i4>
      </vt:variant>
      <vt:variant>
        <vt:i4>5</vt:i4>
      </vt:variant>
      <vt:variant>
        <vt:lpwstr>http://www.nevo.co.il/case/7791493</vt:lpwstr>
      </vt:variant>
      <vt:variant>
        <vt:lpwstr/>
      </vt:variant>
      <vt:variant>
        <vt:i4>3407996</vt:i4>
      </vt:variant>
      <vt:variant>
        <vt:i4>30</vt:i4>
      </vt:variant>
      <vt:variant>
        <vt:i4>0</vt:i4>
      </vt:variant>
      <vt:variant>
        <vt:i4>5</vt:i4>
      </vt:variant>
      <vt:variant>
        <vt:lpwstr>http://www.nevo.co.il/case/5568354</vt:lpwstr>
      </vt:variant>
      <vt:variant>
        <vt:lpwstr/>
      </vt:variant>
      <vt:variant>
        <vt:i4>3997810</vt:i4>
      </vt:variant>
      <vt:variant>
        <vt:i4>27</vt:i4>
      </vt:variant>
      <vt:variant>
        <vt:i4>0</vt:i4>
      </vt:variant>
      <vt:variant>
        <vt:i4>5</vt:i4>
      </vt:variant>
      <vt:variant>
        <vt:lpwstr>http://www.nevo.co.il/case/6072945</vt:lpwstr>
      </vt:variant>
      <vt:variant>
        <vt:lpwstr/>
      </vt:variant>
      <vt:variant>
        <vt:i4>3211377</vt:i4>
      </vt:variant>
      <vt:variant>
        <vt:i4>24</vt:i4>
      </vt:variant>
      <vt:variant>
        <vt:i4>0</vt:i4>
      </vt:variant>
      <vt:variant>
        <vt:i4>5</vt:i4>
      </vt:variant>
      <vt:variant>
        <vt:lpwstr>http://www.nevo.co.il/case/20745111</vt:lpwstr>
      </vt:variant>
      <vt:variant>
        <vt:lpwstr/>
      </vt:variant>
      <vt:variant>
        <vt:i4>3211381</vt:i4>
      </vt:variant>
      <vt:variant>
        <vt:i4>21</vt:i4>
      </vt:variant>
      <vt:variant>
        <vt:i4>0</vt:i4>
      </vt:variant>
      <vt:variant>
        <vt:i4>5</vt:i4>
      </vt:variant>
      <vt:variant>
        <vt:lpwstr>http://www.nevo.co.il/case/20723375</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8257634</vt:i4>
      </vt:variant>
      <vt:variant>
        <vt:i4>12</vt:i4>
      </vt:variant>
      <vt:variant>
        <vt:i4>0</vt:i4>
      </vt:variant>
      <vt:variant>
        <vt:i4>5</vt:i4>
      </vt:variant>
      <vt:variant>
        <vt:lpwstr>http://www.nevo.co.il/law/71553</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4915205</vt:i4>
      </vt:variant>
      <vt:variant>
        <vt:i4>6</vt:i4>
      </vt:variant>
      <vt:variant>
        <vt:i4>0</vt:i4>
      </vt:variant>
      <vt:variant>
        <vt:i4>5</vt:i4>
      </vt:variant>
      <vt:variant>
        <vt:lpwstr>http://www.nevo.co.il/law/70301/40d.a</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2025-04-25T11:06:00Z</dcterms:created>
  <dcterms:modified xsi:type="dcterms:W3CDTF">2025-04-25T11:06:00Z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21459</vt:lpwstr>
  </property>
  <property fmtid="{D5CDD505-2E9C-101B-9397-08002B2CF9AE}" pid="6" name="NEWPARTB">
    <vt:lpwstr>01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מחמוד נאטור;נוהאיה נאטור </vt:lpwstr>
  </property>
  <property fmtid="{D5CDD505-2E9C-101B-9397-08002B2CF9AE}" pid="10" name="LAWYER">
    <vt:lpwstr>פאדי אסעד;שרמן;ירום הלוי;שאדי נאטור</vt:lpwstr>
  </property>
  <property fmtid="{D5CDD505-2E9C-101B-9397-08002B2CF9AE}" pid="11" name="JUDGE">
    <vt:lpwstr>מרב גרינברג</vt:lpwstr>
  </property>
  <property fmtid="{D5CDD505-2E9C-101B-9397-08002B2CF9AE}" pid="12" name="CITY">
    <vt:lpwstr>כ"ס</vt:lpwstr>
  </property>
  <property fmtid="{D5CDD505-2E9C-101B-9397-08002B2CF9AE}" pid="13" name="DATE">
    <vt:lpwstr>20171113</vt:lpwstr>
  </property>
  <property fmtid="{D5CDD505-2E9C-101B-9397-08002B2CF9AE}" pid="14" name="TYPE_N_DATE">
    <vt:lpwstr>38020171113</vt:lpwstr>
  </property>
  <property fmtid="{D5CDD505-2E9C-101B-9397-08002B2CF9AE}" pid="15" name="WORDNUMPAGES">
    <vt:lpwstr>10</vt:lpwstr>
  </property>
  <property fmtid="{D5CDD505-2E9C-101B-9397-08002B2CF9AE}" pid="16" name="TYPE_ABS_DATE">
    <vt:lpwstr>380020171113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20723375:2;20745111;6072945;5568354;7791493;17929065;5852404;20844996;5601732;6824952:2;22240058;23226235;11269745;5466378;21475135;20881655;20658167</vt:lpwstr>
  </property>
  <property fmtid="{D5CDD505-2E9C-101B-9397-08002B2CF9AE}" pid="36" name="LAWLISTTMP1">
    <vt:lpwstr>70301/144.a;040d.a:3;040d:2</vt:lpwstr>
  </property>
  <property fmtid="{D5CDD505-2E9C-101B-9397-08002B2CF9AE}" pid="37" name="LAWLISTTMP2">
    <vt:lpwstr>71553</vt:lpwstr>
  </property>
</Properties>
</file>