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26F7A" w:rsidRPr="003A68E1" w14:paraId="27284A3F" w14:textId="77777777">
        <w:trPr>
          <w:trHeight w:hRule="exact" w:val="418"/>
          <w:jc w:val="center"/>
        </w:trPr>
        <w:tc>
          <w:tcPr>
            <w:tcW w:w="8720" w:type="dxa"/>
            <w:gridSpan w:val="3"/>
          </w:tcPr>
          <w:p w14:paraId="3E679768" w14:textId="77777777" w:rsidR="00D26F7A" w:rsidRPr="003A68E1" w:rsidRDefault="003A68E1">
            <w:pPr>
              <w:pStyle w:val="a4"/>
              <w:tabs>
                <w:tab w:val="clear" w:pos="8306"/>
              </w:tabs>
              <w:jc w:val="center"/>
              <w:rPr>
                <w:rFonts w:ascii="Tahoma" w:hAnsi="Tahoma" w:cs="Tahoma"/>
                <w:b/>
                <w:bCs/>
                <w:color w:val="000080"/>
                <w:sz w:val="20"/>
                <w:szCs w:val="20"/>
                <w:rtl/>
              </w:rPr>
            </w:pPr>
            <w:r w:rsidRPr="003A68E1">
              <w:rPr>
                <w:rFonts w:ascii="Tahoma" w:hAnsi="Tahoma" w:cs="Tahoma"/>
                <w:b/>
                <w:bCs/>
                <w:color w:val="000080"/>
                <w:sz w:val="20"/>
                <w:szCs w:val="20"/>
                <w:rtl/>
              </w:rPr>
              <w:t>בית משפט השלום בבאר שבע</w:t>
            </w:r>
          </w:p>
        </w:tc>
      </w:tr>
      <w:tr w:rsidR="00D26F7A" w:rsidRPr="003A68E1" w14:paraId="618B5F9E" w14:textId="77777777">
        <w:trPr>
          <w:trHeight w:val="337"/>
          <w:jc w:val="center"/>
        </w:trPr>
        <w:tc>
          <w:tcPr>
            <w:tcW w:w="6396" w:type="dxa"/>
          </w:tcPr>
          <w:p w14:paraId="4FB52814" w14:textId="77777777" w:rsidR="00D26F7A" w:rsidRPr="003A68E1" w:rsidRDefault="003A68E1">
            <w:pPr>
              <w:rPr>
                <w:b/>
                <w:bCs/>
                <w:sz w:val="26"/>
                <w:szCs w:val="26"/>
                <w:rtl/>
              </w:rPr>
            </w:pPr>
            <w:r w:rsidRPr="003A68E1">
              <w:rPr>
                <w:b/>
                <w:bCs/>
                <w:sz w:val="26"/>
                <w:szCs w:val="26"/>
                <w:rtl/>
              </w:rPr>
              <w:t>ת"פ</w:t>
            </w:r>
            <w:r w:rsidRPr="003A68E1">
              <w:rPr>
                <w:rFonts w:hint="cs"/>
                <w:b/>
                <w:bCs/>
                <w:sz w:val="26"/>
                <w:szCs w:val="26"/>
                <w:rtl/>
              </w:rPr>
              <w:t xml:space="preserve"> </w:t>
            </w:r>
            <w:r w:rsidRPr="003A68E1">
              <w:rPr>
                <w:b/>
                <w:bCs/>
                <w:sz w:val="26"/>
                <w:szCs w:val="26"/>
                <w:rtl/>
              </w:rPr>
              <w:t>65259-05-16</w:t>
            </w:r>
            <w:r w:rsidRPr="003A68E1">
              <w:rPr>
                <w:rFonts w:hint="cs"/>
                <w:b/>
                <w:bCs/>
                <w:sz w:val="26"/>
                <w:szCs w:val="26"/>
                <w:rtl/>
              </w:rPr>
              <w:t xml:space="preserve"> </w:t>
            </w:r>
            <w:r w:rsidRPr="003A68E1">
              <w:rPr>
                <w:b/>
                <w:bCs/>
                <w:sz w:val="26"/>
                <w:szCs w:val="26"/>
                <w:rtl/>
              </w:rPr>
              <w:t>מדינת ישראל נ' אלטלאלקה</w:t>
            </w:r>
          </w:p>
          <w:p w14:paraId="73CF7542" w14:textId="77777777" w:rsidR="00D26F7A" w:rsidRPr="003A68E1" w:rsidRDefault="00D26F7A">
            <w:pPr>
              <w:rPr>
                <w:b/>
                <w:bCs/>
                <w:sz w:val="26"/>
                <w:szCs w:val="26"/>
                <w:rtl/>
              </w:rPr>
            </w:pPr>
          </w:p>
        </w:tc>
        <w:tc>
          <w:tcPr>
            <w:tcW w:w="236" w:type="dxa"/>
          </w:tcPr>
          <w:p w14:paraId="78D257B0" w14:textId="77777777" w:rsidR="00D26F7A" w:rsidRPr="003A68E1" w:rsidRDefault="00D26F7A">
            <w:pPr>
              <w:pStyle w:val="a4"/>
              <w:jc w:val="right"/>
              <w:rPr>
                <w:b/>
                <w:bCs/>
                <w:sz w:val="26"/>
                <w:szCs w:val="26"/>
                <w:rtl/>
              </w:rPr>
            </w:pPr>
          </w:p>
        </w:tc>
        <w:tc>
          <w:tcPr>
            <w:tcW w:w="2088" w:type="dxa"/>
          </w:tcPr>
          <w:p w14:paraId="387AFEBD" w14:textId="77777777" w:rsidR="00D26F7A" w:rsidRPr="003A68E1" w:rsidRDefault="003A68E1">
            <w:pPr>
              <w:pStyle w:val="a4"/>
              <w:tabs>
                <w:tab w:val="clear" w:pos="4153"/>
              </w:tabs>
              <w:jc w:val="right"/>
              <w:rPr>
                <w:b/>
                <w:bCs/>
                <w:sz w:val="26"/>
                <w:szCs w:val="26"/>
                <w:rtl/>
              </w:rPr>
            </w:pPr>
            <w:r w:rsidRPr="003A68E1">
              <w:rPr>
                <w:b/>
                <w:bCs/>
                <w:sz w:val="26"/>
                <w:szCs w:val="26"/>
                <w:rtl/>
              </w:rPr>
              <w:t>30 אוקטובר 2016</w:t>
            </w:r>
          </w:p>
        </w:tc>
      </w:tr>
    </w:tbl>
    <w:p w14:paraId="3AE00AC3" w14:textId="77777777" w:rsidR="00D26F7A" w:rsidRPr="003A68E1" w:rsidRDefault="00D26F7A">
      <w:pPr>
        <w:pStyle w:val="a4"/>
        <w:jc w:val="center"/>
        <w:rPr>
          <w:rFonts w:ascii="Tahoma" w:hAnsi="Tahoma" w:cs="Tahoma"/>
          <w:b/>
          <w:bCs/>
          <w:color w:val="000080"/>
          <w:sz w:val="20"/>
          <w:szCs w:val="20"/>
          <w:rtl/>
        </w:rPr>
      </w:pPr>
    </w:p>
    <w:p w14:paraId="4009B6ED" w14:textId="77777777" w:rsidR="00D26F7A" w:rsidRPr="003A68E1" w:rsidRDefault="00D26F7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26F7A" w:rsidRPr="003A68E1" w14:paraId="21E11915" w14:textId="77777777">
        <w:trPr>
          <w:gridAfter w:val="1"/>
          <w:wAfter w:w="55" w:type="dxa"/>
        </w:trPr>
        <w:tc>
          <w:tcPr>
            <w:tcW w:w="8719" w:type="dxa"/>
            <w:gridSpan w:val="2"/>
            <w:shd w:val="clear" w:color="auto" w:fill="auto"/>
          </w:tcPr>
          <w:p w14:paraId="4FBB8501" w14:textId="77777777" w:rsidR="00D26F7A" w:rsidRPr="003A68E1" w:rsidRDefault="003A68E1">
            <w:pPr>
              <w:spacing w:line="360" w:lineRule="auto"/>
              <w:jc w:val="both"/>
              <w:rPr>
                <w:rFonts w:ascii="Times New Roman" w:eastAsia="Times New Roman" w:hAnsi="Times New Roman"/>
                <w:b/>
                <w:bCs/>
                <w:sz w:val="26"/>
                <w:szCs w:val="26"/>
                <w:rtl/>
              </w:rPr>
            </w:pPr>
            <w:r w:rsidRPr="003A68E1">
              <w:rPr>
                <w:rFonts w:ascii="Times New Roman" w:eastAsia="Times New Roman" w:hAnsi="Times New Roman" w:hint="cs"/>
                <w:b/>
                <w:bCs/>
                <w:sz w:val="26"/>
                <w:szCs w:val="26"/>
                <w:rtl/>
              </w:rPr>
              <w:t>בפני כב' השופט איתי ברסלר-גונן, סגן נשיאה</w:t>
            </w:r>
          </w:p>
          <w:p w14:paraId="67EA4835" w14:textId="77777777" w:rsidR="00D26F7A" w:rsidRPr="003A68E1" w:rsidRDefault="00D26F7A">
            <w:pPr>
              <w:spacing w:line="360" w:lineRule="auto"/>
              <w:rPr>
                <w:rFonts w:ascii="Times New Roman" w:eastAsia="Times New Roman" w:hAnsi="Times New Roman"/>
                <w:b/>
                <w:bCs/>
                <w:sz w:val="26"/>
                <w:szCs w:val="26"/>
                <w:rtl/>
              </w:rPr>
            </w:pPr>
          </w:p>
        </w:tc>
      </w:tr>
      <w:tr w:rsidR="00D26F7A" w:rsidRPr="003A68E1" w14:paraId="1A53F560" w14:textId="77777777">
        <w:tc>
          <w:tcPr>
            <w:tcW w:w="2880" w:type="dxa"/>
            <w:shd w:val="clear" w:color="auto" w:fill="auto"/>
          </w:tcPr>
          <w:p w14:paraId="538C0FD2" w14:textId="77777777" w:rsidR="00D26F7A" w:rsidRPr="003A68E1" w:rsidRDefault="003A68E1">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3A68E1">
              <w:rPr>
                <w:rFonts w:ascii="Times New Roman" w:eastAsia="Times New Roman" w:hAnsi="Times New Roman" w:hint="cs"/>
                <w:b/>
                <w:bCs/>
                <w:sz w:val="26"/>
                <w:szCs w:val="26"/>
                <w:rtl/>
              </w:rPr>
              <w:t>ה</w:t>
            </w:r>
            <w:r w:rsidRPr="003A68E1">
              <w:rPr>
                <w:rFonts w:ascii="Times New Roman" w:eastAsia="Times New Roman" w:hAnsi="Times New Roman" w:hint="cs"/>
                <w:rtl/>
              </w:rPr>
              <w:t>מאשימה</w:t>
            </w:r>
          </w:p>
        </w:tc>
        <w:tc>
          <w:tcPr>
            <w:tcW w:w="5922" w:type="dxa"/>
            <w:gridSpan w:val="2"/>
            <w:shd w:val="clear" w:color="auto" w:fill="auto"/>
          </w:tcPr>
          <w:p w14:paraId="3F47D949" w14:textId="77777777" w:rsidR="00D26F7A" w:rsidRPr="003A68E1" w:rsidRDefault="003A68E1">
            <w:pPr>
              <w:rPr>
                <w:rFonts w:ascii="Times New Roman" w:eastAsia="Times New Roman" w:hAnsi="Times New Roman"/>
                <w:b/>
                <w:bCs/>
                <w:sz w:val="26"/>
                <w:szCs w:val="26"/>
                <w:rtl/>
              </w:rPr>
            </w:pPr>
            <w:r w:rsidRPr="003A68E1">
              <w:rPr>
                <w:rFonts w:ascii="Times New Roman" w:eastAsia="Times New Roman" w:hAnsi="Times New Roman" w:hint="cs"/>
                <w:rtl/>
              </w:rPr>
              <w:t>מדינת ישראל</w:t>
            </w:r>
            <w:r w:rsidRPr="003A68E1">
              <w:rPr>
                <w:rFonts w:ascii="Times New Roman" w:eastAsia="Times New Roman" w:hAnsi="Times New Roman" w:hint="cs"/>
                <w:b/>
                <w:bCs/>
                <w:sz w:val="26"/>
                <w:szCs w:val="26"/>
                <w:rtl/>
              </w:rPr>
              <w:t xml:space="preserve">-פמ"ד </w:t>
            </w:r>
          </w:p>
          <w:p w14:paraId="426791DF" w14:textId="77777777" w:rsidR="00D26F7A" w:rsidRPr="003A68E1" w:rsidRDefault="003A68E1">
            <w:pPr>
              <w:rPr>
                <w:rFonts w:ascii="Times New Roman" w:eastAsia="Times New Roman" w:hAnsi="Times New Roman"/>
                <w:b/>
                <w:bCs/>
                <w:sz w:val="26"/>
                <w:szCs w:val="26"/>
                <w:rtl/>
              </w:rPr>
            </w:pPr>
            <w:r w:rsidRPr="003A68E1">
              <w:rPr>
                <w:rFonts w:ascii="Times New Roman" w:eastAsia="Times New Roman" w:hAnsi="Times New Roman" w:hint="cs"/>
                <w:b/>
                <w:bCs/>
                <w:sz w:val="26"/>
                <w:szCs w:val="26"/>
                <w:rtl/>
              </w:rPr>
              <w:t xml:space="preserve">ע"י ב"כ עו"ד דבורה מזור </w:t>
            </w:r>
          </w:p>
        </w:tc>
      </w:tr>
      <w:bookmarkEnd w:id="0"/>
      <w:bookmarkEnd w:id="1"/>
      <w:tr w:rsidR="00D26F7A" w:rsidRPr="003A68E1" w14:paraId="34F30218" w14:textId="77777777">
        <w:tc>
          <w:tcPr>
            <w:tcW w:w="8802" w:type="dxa"/>
            <w:gridSpan w:val="3"/>
            <w:shd w:val="clear" w:color="auto" w:fill="auto"/>
          </w:tcPr>
          <w:p w14:paraId="21F923CA" w14:textId="77777777" w:rsidR="00D26F7A" w:rsidRPr="003A68E1" w:rsidRDefault="00D26F7A">
            <w:pPr>
              <w:jc w:val="both"/>
              <w:rPr>
                <w:rFonts w:ascii="Arial" w:eastAsia="Times New Roman" w:hAnsi="Arial"/>
                <w:b/>
                <w:bCs/>
                <w:sz w:val="26"/>
                <w:szCs w:val="26"/>
                <w:rtl/>
              </w:rPr>
            </w:pPr>
          </w:p>
          <w:p w14:paraId="6DDED3E6" w14:textId="77777777" w:rsidR="00D26F7A" w:rsidRPr="003A68E1" w:rsidRDefault="003A68E1">
            <w:pPr>
              <w:jc w:val="center"/>
              <w:rPr>
                <w:rFonts w:ascii="Arial" w:eastAsia="Times New Roman" w:hAnsi="Arial"/>
                <w:b/>
                <w:bCs/>
                <w:sz w:val="26"/>
                <w:szCs w:val="26"/>
                <w:rtl/>
              </w:rPr>
            </w:pPr>
            <w:r w:rsidRPr="003A68E1">
              <w:rPr>
                <w:rFonts w:ascii="Arial" w:eastAsia="Times New Roman" w:hAnsi="Arial"/>
                <w:b/>
                <w:bCs/>
                <w:sz w:val="26"/>
                <w:szCs w:val="26"/>
                <w:rtl/>
              </w:rPr>
              <w:t>נגד</w:t>
            </w:r>
          </w:p>
          <w:p w14:paraId="1873FE64" w14:textId="77777777" w:rsidR="00D26F7A" w:rsidRPr="003A68E1" w:rsidRDefault="00D26F7A">
            <w:pPr>
              <w:jc w:val="center"/>
              <w:rPr>
                <w:rFonts w:ascii="Arial" w:eastAsia="Times New Roman" w:hAnsi="Arial"/>
                <w:b/>
                <w:bCs/>
                <w:sz w:val="26"/>
                <w:szCs w:val="26"/>
              </w:rPr>
            </w:pPr>
          </w:p>
        </w:tc>
      </w:tr>
      <w:tr w:rsidR="00D26F7A" w:rsidRPr="003A68E1" w14:paraId="4B5ED664" w14:textId="77777777">
        <w:tc>
          <w:tcPr>
            <w:tcW w:w="2880" w:type="dxa"/>
            <w:shd w:val="clear" w:color="auto" w:fill="auto"/>
          </w:tcPr>
          <w:p w14:paraId="69A41C4C" w14:textId="77777777" w:rsidR="00D26F7A" w:rsidRPr="003A68E1" w:rsidRDefault="003A68E1">
            <w:pPr>
              <w:ind w:left="26"/>
              <w:rPr>
                <w:rFonts w:ascii="Times New Roman" w:eastAsia="Times New Roman" w:hAnsi="Times New Roman"/>
                <w:b/>
                <w:bCs/>
                <w:sz w:val="26"/>
                <w:szCs w:val="26"/>
                <w:rtl/>
              </w:rPr>
            </w:pPr>
            <w:r w:rsidRPr="003A68E1">
              <w:rPr>
                <w:rFonts w:ascii="Times New Roman" w:eastAsia="Times New Roman" w:hAnsi="Times New Roman" w:hint="cs"/>
                <w:b/>
                <w:bCs/>
                <w:sz w:val="26"/>
                <w:szCs w:val="26"/>
                <w:rtl/>
              </w:rPr>
              <w:t>ה</w:t>
            </w:r>
            <w:r w:rsidRPr="003A68E1">
              <w:rPr>
                <w:rFonts w:ascii="Times New Roman" w:eastAsia="Times New Roman" w:hAnsi="Times New Roman" w:hint="cs"/>
                <w:rtl/>
              </w:rPr>
              <w:t>נאשם</w:t>
            </w:r>
          </w:p>
        </w:tc>
        <w:tc>
          <w:tcPr>
            <w:tcW w:w="5922" w:type="dxa"/>
            <w:gridSpan w:val="2"/>
            <w:shd w:val="clear" w:color="auto" w:fill="auto"/>
          </w:tcPr>
          <w:p w14:paraId="57DE77AF" w14:textId="77777777" w:rsidR="00D26F7A" w:rsidRPr="003A68E1" w:rsidRDefault="003A68E1">
            <w:pPr>
              <w:rPr>
                <w:rFonts w:ascii="Times New Roman" w:eastAsia="Times New Roman" w:hAnsi="Times New Roman"/>
                <w:b/>
                <w:bCs/>
                <w:sz w:val="26"/>
                <w:szCs w:val="26"/>
                <w:rtl/>
              </w:rPr>
            </w:pPr>
            <w:r w:rsidRPr="003A68E1">
              <w:rPr>
                <w:rFonts w:ascii="Times New Roman" w:eastAsia="Times New Roman" w:hAnsi="Times New Roman" w:hint="cs"/>
                <w:rtl/>
              </w:rPr>
              <w:t xml:space="preserve">מוסא אלטלאלקה-בעצמו </w:t>
            </w:r>
          </w:p>
          <w:p w14:paraId="0CA259E1" w14:textId="77777777" w:rsidR="00D26F7A" w:rsidRPr="003A68E1" w:rsidRDefault="003A68E1">
            <w:pPr>
              <w:rPr>
                <w:rFonts w:ascii="Times New Roman" w:eastAsia="Times New Roman" w:hAnsi="Times New Roman"/>
                <w:b/>
                <w:bCs/>
                <w:sz w:val="26"/>
                <w:szCs w:val="26"/>
                <w:rtl/>
              </w:rPr>
            </w:pPr>
            <w:r w:rsidRPr="003A68E1">
              <w:rPr>
                <w:rFonts w:ascii="Times New Roman" w:eastAsia="Times New Roman" w:hAnsi="Times New Roman" w:hint="cs"/>
                <w:b/>
                <w:bCs/>
                <w:sz w:val="26"/>
                <w:szCs w:val="26"/>
                <w:rtl/>
              </w:rPr>
              <w:t xml:space="preserve">ע"י ב"כ עו"ד נאצר אלעטאונה </w:t>
            </w:r>
          </w:p>
        </w:tc>
      </w:tr>
    </w:tbl>
    <w:p w14:paraId="1053A960" w14:textId="77777777" w:rsidR="00D26F7A" w:rsidRPr="003A68E1" w:rsidRDefault="003A68E1">
      <w:pPr>
        <w:spacing w:line="360" w:lineRule="auto"/>
        <w:jc w:val="both"/>
        <w:rPr>
          <w:sz w:val="6"/>
          <w:szCs w:val="6"/>
          <w:rtl/>
        </w:rPr>
      </w:pPr>
      <w:r w:rsidRPr="003A68E1">
        <w:rPr>
          <w:sz w:val="6"/>
          <w:szCs w:val="6"/>
          <w:rtl/>
        </w:rPr>
        <w:t>&lt;#1#&gt;</w:t>
      </w:r>
    </w:p>
    <w:p w14:paraId="749582B1" w14:textId="77777777" w:rsidR="00D26F7A" w:rsidRPr="003A68E1" w:rsidRDefault="00D26F7A">
      <w:pPr>
        <w:pStyle w:val="12"/>
        <w:rPr>
          <w:b w:val="0"/>
          <w:bCs w:val="0"/>
          <w:u w:val="none"/>
          <w:rtl/>
        </w:rPr>
      </w:pPr>
    </w:p>
    <w:p w14:paraId="26C3B0B2" w14:textId="77777777" w:rsidR="00D26F7A" w:rsidRPr="003A68E1" w:rsidRDefault="00D26F7A">
      <w:pPr>
        <w:pStyle w:val="12"/>
        <w:rPr>
          <w:b w:val="0"/>
          <w:bCs w:val="0"/>
          <w:u w:val="none"/>
          <w:rtl/>
        </w:rPr>
      </w:pPr>
    </w:p>
    <w:p w14:paraId="3C5E61D3" w14:textId="77777777" w:rsidR="00055969" w:rsidRDefault="003A68E1" w:rsidP="00055969">
      <w:pPr>
        <w:spacing w:before="120" w:line="360" w:lineRule="auto"/>
        <w:ind w:left="28"/>
        <w:rPr>
          <w:rFonts w:ascii="Arial" w:hAnsi="Arial"/>
          <w:color w:val="FF0000"/>
          <w:sz w:val="28"/>
          <w:rtl/>
        </w:rPr>
      </w:pPr>
      <w:r w:rsidRPr="003A68E1">
        <w:rPr>
          <w:rFonts w:ascii="Arial" w:hAnsi="Arial"/>
          <w:b/>
          <w:color w:val="FF0000"/>
          <w:sz w:val="28"/>
          <w:rtl/>
        </w:rPr>
        <w:t>במסמך זה הושמטו פרוטוקולי</w:t>
      </w:r>
      <w:bookmarkStart w:id="3" w:name="LawTable"/>
      <w:bookmarkEnd w:id="3"/>
    </w:p>
    <w:p w14:paraId="0BDBA83C" w14:textId="77777777" w:rsidR="00055969" w:rsidRPr="00055969" w:rsidRDefault="00055969" w:rsidP="00055969">
      <w:pPr>
        <w:spacing w:before="120" w:after="120" w:line="240" w:lineRule="exact"/>
        <w:ind w:left="283" w:hanging="283"/>
        <w:jc w:val="both"/>
        <w:rPr>
          <w:rFonts w:ascii="FrankRuehl" w:hAnsi="FrankRuehl" w:cs="FrankRuehl"/>
          <w:color w:val="FF0000"/>
          <w:rtl/>
        </w:rPr>
      </w:pPr>
    </w:p>
    <w:p w14:paraId="04D1AB57" w14:textId="77777777" w:rsidR="00055969" w:rsidRPr="00055969" w:rsidRDefault="00055969" w:rsidP="00055969">
      <w:pPr>
        <w:spacing w:before="120" w:after="120" w:line="240" w:lineRule="exact"/>
        <w:ind w:left="283" w:hanging="283"/>
        <w:jc w:val="both"/>
        <w:rPr>
          <w:rFonts w:ascii="FrankRuehl" w:hAnsi="FrankRuehl" w:cs="FrankRuehl"/>
          <w:color w:val="FF0000"/>
          <w:rtl/>
        </w:rPr>
      </w:pPr>
      <w:r w:rsidRPr="00055969">
        <w:rPr>
          <w:rFonts w:ascii="FrankRuehl" w:hAnsi="FrankRuehl" w:cs="FrankRuehl"/>
          <w:color w:val="FF0000"/>
          <w:rtl/>
        </w:rPr>
        <w:t xml:space="preserve">חקיקה שאוזכרה: </w:t>
      </w:r>
    </w:p>
    <w:p w14:paraId="7AA6DC27" w14:textId="77777777" w:rsidR="00055969" w:rsidRPr="00055969" w:rsidRDefault="00055969" w:rsidP="00055969">
      <w:pPr>
        <w:spacing w:before="120" w:after="120" w:line="240" w:lineRule="exact"/>
        <w:ind w:left="283" w:hanging="283"/>
        <w:jc w:val="both"/>
        <w:rPr>
          <w:rFonts w:ascii="FrankRuehl" w:hAnsi="FrankRuehl" w:cs="FrankRuehl"/>
          <w:rtl/>
        </w:rPr>
      </w:pPr>
      <w:hyperlink r:id="rId7" w:history="1">
        <w:r w:rsidRPr="00055969">
          <w:rPr>
            <w:rFonts w:ascii="FrankRuehl" w:hAnsi="FrankRuehl" w:cs="FrankRuehl"/>
            <w:color w:val="0000FF"/>
            <w:u w:val="single"/>
            <w:rtl/>
          </w:rPr>
          <w:t>חוק העונשין, תשל"ז-1977</w:t>
        </w:r>
      </w:hyperlink>
      <w:r w:rsidRPr="00055969">
        <w:rPr>
          <w:rFonts w:ascii="FrankRuehl" w:hAnsi="FrankRuehl" w:cs="FrankRuehl"/>
          <w:rtl/>
        </w:rPr>
        <w:t xml:space="preserve">: סע'  </w:t>
      </w:r>
      <w:hyperlink r:id="rId8" w:history="1">
        <w:r w:rsidRPr="00055969">
          <w:rPr>
            <w:rFonts w:ascii="FrankRuehl" w:hAnsi="FrankRuehl" w:cs="FrankRuehl"/>
            <w:color w:val="0000FF"/>
            <w:u w:val="single"/>
            <w:rtl/>
          </w:rPr>
          <w:t>144(א)</w:t>
        </w:r>
      </w:hyperlink>
    </w:p>
    <w:p w14:paraId="6E58C32B" w14:textId="77777777" w:rsidR="00055969" w:rsidRPr="00055969" w:rsidRDefault="00055969" w:rsidP="00055969">
      <w:pPr>
        <w:spacing w:before="120" w:after="120" w:line="240" w:lineRule="exact"/>
        <w:ind w:left="283" w:hanging="283"/>
        <w:jc w:val="both"/>
        <w:rPr>
          <w:rFonts w:ascii="FrankRuehl" w:hAnsi="FrankRuehl" w:cs="FrankRuehl"/>
          <w:rtl/>
        </w:rPr>
      </w:pPr>
    </w:p>
    <w:p w14:paraId="5E444454" w14:textId="77777777" w:rsidR="003A68E1" w:rsidRPr="003A68E1" w:rsidRDefault="003A68E1" w:rsidP="00055969">
      <w:pPr>
        <w:spacing w:before="120" w:line="360" w:lineRule="auto"/>
        <w:ind w:left="28"/>
        <w:jc w:val="center"/>
        <w:rPr>
          <w:rFonts w:ascii="Arial" w:hAnsi="Arial"/>
          <w:b/>
          <w:bCs/>
          <w:sz w:val="28"/>
          <w:szCs w:val="28"/>
          <w:u w:val="single"/>
          <w:rtl/>
        </w:rPr>
      </w:pPr>
      <w:bookmarkStart w:id="4" w:name="LawTable_End"/>
      <w:bookmarkStart w:id="5" w:name="PsakDin"/>
      <w:bookmarkEnd w:id="4"/>
      <w:r w:rsidRPr="003A68E1">
        <w:rPr>
          <w:rFonts w:ascii="Arial" w:hAnsi="Arial"/>
          <w:b/>
          <w:bCs/>
          <w:sz w:val="28"/>
          <w:szCs w:val="28"/>
          <w:u w:val="single"/>
          <w:rtl/>
        </w:rPr>
        <w:t>גזר דין</w:t>
      </w:r>
    </w:p>
    <w:p w14:paraId="7BFE2028" w14:textId="77777777" w:rsidR="00D26F7A" w:rsidRDefault="003A68E1">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בעבירות של החזקת נשק ותחמושת עבירות לפי </w:t>
      </w:r>
      <w:hyperlink r:id="rId9" w:history="1">
        <w:r w:rsidR="00055969" w:rsidRPr="00055969">
          <w:rPr>
            <w:color w:val="0000FF"/>
            <w:u w:val="single"/>
            <w:rtl/>
          </w:rPr>
          <w:t>סעיף 144(א)</w:t>
        </w:r>
      </w:hyperlink>
      <w:r>
        <w:rPr>
          <w:rFonts w:hint="cs"/>
          <w:rtl/>
        </w:rPr>
        <w:t xml:space="preserve"> רישא וסיפא ב</w:t>
      </w:r>
      <w:hyperlink r:id="rId10" w:history="1">
        <w:r w:rsidRPr="003A68E1">
          <w:rPr>
            <w:color w:val="0000FF"/>
            <w:u w:val="single"/>
            <w:rtl/>
          </w:rPr>
          <w:t>חוק העונשין</w:t>
        </w:r>
      </w:hyperlink>
      <w:r>
        <w:rPr>
          <w:rFonts w:hint="cs"/>
          <w:rtl/>
        </w:rPr>
        <w:t xml:space="preserve"> תשל"ז – 1977, בהתאמה.</w:t>
      </w:r>
    </w:p>
    <w:p w14:paraId="5F248FF9" w14:textId="77777777" w:rsidR="00D26F7A" w:rsidRDefault="003A68E1">
      <w:pPr>
        <w:numPr>
          <w:ilvl w:val="0"/>
          <w:numId w:val="1"/>
        </w:numPr>
        <w:tabs>
          <w:tab w:val="num" w:pos="386"/>
        </w:tabs>
        <w:spacing w:before="120" w:line="360" w:lineRule="auto"/>
        <w:ind w:left="385" w:hanging="357"/>
        <w:jc w:val="both"/>
      </w:pPr>
      <w:bookmarkStart w:id="7" w:name="ABSTRACT_END"/>
      <w:bookmarkEnd w:id="7"/>
      <w:r>
        <w:rPr>
          <w:rFonts w:hint="cs"/>
          <w:rtl/>
        </w:rPr>
        <w:t>נסיבות המקרה הן שבמהלך שלוש השנים שקדמו להגשת כתב האישום, הנאשם החזיק באקדח ברטה גנוב וזאת ביחד עם מחסנית וקופסת כדורים שמכילה 47 כדורים, בתוך ארגז עץ.</w:t>
      </w:r>
    </w:p>
    <w:p w14:paraId="18B41D99" w14:textId="77777777" w:rsidR="00D26F7A" w:rsidRDefault="003A68E1">
      <w:pPr>
        <w:numPr>
          <w:ilvl w:val="0"/>
          <w:numId w:val="1"/>
        </w:numPr>
        <w:tabs>
          <w:tab w:val="num" w:pos="386"/>
        </w:tabs>
        <w:spacing w:before="120" w:line="360" w:lineRule="auto"/>
        <w:ind w:left="385" w:hanging="357"/>
        <w:jc w:val="both"/>
      </w:pPr>
      <w:r>
        <w:rPr>
          <w:rFonts w:hint="cs"/>
          <w:rtl/>
        </w:rPr>
        <w:t xml:space="preserve">הצדדים הגיעו להסדר טיעון ביניהם ועתרו במשותף להטיל על הנאשם צו שירות בהיקף של 150 שעות של"צ, מאסר מותנה וקנס מוסכמים. </w:t>
      </w:r>
    </w:p>
    <w:p w14:paraId="50E03DC3" w14:textId="77777777" w:rsidR="00D26F7A" w:rsidRDefault="003A68E1">
      <w:pPr>
        <w:numPr>
          <w:ilvl w:val="0"/>
          <w:numId w:val="1"/>
        </w:numPr>
        <w:tabs>
          <w:tab w:val="num" w:pos="386"/>
        </w:tabs>
        <w:spacing w:before="120" w:line="360" w:lineRule="auto"/>
        <w:ind w:left="385" w:hanging="357"/>
        <w:jc w:val="both"/>
      </w:pPr>
      <w:r>
        <w:rPr>
          <w:rFonts w:hint="cs"/>
          <w:rtl/>
        </w:rPr>
        <w:t>הנאשם כבן 58. אין לו עבר פלילי. הוגש תסקיר שירות המבחן ממנו עולה כי מדובר באדם מתפקד, עם ערכים נורמטיביים, שקיבל את הנשק מאחיו לשם שמירה עליו ולא שאל מהיכן השיג האח את הנשק. שירות המבחן סבור כי ההסדר יקטין את הסיכון בהישנות ביצוע עבירות והוכנה גם תכנית של"צ.</w:t>
      </w:r>
    </w:p>
    <w:p w14:paraId="45AE511C" w14:textId="77777777" w:rsidR="00D26F7A" w:rsidRDefault="003A68E1">
      <w:pPr>
        <w:numPr>
          <w:ilvl w:val="0"/>
          <w:numId w:val="1"/>
        </w:numPr>
        <w:tabs>
          <w:tab w:val="num" w:pos="386"/>
        </w:tabs>
        <w:spacing w:before="120" w:line="360" w:lineRule="auto"/>
        <w:ind w:left="385" w:hanging="357"/>
        <w:jc w:val="both"/>
      </w:pPr>
      <w:r>
        <w:rPr>
          <w:rFonts w:hint="cs"/>
          <w:rtl/>
        </w:rPr>
        <w:t>הערך המוגן שבעבירה ברור והוא למנוע קיומם של נשק ותחמושת בידיים לא מורשות [</w:t>
      </w:r>
      <w:hyperlink r:id="rId11" w:history="1">
        <w:r w:rsidRPr="003A68E1">
          <w:rPr>
            <w:color w:val="0000FF"/>
            <w:u w:val="single"/>
            <w:rtl/>
          </w:rPr>
          <w:t>ע"פ 4460/11</w:t>
        </w:r>
      </w:hyperlink>
      <w:r>
        <w:rPr>
          <w:rFonts w:hint="cs"/>
          <w:rtl/>
        </w:rPr>
        <w:t xml:space="preserve"> </w:t>
      </w:r>
      <w:r>
        <w:rPr>
          <w:rFonts w:hint="cs"/>
          <w:b/>
          <w:bCs/>
          <w:rtl/>
        </w:rPr>
        <w:t>מדינת ישראל נ' פאיד</w:t>
      </w:r>
      <w:r>
        <w:rPr>
          <w:rFonts w:hint="cs"/>
          <w:rtl/>
        </w:rPr>
        <w:t xml:space="preserve"> (28.11.2011)], ונקבע שיש להילחם בתופעה של החזקת נשק [</w:t>
      </w:r>
      <w:hyperlink r:id="rId12" w:history="1">
        <w:r w:rsidRPr="003A68E1">
          <w:rPr>
            <w:color w:val="0000FF"/>
            <w:u w:val="single"/>
            <w:rtl/>
          </w:rPr>
          <w:t>ע"פ 319/11</w:t>
        </w:r>
      </w:hyperlink>
      <w:r>
        <w:rPr>
          <w:rFonts w:hint="cs"/>
          <w:rtl/>
        </w:rPr>
        <w:t xml:space="preserve"> </w:t>
      </w:r>
      <w:r>
        <w:rPr>
          <w:rFonts w:hint="cs"/>
          <w:b/>
          <w:bCs/>
          <w:rtl/>
        </w:rPr>
        <w:t>מדינת ישראל נ' יאסין</w:t>
      </w:r>
      <w:r>
        <w:rPr>
          <w:rFonts w:hint="cs"/>
          <w:rtl/>
        </w:rPr>
        <w:t xml:space="preserve"> (5.12.2011); </w:t>
      </w:r>
      <w:hyperlink r:id="rId13" w:history="1">
        <w:r w:rsidRPr="003A68E1">
          <w:rPr>
            <w:color w:val="0000FF"/>
            <w:u w:val="single"/>
            <w:rtl/>
          </w:rPr>
          <w:t>ע"פ 761/07</w:t>
        </w:r>
      </w:hyperlink>
      <w:r>
        <w:rPr>
          <w:rFonts w:hint="cs"/>
          <w:rtl/>
        </w:rPr>
        <w:t xml:space="preserve"> </w:t>
      </w:r>
      <w:r>
        <w:rPr>
          <w:rFonts w:hint="cs"/>
          <w:b/>
          <w:bCs/>
          <w:rtl/>
        </w:rPr>
        <w:t xml:space="preserve">מדינת ישראל נ' אדרי </w:t>
      </w:r>
      <w:r>
        <w:rPr>
          <w:rFonts w:hint="cs"/>
          <w:rtl/>
        </w:rPr>
        <w:t>(22.2.2007)]. ב</w:t>
      </w:r>
      <w:hyperlink r:id="rId14" w:history="1">
        <w:r w:rsidRPr="003A68E1">
          <w:rPr>
            <w:color w:val="0000FF"/>
            <w:u w:val="single"/>
            <w:rtl/>
          </w:rPr>
          <w:t>עפ"ג (חיפה) 42305-06-13</w:t>
        </w:r>
      </w:hyperlink>
      <w:r>
        <w:rPr>
          <w:rFonts w:hint="cs"/>
          <w:rtl/>
        </w:rPr>
        <w:t xml:space="preserve"> </w:t>
      </w:r>
      <w:r>
        <w:rPr>
          <w:rFonts w:hint="cs"/>
          <w:b/>
          <w:bCs/>
          <w:rtl/>
        </w:rPr>
        <w:t>מדינת ישאל נ' שאמי</w:t>
      </w:r>
      <w:r>
        <w:rPr>
          <w:rFonts w:hint="cs"/>
          <w:rtl/>
        </w:rPr>
        <w:t xml:space="preserve"> (6.10.2013) נקבע מתחם שבין שנה לשלוש שנים בגין עבירות של החזקת נשק, תחמושת וסם. </w:t>
      </w:r>
    </w:p>
    <w:p w14:paraId="4B6A6EE5" w14:textId="77777777" w:rsidR="00D26F7A" w:rsidRDefault="003A68E1">
      <w:pPr>
        <w:numPr>
          <w:ilvl w:val="0"/>
          <w:numId w:val="1"/>
        </w:numPr>
        <w:tabs>
          <w:tab w:val="num" w:pos="386"/>
        </w:tabs>
        <w:spacing w:before="120" w:line="360" w:lineRule="auto"/>
        <w:ind w:left="385" w:hanging="357"/>
        <w:jc w:val="both"/>
        <w:rPr>
          <w:rtl/>
        </w:rPr>
      </w:pPr>
      <w:r>
        <w:rPr>
          <w:rFonts w:hint="cs"/>
          <w:rtl/>
        </w:rPr>
        <w:lastRenderedPageBreak/>
        <w:t xml:space="preserve">העונש אליו הגיעו הצדדים מקל ביותר עם הנאשם ונמצא מתחת למתחם העונש ההולם הנהוג במחוזנו. עם זאת, כאשר מדובר בהסדר טיעון יש לתת ביטוי גם לכלל בדבר כיבוד הסכמות הצדדים ועל כן, כל עוד לא תימצא סטייה קיצונית או שההסבר להסדר סביר </w:t>
      </w:r>
      <w:r>
        <w:rPr>
          <w:rtl/>
        </w:rPr>
        <w:t>–</w:t>
      </w:r>
      <w:r>
        <w:rPr>
          <w:rFonts w:hint="cs"/>
          <w:rtl/>
        </w:rPr>
        <w:t xml:space="preserve"> על בית המשפט לכבד את ההסדר, כך נעשה גם במקרה זה, בשים לב להסברי המאשימה בדבר קושי בתעודת החיסיון. </w:t>
      </w:r>
    </w:p>
    <w:p w14:paraId="4D2D2B38" w14:textId="77777777" w:rsidR="00D26F7A" w:rsidRDefault="003A68E1">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58DFEFFD" w14:textId="77777777" w:rsidR="00D26F7A" w:rsidRDefault="003A68E1">
      <w:pPr>
        <w:numPr>
          <w:ilvl w:val="0"/>
          <w:numId w:val="2"/>
        </w:numPr>
        <w:tabs>
          <w:tab w:val="clear" w:pos="716"/>
          <w:tab w:val="num" w:pos="926"/>
        </w:tabs>
        <w:spacing w:before="60" w:line="360" w:lineRule="auto"/>
        <w:ind w:left="925" w:hanging="539"/>
        <w:jc w:val="both"/>
      </w:pPr>
      <w:r>
        <w:rPr>
          <w:rFonts w:hint="cs"/>
          <w:rtl/>
        </w:rPr>
        <w:t>צו שירות למשך שנה בהיקף של 150 שעות של"צ אשר יבוצע בבית ספר חט"ב בלקיה בתפקידי אחזקה. תשומת לב הנאשם שככל שלא יקיים אחר צו השירות, כולו או מקצתו, ניתן יהיה להפקיע את צו השירות ולגזור דינו מחדש ביחס לכל רכיבי הענישה האחרים.</w:t>
      </w:r>
    </w:p>
    <w:p w14:paraId="2206A54A" w14:textId="77777777" w:rsidR="00D26F7A" w:rsidRDefault="003A68E1">
      <w:pPr>
        <w:numPr>
          <w:ilvl w:val="0"/>
          <w:numId w:val="2"/>
        </w:numPr>
        <w:tabs>
          <w:tab w:val="clear" w:pos="716"/>
          <w:tab w:val="num" w:pos="926"/>
        </w:tabs>
        <w:spacing w:before="60" w:line="360" w:lineRule="auto"/>
        <w:ind w:left="925" w:hanging="539"/>
        <w:jc w:val="both"/>
      </w:pPr>
      <w:r>
        <w:rPr>
          <w:rFonts w:hint="cs"/>
          <w:rtl/>
        </w:rPr>
        <w:t xml:space="preserve">6 חודשי מאסר על תנאי, לתקופה של שלוש שנים שלא יעבור עבירה שעניינה נשק ותחמושת. </w:t>
      </w:r>
    </w:p>
    <w:p w14:paraId="73FFBC54" w14:textId="77777777" w:rsidR="00D26F7A" w:rsidRDefault="003A68E1">
      <w:pPr>
        <w:numPr>
          <w:ilvl w:val="0"/>
          <w:numId w:val="2"/>
        </w:numPr>
        <w:tabs>
          <w:tab w:val="clear" w:pos="716"/>
          <w:tab w:val="num" w:pos="926"/>
        </w:tabs>
        <w:spacing w:before="60" w:line="360" w:lineRule="auto"/>
        <w:ind w:left="925" w:hanging="539"/>
        <w:jc w:val="both"/>
      </w:pPr>
      <w:r>
        <w:rPr>
          <w:rFonts w:hint="cs"/>
          <w:rtl/>
        </w:rPr>
        <w:t xml:space="preserve">קנס כספי בסך 3,000 ש"ח או 30 ימי מאסר תמורתו. הקנס ישולם, לבקשת הנאשם, באמצעות קיזוז מהפיקדון שהופקד בתיק </w:t>
      </w:r>
      <w:hyperlink r:id="rId15" w:history="1">
        <w:r w:rsidRPr="003A68E1">
          <w:rPr>
            <w:color w:val="0000FF"/>
            <w:u w:val="single"/>
            <w:rtl/>
          </w:rPr>
          <w:t>מ"י 39254-03-16</w:t>
        </w:r>
      </w:hyperlink>
      <w:r>
        <w:rPr>
          <w:rFonts w:hint="cs"/>
          <w:rtl/>
        </w:rPr>
        <w:t xml:space="preserve">, וזאת בתוך 30 יום. </w:t>
      </w:r>
    </w:p>
    <w:p w14:paraId="34E8E86A" w14:textId="77777777" w:rsidR="00D26F7A" w:rsidRDefault="00D26F7A">
      <w:pPr>
        <w:spacing w:before="60" w:line="360" w:lineRule="auto"/>
        <w:jc w:val="both"/>
        <w:rPr>
          <w:rtl/>
        </w:rPr>
      </w:pPr>
    </w:p>
    <w:p w14:paraId="6628F4C2" w14:textId="77777777" w:rsidR="00D26F7A" w:rsidRDefault="003A68E1">
      <w:pPr>
        <w:spacing w:before="60" w:line="360" w:lineRule="auto"/>
        <w:jc w:val="both"/>
        <w:rPr>
          <w:rtl/>
        </w:rPr>
      </w:pPr>
      <w:r>
        <w:rPr>
          <w:rFonts w:hint="cs"/>
          <w:rtl/>
        </w:rPr>
        <w:t>המזכירות תשלח העתק הפרוטוקול לשירות המבחן.</w:t>
      </w:r>
    </w:p>
    <w:p w14:paraId="4C42B6E7" w14:textId="77777777" w:rsidR="00D26F7A" w:rsidRDefault="00D26F7A">
      <w:pPr>
        <w:jc w:val="both"/>
        <w:rPr>
          <w:rtl/>
        </w:rPr>
      </w:pPr>
    </w:p>
    <w:p w14:paraId="366FA27F" w14:textId="77777777" w:rsidR="00D26F7A" w:rsidRDefault="003A68E1">
      <w:pPr>
        <w:jc w:val="both"/>
        <w:rPr>
          <w:rtl/>
        </w:rPr>
      </w:pPr>
      <w:r>
        <w:rPr>
          <w:rFonts w:hint="cs"/>
          <w:b/>
          <w:bCs/>
          <w:rtl/>
        </w:rPr>
        <w:t>זכות ערעור בתוך 45 יום לבית המשפט המחוזי</w:t>
      </w:r>
      <w:r>
        <w:rPr>
          <w:rFonts w:hint="cs"/>
          <w:rtl/>
        </w:rPr>
        <w:t>.</w:t>
      </w:r>
    </w:p>
    <w:p w14:paraId="73B9AF29" w14:textId="77777777" w:rsidR="00D26F7A" w:rsidRDefault="00D26F7A">
      <w:pPr>
        <w:spacing w:line="360" w:lineRule="auto"/>
        <w:jc w:val="both"/>
        <w:rPr>
          <w:rtl/>
        </w:rPr>
      </w:pPr>
    </w:p>
    <w:p w14:paraId="3581AD9C" w14:textId="77777777" w:rsidR="00D26F7A" w:rsidRDefault="003A68E1">
      <w:pPr>
        <w:spacing w:line="360" w:lineRule="auto"/>
        <w:jc w:val="both"/>
        <w:rPr>
          <w:sz w:val="6"/>
          <w:szCs w:val="6"/>
          <w:rtl/>
        </w:rPr>
      </w:pPr>
      <w:r>
        <w:rPr>
          <w:sz w:val="6"/>
          <w:szCs w:val="6"/>
          <w:rtl/>
        </w:rPr>
        <w:t>&lt;#5#&gt;</w:t>
      </w:r>
    </w:p>
    <w:p w14:paraId="4AEDFAEF" w14:textId="77777777" w:rsidR="00D26F7A" w:rsidRDefault="00D26F7A">
      <w:pPr>
        <w:jc w:val="right"/>
        <w:rPr>
          <w:rtl/>
        </w:rPr>
      </w:pPr>
    </w:p>
    <w:p w14:paraId="26C084AF" w14:textId="77777777" w:rsidR="00D26F7A" w:rsidRDefault="003A68E1">
      <w:pPr>
        <w:jc w:val="center"/>
        <w:rPr>
          <w:rtl/>
        </w:rPr>
      </w:pPr>
      <w:r>
        <w:rPr>
          <w:b/>
          <w:bCs/>
          <w:rtl/>
        </w:rPr>
        <w:t xml:space="preserve">ניתנה והודעה היום כ"ח תשרי תשע"ז, 30/10/2016 במעמד הנוכחים. </w:t>
      </w:r>
    </w:p>
    <w:p w14:paraId="42AEE998" w14:textId="77777777" w:rsidR="00D26F7A" w:rsidRPr="003A68E1" w:rsidRDefault="003A68E1">
      <w:pPr>
        <w:spacing w:line="360" w:lineRule="auto"/>
        <w:jc w:val="both"/>
        <w:rPr>
          <w:color w:val="FFFFFF"/>
          <w:sz w:val="2"/>
          <w:szCs w:val="2"/>
          <w:rtl/>
        </w:rPr>
      </w:pPr>
      <w:r w:rsidRPr="003A68E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26F7A" w14:paraId="551C7FF8" w14:textId="77777777">
        <w:trPr>
          <w:trHeight w:val="316"/>
          <w:jc w:val="right"/>
        </w:trPr>
        <w:tc>
          <w:tcPr>
            <w:tcW w:w="3936" w:type="dxa"/>
            <w:shd w:val="clear" w:color="auto" w:fill="auto"/>
          </w:tcPr>
          <w:p w14:paraId="4B4432A7" w14:textId="77777777" w:rsidR="00D26F7A" w:rsidRPr="003A68E1" w:rsidRDefault="003A68E1">
            <w:pPr>
              <w:jc w:val="center"/>
              <w:rPr>
                <w:rFonts w:ascii="Times New Roman" w:eastAsia="Times New Roman" w:hAnsi="Times New Roman" w:cs="Times New Roman"/>
                <w:color w:val="FFFFFF"/>
                <w:sz w:val="2"/>
                <w:szCs w:val="2"/>
              </w:rPr>
            </w:pPr>
            <w:r w:rsidRPr="003A68E1">
              <w:rPr>
                <w:rFonts w:ascii="Times New Roman" w:eastAsia="Times New Roman" w:hAnsi="Times New Roman" w:cs="Times New Roman"/>
                <w:color w:val="FFFFFF"/>
                <w:sz w:val="2"/>
                <w:szCs w:val="2"/>
                <w:rtl/>
              </w:rPr>
              <w:t>54678313</w:t>
            </w:r>
          </w:p>
          <w:p w14:paraId="1258009F" w14:textId="77777777" w:rsidR="00D26F7A" w:rsidRDefault="00D26F7A">
            <w:pPr>
              <w:jc w:val="center"/>
              <w:rPr>
                <w:rFonts w:ascii="Times New Roman" w:eastAsia="Times New Roman" w:hAnsi="Times New Roman" w:cs="Times New Roman"/>
                <w:rtl/>
              </w:rPr>
            </w:pPr>
          </w:p>
        </w:tc>
      </w:tr>
      <w:tr w:rsidR="00D26F7A" w14:paraId="07E7A561" w14:textId="77777777">
        <w:trPr>
          <w:trHeight w:val="361"/>
          <w:jc w:val="right"/>
        </w:trPr>
        <w:tc>
          <w:tcPr>
            <w:tcW w:w="3936" w:type="dxa"/>
            <w:shd w:val="clear" w:color="auto" w:fill="auto"/>
          </w:tcPr>
          <w:p w14:paraId="41662D60" w14:textId="77777777" w:rsidR="00D26F7A" w:rsidRDefault="003A68E1">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5CC0241F" w14:textId="77777777" w:rsidR="00D26F7A" w:rsidRDefault="00D26F7A">
      <w:pPr>
        <w:spacing w:line="360" w:lineRule="auto"/>
        <w:jc w:val="both"/>
        <w:rPr>
          <w:rtl/>
        </w:rPr>
      </w:pPr>
    </w:p>
    <w:p w14:paraId="5236A7B5" w14:textId="77777777" w:rsidR="00D26F7A" w:rsidRDefault="00055969">
      <w:r w:rsidRPr="00055969">
        <w:rPr>
          <w:color w:val="FFFFFF"/>
          <w:sz w:val="2"/>
          <w:szCs w:val="2"/>
          <w:rtl/>
        </w:rPr>
        <w:t>5129371</w:t>
      </w:r>
      <w:r w:rsidR="003A68E1">
        <w:rPr>
          <w:rtl/>
        </w:rPr>
        <w:t>הוקלד</w:t>
      </w:r>
      <w:r w:rsidR="003A68E1">
        <w:t xml:space="preserve"> </w:t>
      </w:r>
      <w:r w:rsidR="003A68E1">
        <w:rPr>
          <w:rtl/>
        </w:rPr>
        <w:t>על</w:t>
      </w:r>
      <w:r w:rsidR="003A68E1">
        <w:t xml:space="preserve"> </w:t>
      </w:r>
      <w:r w:rsidR="003A68E1">
        <w:rPr>
          <w:rtl/>
        </w:rPr>
        <w:t>ידי</w:t>
      </w:r>
      <w:r w:rsidR="003A68E1">
        <w:t xml:space="preserve"> </w:t>
      </w:r>
      <w:r w:rsidR="003A68E1">
        <w:rPr>
          <w:rtl/>
        </w:rPr>
        <w:t>עדי</w:t>
      </w:r>
      <w:r w:rsidR="003A68E1">
        <w:t xml:space="preserve"> </w:t>
      </w:r>
      <w:r w:rsidR="003A68E1">
        <w:rPr>
          <w:rtl/>
        </w:rPr>
        <w:t>דבדה</w:t>
      </w:r>
    </w:p>
    <w:p w14:paraId="15CC9A8E" w14:textId="77777777" w:rsidR="003A68E1" w:rsidRPr="00055969" w:rsidRDefault="00055969" w:rsidP="003A68E1">
      <w:pPr>
        <w:keepNext/>
        <w:rPr>
          <w:color w:val="FFFFFF"/>
          <w:sz w:val="2"/>
          <w:szCs w:val="2"/>
          <w:rtl/>
        </w:rPr>
      </w:pPr>
      <w:r w:rsidRPr="00055969">
        <w:rPr>
          <w:color w:val="FFFFFF"/>
          <w:sz w:val="2"/>
          <w:szCs w:val="2"/>
          <w:rtl/>
        </w:rPr>
        <w:t>54678313</w:t>
      </w:r>
    </w:p>
    <w:p w14:paraId="6551FE38" w14:textId="77777777" w:rsidR="003A68E1" w:rsidRPr="003A68E1" w:rsidRDefault="003A68E1" w:rsidP="003A68E1">
      <w:pPr>
        <w:keepNext/>
        <w:rPr>
          <w:color w:val="000000"/>
          <w:sz w:val="22"/>
          <w:szCs w:val="22"/>
          <w:rtl/>
        </w:rPr>
      </w:pPr>
      <w:r w:rsidRPr="003A68E1">
        <w:rPr>
          <w:color w:val="000000"/>
          <w:sz w:val="22"/>
          <w:szCs w:val="22"/>
          <w:rtl/>
        </w:rPr>
        <w:t>איתי ברסלר גונן 54678313</w:t>
      </w:r>
    </w:p>
    <w:p w14:paraId="159292DF" w14:textId="77777777" w:rsidR="003A68E1" w:rsidRDefault="003A68E1" w:rsidP="003A68E1">
      <w:r w:rsidRPr="003A68E1">
        <w:rPr>
          <w:color w:val="000000"/>
          <w:rtl/>
        </w:rPr>
        <w:t>נוסח מסמך זה כפוף לשינויי ניסוח ועריכה</w:t>
      </w:r>
    </w:p>
    <w:p w14:paraId="33193766" w14:textId="77777777" w:rsidR="003A68E1" w:rsidRDefault="003A68E1" w:rsidP="003A68E1">
      <w:pPr>
        <w:rPr>
          <w:rtl/>
        </w:rPr>
      </w:pPr>
    </w:p>
    <w:p w14:paraId="696F1B58" w14:textId="77777777" w:rsidR="003A68E1" w:rsidRDefault="003A68E1" w:rsidP="003A68E1">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6678F042" w14:textId="77777777" w:rsidR="00D26F7A" w:rsidRPr="003A68E1" w:rsidRDefault="00D26F7A" w:rsidP="00055969">
      <w:pPr>
        <w:rPr>
          <w:color w:val="0000FF"/>
          <w:u w:val="single"/>
        </w:rPr>
      </w:pPr>
    </w:p>
    <w:sectPr w:rsidR="00D26F7A" w:rsidRPr="003A68E1" w:rsidSect="00055969">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254E1" w14:textId="77777777" w:rsidR="00052E85" w:rsidRDefault="00052E85">
      <w:r>
        <w:separator/>
      </w:r>
    </w:p>
  </w:endnote>
  <w:endnote w:type="continuationSeparator" w:id="0">
    <w:p w14:paraId="7FCF0729" w14:textId="77777777" w:rsidR="00052E85" w:rsidRDefault="0005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C725F" w14:textId="77777777" w:rsidR="00052E85" w:rsidRDefault="00052E85" w:rsidP="00055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8C599C" w14:textId="77777777" w:rsidR="00052E85" w:rsidRPr="00055969" w:rsidRDefault="00052E85" w:rsidP="00055969">
    <w:pPr>
      <w:pStyle w:val="a5"/>
      <w:pBdr>
        <w:top w:val="single" w:sz="4" w:space="1" w:color="auto"/>
        <w:between w:val="single" w:sz="4" w:space="0" w:color="auto"/>
      </w:pBdr>
      <w:spacing w:after="60"/>
      <w:jc w:val="center"/>
      <w:rPr>
        <w:rFonts w:ascii="FrankRuehl" w:hAnsi="FrankRuehl" w:cs="FrankRuehl"/>
        <w:color w:val="000000"/>
      </w:rPr>
    </w:pPr>
    <w:r w:rsidRPr="000559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9EC11" w14:textId="77777777" w:rsidR="00052E85" w:rsidRDefault="00052E85" w:rsidP="000559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18F7">
      <w:rPr>
        <w:rFonts w:ascii="FrankRuehl" w:hAnsi="FrankRuehl" w:cs="FrankRuehl"/>
        <w:noProof/>
        <w:rtl/>
      </w:rPr>
      <w:t>1</w:t>
    </w:r>
    <w:r>
      <w:rPr>
        <w:rFonts w:ascii="FrankRuehl" w:hAnsi="FrankRuehl" w:cs="FrankRuehl"/>
        <w:rtl/>
      </w:rPr>
      <w:fldChar w:fldCharType="end"/>
    </w:r>
  </w:p>
  <w:p w14:paraId="4C421487" w14:textId="77777777" w:rsidR="00052E85" w:rsidRPr="00055969" w:rsidRDefault="00052E85" w:rsidP="00055969">
    <w:pPr>
      <w:pStyle w:val="a5"/>
      <w:pBdr>
        <w:top w:val="single" w:sz="4" w:space="1" w:color="auto"/>
        <w:between w:val="single" w:sz="4" w:space="0" w:color="auto"/>
      </w:pBdr>
      <w:spacing w:after="60"/>
      <w:jc w:val="center"/>
      <w:rPr>
        <w:rFonts w:ascii="FrankRuehl" w:hAnsi="FrankRuehl" w:cs="FrankRuehl"/>
        <w:color w:val="000000"/>
      </w:rPr>
    </w:pPr>
    <w:r w:rsidRPr="00055969">
      <w:rPr>
        <w:rFonts w:ascii="FrankRuehl" w:hAnsi="FrankRuehl" w:cs="FrankRuehl"/>
        <w:color w:val="000000"/>
      </w:rPr>
      <w:pict w14:anchorId="65AEA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0122E" w14:textId="77777777" w:rsidR="00052E85" w:rsidRDefault="00052E85">
      <w:r>
        <w:separator/>
      </w:r>
    </w:p>
  </w:footnote>
  <w:footnote w:type="continuationSeparator" w:id="0">
    <w:p w14:paraId="6C3FEB30" w14:textId="77777777" w:rsidR="00052E85" w:rsidRDefault="00052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41946" w14:textId="77777777" w:rsidR="00052E85" w:rsidRPr="00055969" w:rsidRDefault="00052E85" w:rsidP="000559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65259-05-16</w:t>
    </w:r>
    <w:r>
      <w:rPr>
        <w:color w:val="000000"/>
        <w:sz w:val="22"/>
        <w:szCs w:val="22"/>
        <w:rtl/>
      </w:rPr>
      <w:tab/>
      <w:t xml:space="preserve"> מדינת ישראל-פמ"ד נ' מוסא אלטלאלקה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C83D5" w14:textId="77777777" w:rsidR="00052E85" w:rsidRPr="00055969" w:rsidRDefault="00052E85" w:rsidP="0005596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65259-05-16</w:t>
    </w:r>
    <w:r>
      <w:rPr>
        <w:color w:val="000000"/>
        <w:sz w:val="22"/>
        <w:szCs w:val="22"/>
        <w:rtl/>
      </w:rPr>
      <w:tab/>
      <w:t xml:space="preserve"> מדינת ישראל-פמ"ד נ' מוסא אלטלאלקה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4680"/>
        </w:tabs>
        <w:ind w:left="4680" w:hanging="720"/>
      </w:pPr>
    </w:lvl>
    <w:lvl w:ilvl="1" w:tplc="04090019">
      <w:start w:val="1"/>
      <w:numFmt w:val="lowerLetter"/>
      <w:lvlText w:val="%2."/>
      <w:lvlJc w:val="left"/>
      <w:pPr>
        <w:tabs>
          <w:tab w:val="num" w:pos="5040"/>
        </w:tabs>
        <w:ind w:left="5040" w:hanging="360"/>
      </w:pPr>
    </w:lvl>
    <w:lvl w:ilvl="2" w:tplc="0409001B">
      <w:start w:val="1"/>
      <w:numFmt w:val="lowerRoman"/>
      <w:lvlText w:val="%3."/>
      <w:lvlJc w:val="right"/>
      <w:pPr>
        <w:tabs>
          <w:tab w:val="num" w:pos="5760"/>
        </w:tabs>
        <w:ind w:left="5760" w:hanging="180"/>
      </w:pPr>
    </w:lvl>
    <w:lvl w:ilvl="3" w:tplc="0409000F">
      <w:start w:val="1"/>
      <w:numFmt w:val="decimal"/>
      <w:lvlText w:val="%4."/>
      <w:lvlJc w:val="left"/>
      <w:pPr>
        <w:tabs>
          <w:tab w:val="num" w:pos="6480"/>
        </w:tabs>
        <w:ind w:left="6480" w:hanging="360"/>
      </w:pPr>
    </w:lvl>
    <w:lvl w:ilvl="4" w:tplc="04090019">
      <w:start w:val="1"/>
      <w:numFmt w:val="lowerLetter"/>
      <w:lvlText w:val="%5."/>
      <w:lvlJc w:val="left"/>
      <w:pPr>
        <w:tabs>
          <w:tab w:val="num" w:pos="7200"/>
        </w:tabs>
        <w:ind w:left="7200" w:hanging="360"/>
      </w:pPr>
    </w:lvl>
    <w:lvl w:ilvl="5" w:tplc="0409001B">
      <w:start w:val="1"/>
      <w:numFmt w:val="lowerRoman"/>
      <w:lvlText w:val="%6."/>
      <w:lvlJc w:val="right"/>
      <w:pPr>
        <w:tabs>
          <w:tab w:val="num" w:pos="7920"/>
        </w:tabs>
        <w:ind w:left="7920" w:hanging="180"/>
      </w:pPr>
    </w:lvl>
    <w:lvl w:ilvl="6" w:tplc="0409000F">
      <w:start w:val="1"/>
      <w:numFmt w:val="decimal"/>
      <w:lvlText w:val="%7."/>
      <w:lvlJc w:val="left"/>
      <w:pPr>
        <w:tabs>
          <w:tab w:val="num" w:pos="8640"/>
        </w:tabs>
        <w:ind w:left="8640" w:hanging="360"/>
      </w:pPr>
    </w:lvl>
    <w:lvl w:ilvl="7" w:tplc="04090019">
      <w:start w:val="1"/>
      <w:numFmt w:val="lowerLetter"/>
      <w:lvlText w:val="%8."/>
      <w:lvlJc w:val="left"/>
      <w:pPr>
        <w:tabs>
          <w:tab w:val="num" w:pos="9360"/>
        </w:tabs>
        <w:ind w:left="9360" w:hanging="360"/>
      </w:pPr>
    </w:lvl>
    <w:lvl w:ilvl="8" w:tplc="0409001B">
      <w:start w:val="1"/>
      <w:numFmt w:val="lowerRoman"/>
      <w:lvlText w:val="%9."/>
      <w:lvlJc w:val="right"/>
      <w:pPr>
        <w:tabs>
          <w:tab w:val="num" w:pos="10080"/>
        </w:tabs>
        <w:ind w:left="10080" w:hanging="180"/>
      </w:pPr>
    </w:lvl>
  </w:abstractNum>
  <w:num w:numId="1" w16cid:durableId="540410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167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6F7A"/>
    <w:rsid w:val="00013E7F"/>
    <w:rsid w:val="00052E85"/>
    <w:rsid w:val="00055969"/>
    <w:rsid w:val="00286C2F"/>
    <w:rsid w:val="003A68E1"/>
    <w:rsid w:val="00401F22"/>
    <w:rsid w:val="008B18F7"/>
    <w:rsid w:val="0099279C"/>
    <w:rsid w:val="00D26F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61578C"/>
  <w15:chartTrackingRefBased/>
  <w15:docId w15:val="{5031C23C-0C98-4FEC-9492-BB226910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6F7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26F7A"/>
  </w:style>
  <w:style w:type="paragraph" w:styleId="a4">
    <w:name w:val="header"/>
    <w:basedOn w:val="a"/>
    <w:rsid w:val="00D26F7A"/>
    <w:pPr>
      <w:tabs>
        <w:tab w:val="center" w:pos="4153"/>
        <w:tab w:val="right" w:pos="8306"/>
      </w:tabs>
    </w:pPr>
  </w:style>
  <w:style w:type="paragraph" w:styleId="a5">
    <w:name w:val="footer"/>
    <w:basedOn w:val="a"/>
    <w:rsid w:val="00D26F7A"/>
    <w:pPr>
      <w:tabs>
        <w:tab w:val="center" w:pos="4153"/>
        <w:tab w:val="right" w:pos="8306"/>
      </w:tabs>
    </w:pPr>
  </w:style>
  <w:style w:type="character" w:styleId="a6">
    <w:name w:val="page number"/>
    <w:basedOn w:val="a0"/>
    <w:rsid w:val="00D26F7A"/>
  </w:style>
  <w:style w:type="paragraph" w:customStyle="1" w:styleId="12">
    <w:name w:val="רגיל + ‏12 נק'"/>
    <w:aliases w:val="מיושר לשני הצדדים,מרווח בין שורות:  שורה וחצי"/>
    <w:basedOn w:val="a"/>
    <w:rsid w:val="00D26F7A"/>
    <w:rPr>
      <w:rFonts w:ascii="Times New Roman" w:eastAsia="Times New Roman" w:hAnsi="Times New Roman"/>
      <w:b/>
      <w:bCs/>
      <w:u w:val="single"/>
    </w:rPr>
  </w:style>
  <w:style w:type="character" w:styleId="Hyperlink">
    <w:name w:val="Hyperlink"/>
    <w:basedOn w:val="a0"/>
    <w:rsid w:val="003A6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24364"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569908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958231" TargetMode="External"/><Relationship Id="rId5" Type="http://schemas.openxmlformats.org/officeDocument/2006/relationships/footnotes" Target="footnotes.xml"/><Relationship Id="rId15" Type="http://schemas.openxmlformats.org/officeDocument/2006/relationships/hyperlink" Target="http://www.nevo.co.il/case/21038964"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768512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3088</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3932287</vt:i4>
      </vt:variant>
      <vt:variant>
        <vt:i4>24</vt:i4>
      </vt:variant>
      <vt:variant>
        <vt:i4>0</vt:i4>
      </vt:variant>
      <vt:variant>
        <vt:i4>5</vt:i4>
      </vt:variant>
      <vt:variant>
        <vt:lpwstr>http://www.nevo.co.il/case/21038964</vt:lpwstr>
      </vt:variant>
      <vt:variant>
        <vt:lpwstr/>
      </vt:variant>
      <vt:variant>
        <vt:i4>3604597</vt:i4>
      </vt:variant>
      <vt:variant>
        <vt:i4>21</vt:i4>
      </vt:variant>
      <vt:variant>
        <vt:i4>0</vt:i4>
      </vt:variant>
      <vt:variant>
        <vt:i4>5</vt:i4>
      </vt:variant>
      <vt:variant>
        <vt:lpwstr>http://www.nevo.co.il/case/7685129</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3932275</vt:i4>
      </vt:variant>
      <vt:variant>
        <vt:i4>15</vt:i4>
      </vt:variant>
      <vt:variant>
        <vt:i4>0</vt:i4>
      </vt:variant>
      <vt:variant>
        <vt:i4>5</vt:i4>
      </vt:variant>
      <vt:variant>
        <vt:lpwstr>http://www.nevo.co.il/case/5699080</vt:lpwstr>
      </vt:variant>
      <vt:variant>
        <vt:lpwstr/>
      </vt:variant>
      <vt:variant>
        <vt:i4>3342454</vt:i4>
      </vt:variant>
      <vt:variant>
        <vt:i4>12</vt:i4>
      </vt:variant>
      <vt:variant>
        <vt:i4>0</vt:i4>
      </vt:variant>
      <vt:variant>
        <vt:i4>5</vt:i4>
      </vt:variant>
      <vt:variant>
        <vt:lpwstr>http://www.nevo.co.il/case/5958231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65259</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ישראל-פמ#ד</vt:lpwstr>
  </property>
  <property fmtid="{D5CDD505-2E9C-101B-9397-08002B2CF9AE}" pid="9" name="APPELLEE">
    <vt:lpwstr>מוסא אלטלאלקה</vt:lpwstr>
  </property>
  <property fmtid="{D5CDD505-2E9C-101B-9397-08002B2CF9AE}" pid="10" name="LAWYER">
    <vt:lpwstr>דבורה מזור;נאצר אלעטאונה</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20161030</vt:lpwstr>
  </property>
  <property fmtid="{D5CDD505-2E9C-101B-9397-08002B2CF9AE}" pid="14" name="TYPE_N_DATE">
    <vt:lpwstr>38020161030</vt:lpwstr>
  </property>
  <property fmtid="{D5CDD505-2E9C-101B-9397-08002B2CF9AE}" pid="15" name="CASESLISTTMP1">
    <vt:lpwstr>5958231;5699080;5724364;7685129;21038964</vt:lpwstr>
  </property>
  <property fmtid="{D5CDD505-2E9C-101B-9397-08002B2CF9AE}" pid="16" name="WORDNUMPAGES">
    <vt:lpwstr>2</vt:lpwstr>
  </property>
  <property fmtid="{D5CDD505-2E9C-101B-9397-08002B2CF9AE}" pid="17" name="TYPE_ABS_DATE">
    <vt:lpwstr>380020161030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vt:lpwstr>
  </property>
</Properties>
</file>