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924327" w:rsidRPr="00E43FBE" w14:paraId="55A3DBB0" w14:textId="77777777" w:rsidTr="00980432">
        <w:trPr>
          <w:trHeight w:hRule="exact" w:val="418"/>
          <w:jc w:val="center"/>
        </w:trPr>
        <w:tc>
          <w:tcPr>
            <w:tcW w:w="8721" w:type="dxa"/>
            <w:gridSpan w:val="2"/>
          </w:tcPr>
          <w:p w14:paraId="40B40801" w14:textId="77777777" w:rsidR="00924327" w:rsidRPr="00E43FBE" w:rsidRDefault="00924327" w:rsidP="008567A2">
            <w:pPr>
              <w:pStyle w:val="a3"/>
              <w:jc w:val="center"/>
              <w:rPr>
                <w:rFonts w:ascii="Tahoma" w:hAnsi="Tahoma" w:cs="Tahoma"/>
                <w:color w:val="000080"/>
                <w:rtl/>
              </w:rPr>
            </w:pPr>
            <w:bookmarkStart w:id="0" w:name="FirstLawyer"/>
            <w:bookmarkStart w:id="1" w:name="LastJudge"/>
            <w:r w:rsidRPr="00E43FBE">
              <w:rPr>
                <w:rFonts w:ascii="Tahoma" w:hAnsi="Tahoma" w:cs="Tahoma"/>
                <w:b/>
                <w:bCs/>
                <w:color w:val="000080"/>
                <w:rtl/>
              </w:rPr>
              <w:t>בית משפט השלום בירושלים</w:t>
            </w:r>
          </w:p>
        </w:tc>
      </w:tr>
      <w:tr w:rsidR="00924327" w:rsidRPr="00E43FBE" w14:paraId="514277C5" w14:textId="77777777" w:rsidTr="00980432">
        <w:trPr>
          <w:trHeight w:val="337"/>
          <w:jc w:val="center"/>
        </w:trPr>
        <w:tc>
          <w:tcPr>
            <w:tcW w:w="5047" w:type="dxa"/>
          </w:tcPr>
          <w:p w14:paraId="0A2FDA2A" w14:textId="77777777" w:rsidR="00924327" w:rsidRPr="00E43FBE" w:rsidRDefault="00924327" w:rsidP="008567A2">
            <w:pPr>
              <w:rPr>
                <w:rFonts w:cs="FrankRuehl"/>
                <w:sz w:val="28"/>
                <w:szCs w:val="28"/>
                <w:rtl/>
              </w:rPr>
            </w:pPr>
            <w:r w:rsidRPr="00E43FBE">
              <w:rPr>
                <w:rFonts w:cs="FrankRuehl"/>
                <w:sz w:val="28"/>
                <w:szCs w:val="28"/>
                <w:rtl/>
              </w:rPr>
              <w:t>ת"פ</w:t>
            </w:r>
            <w:r w:rsidRPr="00E43FBE">
              <w:rPr>
                <w:rFonts w:cs="FrankRuehl" w:hint="cs"/>
                <w:sz w:val="28"/>
                <w:szCs w:val="28"/>
                <w:rtl/>
              </w:rPr>
              <w:t xml:space="preserve"> </w:t>
            </w:r>
            <w:r w:rsidRPr="00E43FBE">
              <w:rPr>
                <w:rFonts w:cs="FrankRuehl"/>
                <w:sz w:val="28"/>
                <w:szCs w:val="28"/>
                <w:rtl/>
              </w:rPr>
              <w:t>62685-06-16</w:t>
            </w:r>
            <w:r w:rsidRPr="00E43FBE">
              <w:rPr>
                <w:rFonts w:cs="FrankRuehl" w:hint="cs"/>
                <w:sz w:val="28"/>
                <w:szCs w:val="28"/>
                <w:rtl/>
              </w:rPr>
              <w:t xml:space="preserve"> </w:t>
            </w:r>
            <w:r w:rsidRPr="00E43FBE">
              <w:rPr>
                <w:rFonts w:cs="FrankRuehl"/>
                <w:sz w:val="28"/>
                <w:szCs w:val="28"/>
                <w:rtl/>
              </w:rPr>
              <w:t>מדינת ישראל נ' אעבידאת</w:t>
            </w:r>
          </w:p>
          <w:p w14:paraId="68D12DF6" w14:textId="77777777" w:rsidR="00924327" w:rsidRPr="00E43FBE" w:rsidRDefault="00924327" w:rsidP="008567A2">
            <w:pPr>
              <w:pStyle w:val="a3"/>
              <w:rPr>
                <w:rtl/>
              </w:rPr>
            </w:pPr>
          </w:p>
          <w:p w14:paraId="3BDD12C1" w14:textId="77777777" w:rsidR="00924327" w:rsidRPr="00E43FBE" w:rsidRDefault="00924327" w:rsidP="008567A2">
            <w:pPr>
              <w:pStyle w:val="a3"/>
              <w:rPr>
                <w:rFonts w:cs="FrankRuehl"/>
                <w:sz w:val="28"/>
                <w:szCs w:val="28"/>
                <w:rtl/>
              </w:rPr>
            </w:pPr>
          </w:p>
        </w:tc>
        <w:tc>
          <w:tcPr>
            <w:tcW w:w="3674" w:type="dxa"/>
          </w:tcPr>
          <w:p w14:paraId="2B254E88" w14:textId="77777777" w:rsidR="00924327" w:rsidRPr="00E43FBE" w:rsidRDefault="00924327" w:rsidP="008567A2">
            <w:pPr>
              <w:pStyle w:val="a3"/>
              <w:jc w:val="right"/>
              <w:rPr>
                <w:rFonts w:cs="FrankRuehl"/>
                <w:sz w:val="28"/>
                <w:szCs w:val="28"/>
                <w:rtl/>
              </w:rPr>
            </w:pPr>
            <w:r w:rsidRPr="00E43FBE">
              <w:rPr>
                <w:rFonts w:cs="FrankRuehl"/>
                <w:sz w:val="28"/>
                <w:szCs w:val="28"/>
                <w:rtl/>
              </w:rPr>
              <w:t>12 ספטמבר 2018</w:t>
            </w:r>
          </w:p>
        </w:tc>
      </w:tr>
      <w:tr w:rsidR="00924327" w:rsidRPr="00E43FBE" w14:paraId="3785C4F7" w14:textId="77777777" w:rsidTr="00980432">
        <w:trPr>
          <w:trHeight w:val="337"/>
          <w:jc w:val="center"/>
        </w:trPr>
        <w:tc>
          <w:tcPr>
            <w:tcW w:w="5047" w:type="dxa"/>
          </w:tcPr>
          <w:p w14:paraId="7DF99B87" w14:textId="77777777" w:rsidR="00924327" w:rsidRPr="00E43FBE" w:rsidRDefault="00924327" w:rsidP="008567A2">
            <w:pPr>
              <w:rPr>
                <w:rtl/>
              </w:rPr>
            </w:pPr>
            <w:r w:rsidRPr="00E43FBE">
              <w:rPr>
                <w:rFonts w:ascii="Arial" w:hAnsi="Arial" w:cs="FrankRuehl" w:hint="cs"/>
                <w:sz w:val="28"/>
                <w:szCs w:val="28"/>
                <w:rtl/>
              </w:rPr>
              <w:t>ב</w:t>
            </w:r>
            <w:r w:rsidRPr="00E43FBE">
              <w:rPr>
                <w:rFonts w:ascii="Arial" w:hAnsi="Arial" w:cs="FrankRuehl"/>
                <w:sz w:val="28"/>
                <w:szCs w:val="28"/>
                <w:rtl/>
              </w:rPr>
              <w:t xml:space="preserve">פני </w:t>
            </w:r>
            <w:r w:rsidRPr="00E43FBE">
              <w:rPr>
                <w:rFonts w:ascii="Arial" w:hAnsi="Arial" w:cs="FrankRuehl" w:hint="cs"/>
                <w:sz w:val="28"/>
                <w:szCs w:val="28"/>
                <w:rtl/>
              </w:rPr>
              <w:t>כב' השופט יצחק שמעוני</w:t>
            </w:r>
          </w:p>
        </w:tc>
        <w:tc>
          <w:tcPr>
            <w:tcW w:w="3674" w:type="dxa"/>
          </w:tcPr>
          <w:p w14:paraId="6BD07783" w14:textId="77777777" w:rsidR="00924327" w:rsidRPr="00E43FBE" w:rsidRDefault="00924327" w:rsidP="008567A2">
            <w:pPr>
              <w:pStyle w:val="a3"/>
              <w:jc w:val="right"/>
              <w:rPr>
                <w:rtl/>
              </w:rPr>
            </w:pPr>
          </w:p>
        </w:tc>
      </w:tr>
    </w:tbl>
    <w:p w14:paraId="21E2129F" w14:textId="77777777" w:rsidR="00924327" w:rsidRPr="00E43FBE" w:rsidRDefault="00924327" w:rsidP="00924327">
      <w:pPr>
        <w:pStyle w:val="a3"/>
        <w:rPr>
          <w:rtl/>
        </w:rPr>
      </w:pPr>
      <w:r w:rsidRPr="00E43FBE">
        <w:rPr>
          <w:rFonts w:hint="cs"/>
          <w:rtl/>
        </w:rPr>
        <w:t xml:space="preserve"> </w:t>
      </w:r>
    </w:p>
    <w:p w14:paraId="78F11DE6" w14:textId="77777777" w:rsidR="00924327" w:rsidRPr="00E43FBE" w:rsidRDefault="00924327" w:rsidP="00924327">
      <w:pPr>
        <w:pStyle w:val="a3"/>
      </w:pPr>
      <w:r w:rsidRPr="00E43FBE">
        <w:rPr>
          <w:rFonts w:cs="Times New Roman" w:hint="cs"/>
          <w:b/>
          <w:bCs/>
          <w:sz w:val="26"/>
          <w:szCs w:val="28"/>
          <w:rtl/>
        </w:rPr>
        <w:t xml:space="preserve"> </w:t>
      </w:r>
    </w:p>
    <w:p w14:paraId="5514ECFA" w14:textId="77777777" w:rsidR="00924327" w:rsidRPr="00E43FBE" w:rsidRDefault="00924327" w:rsidP="0092432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6129"/>
        <w:gridCol w:w="1839"/>
      </w:tblGrid>
      <w:tr w:rsidR="00924327" w:rsidRPr="00E43FBE" w14:paraId="607631DE" w14:textId="77777777" w:rsidTr="00924327">
        <w:trPr>
          <w:trHeight w:val="295"/>
          <w:jc w:val="center"/>
        </w:trPr>
        <w:tc>
          <w:tcPr>
            <w:tcW w:w="852" w:type="dxa"/>
            <w:tcBorders>
              <w:top w:val="nil"/>
              <w:left w:val="nil"/>
              <w:bottom w:val="nil"/>
              <w:right w:val="nil"/>
            </w:tcBorders>
            <w:shd w:val="clear" w:color="auto" w:fill="auto"/>
          </w:tcPr>
          <w:p w14:paraId="1ED4065E" w14:textId="77777777" w:rsidR="00924327" w:rsidRPr="00E43FBE" w:rsidRDefault="00924327" w:rsidP="00924327">
            <w:pPr>
              <w:jc w:val="both"/>
              <w:rPr>
                <w:rFonts w:ascii="Arial" w:hAnsi="Arial" w:cs="FrankRuehl"/>
                <w:sz w:val="28"/>
                <w:szCs w:val="28"/>
              </w:rPr>
            </w:pPr>
          </w:p>
        </w:tc>
        <w:tc>
          <w:tcPr>
            <w:tcW w:w="7968" w:type="dxa"/>
            <w:gridSpan w:val="2"/>
            <w:tcBorders>
              <w:top w:val="nil"/>
              <w:left w:val="nil"/>
              <w:bottom w:val="nil"/>
              <w:right w:val="nil"/>
            </w:tcBorders>
            <w:shd w:val="clear" w:color="auto" w:fill="auto"/>
          </w:tcPr>
          <w:p w14:paraId="47050BEE" w14:textId="77777777" w:rsidR="00924327" w:rsidRPr="00E43FBE" w:rsidRDefault="00924327" w:rsidP="008567A2">
            <w:pPr>
              <w:rPr>
                <w:rFonts w:ascii="Arial" w:hAnsi="Arial" w:cs="FrankRuehl"/>
                <w:sz w:val="28"/>
                <w:szCs w:val="28"/>
                <w:rtl/>
              </w:rPr>
            </w:pPr>
          </w:p>
          <w:p w14:paraId="27A783C0" w14:textId="77777777" w:rsidR="00924327" w:rsidRPr="00E43FBE" w:rsidRDefault="00924327" w:rsidP="00924327">
            <w:pPr>
              <w:jc w:val="both"/>
              <w:rPr>
                <w:rFonts w:ascii="Arial" w:hAnsi="Arial" w:cs="FrankRuehl"/>
                <w:sz w:val="28"/>
                <w:szCs w:val="28"/>
              </w:rPr>
            </w:pPr>
          </w:p>
        </w:tc>
      </w:tr>
      <w:tr w:rsidR="00924327" w:rsidRPr="00E43FBE" w14:paraId="1B14F421" w14:textId="77777777" w:rsidTr="00924327">
        <w:trPr>
          <w:trHeight w:val="355"/>
          <w:jc w:val="center"/>
        </w:trPr>
        <w:tc>
          <w:tcPr>
            <w:tcW w:w="852" w:type="dxa"/>
            <w:tcBorders>
              <w:top w:val="nil"/>
              <w:left w:val="nil"/>
              <w:bottom w:val="nil"/>
              <w:right w:val="nil"/>
            </w:tcBorders>
            <w:shd w:val="clear" w:color="auto" w:fill="auto"/>
          </w:tcPr>
          <w:p w14:paraId="3163F8AD" w14:textId="77777777" w:rsidR="00924327" w:rsidRPr="00E43FBE" w:rsidRDefault="00924327" w:rsidP="00924327">
            <w:pPr>
              <w:jc w:val="both"/>
              <w:rPr>
                <w:rFonts w:ascii="Arial" w:hAnsi="Arial" w:cs="FrankRuehl"/>
                <w:sz w:val="28"/>
                <w:szCs w:val="28"/>
                <w:rtl/>
              </w:rPr>
            </w:pPr>
            <w:bookmarkStart w:id="2" w:name="FirstAppellant"/>
          </w:p>
          <w:p w14:paraId="6347D552" w14:textId="77777777" w:rsidR="00924327" w:rsidRPr="00E43FBE" w:rsidRDefault="00924327" w:rsidP="00924327">
            <w:pPr>
              <w:jc w:val="both"/>
              <w:rPr>
                <w:rFonts w:ascii="Arial" w:hAnsi="Arial" w:cs="FrankRuehl"/>
                <w:sz w:val="28"/>
                <w:szCs w:val="28"/>
              </w:rPr>
            </w:pPr>
            <w:r w:rsidRPr="00E43FBE">
              <w:rPr>
                <w:rFonts w:ascii="Arial" w:hAnsi="Arial" w:cs="FrankRuehl" w:hint="cs"/>
                <w:sz w:val="28"/>
                <w:szCs w:val="28"/>
                <w:rtl/>
              </w:rPr>
              <w:t>בעניין:</w:t>
            </w:r>
          </w:p>
        </w:tc>
        <w:tc>
          <w:tcPr>
            <w:tcW w:w="6129" w:type="dxa"/>
            <w:tcBorders>
              <w:top w:val="nil"/>
              <w:left w:val="nil"/>
              <w:bottom w:val="nil"/>
              <w:right w:val="nil"/>
            </w:tcBorders>
            <w:shd w:val="clear" w:color="auto" w:fill="auto"/>
          </w:tcPr>
          <w:p w14:paraId="55CF87C6" w14:textId="77777777" w:rsidR="00924327" w:rsidRPr="00E43FBE" w:rsidRDefault="00924327" w:rsidP="00924327">
            <w:pPr>
              <w:jc w:val="both"/>
              <w:rPr>
                <w:rFonts w:ascii="Arial" w:hAnsi="Arial" w:cs="FrankRuehl"/>
                <w:sz w:val="28"/>
                <w:szCs w:val="28"/>
                <w:rtl/>
              </w:rPr>
            </w:pPr>
          </w:p>
          <w:p w14:paraId="1598A0BB" w14:textId="77777777" w:rsidR="00924327" w:rsidRPr="00E43FBE" w:rsidRDefault="00924327" w:rsidP="008567A2">
            <w:r w:rsidRPr="00E43FBE">
              <w:rPr>
                <w:rFonts w:ascii="Arial" w:hAnsi="Arial" w:cs="FrankRuehl"/>
                <w:sz w:val="28"/>
                <w:szCs w:val="28"/>
                <w:rtl/>
              </w:rPr>
              <w:t>מדינת ישראל</w:t>
            </w:r>
          </w:p>
          <w:p w14:paraId="1B5AEBB2" w14:textId="77777777" w:rsidR="00924327" w:rsidRPr="00E43FBE" w:rsidRDefault="00924327" w:rsidP="00924327">
            <w:pPr>
              <w:jc w:val="both"/>
              <w:rPr>
                <w:rFonts w:ascii="Arial" w:hAnsi="Arial" w:cs="FrankRuehl"/>
                <w:sz w:val="28"/>
                <w:szCs w:val="28"/>
                <w:rtl/>
              </w:rPr>
            </w:pPr>
            <w:r w:rsidRPr="00E43FBE">
              <w:rPr>
                <w:rFonts w:ascii="Arial" w:hAnsi="Arial" w:cs="FrankRuehl" w:hint="cs"/>
                <w:sz w:val="28"/>
                <w:szCs w:val="28"/>
                <w:rtl/>
              </w:rPr>
              <w:t>על ידי יחידת תביעות מחוז ירושלים</w:t>
            </w:r>
          </w:p>
          <w:p w14:paraId="0A10C344" w14:textId="77777777" w:rsidR="00924327" w:rsidRPr="00E43FBE" w:rsidRDefault="00924327" w:rsidP="00924327">
            <w:pPr>
              <w:jc w:val="both"/>
              <w:rPr>
                <w:rFonts w:ascii="Arial" w:hAnsi="Arial" w:cs="FrankRuehl"/>
                <w:sz w:val="28"/>
                <w:szCs w:val="28"/>
              </w:rPr>
            </w:pPr>
            <w:r w:rsidRPr="00E43FBE">
              <w:rPr>
                <w:rFonts w:ascii="Arial" w:hAnsi="Arial" w:cs="FrankRuehl" w:hint="cs"/>
                <w:sz w:val="28"/>
                <w:szCs w:val="28"/>
                <w:rtl/>
              </w:rPr>
              <w:t>משטרת ישראל</w:t>
            </w:r>
          </w:p>
        </w:tc>
        <w:tc>
          <w:tcPr>
            <w:tcW w:w="1839" w:type="dxa"/>
            <w:tcBorders>
              <w:top w:val="nil"/>
              <w:left w:val="nil"/>
              <w:bottom w:val="nil"/>
              <w:right w:val="nil"/>
            </w:tcBorders>
            <w:shd w:val="clear" w:color="auto" w:fill="auto"/>
          </w:tcPr>
          <w:p w14:paraId="401FB2A3" w14:textId="77777777" w:rsidR="00924327" w:rsidRPr="00E43FBE" w:rsidRDefault="00924327" w:rsidP="00924327">
            <w:pPr>
              <w:jc w:val="both"/>
              <w:rPr>
                <w:rFonts w:ascii="Arial" w:hAnsi="Arial" w:cs="FrankRuehl"/>
                <w:sz w:val="28"/>
                <w:szCs w:val="28"/>
              </w:rPr>
            </w:pPr>
          </w:p>
        </w:tc>
      </w:tr>
      <w:bookmarkEnd w:id="2"/>
      <w:tr w:rsidR="00924327" w:rsidRPr="00E43FBE" w14:paraId="31EC3B42" w14:textId="77777777" w:rsidTr="00924327">
        <w:trPr>
          <w:trHeight w:val="355"/>
          <w:jc w:val="center"/>
        </w:trPr>
        <w:tc>
          <w:tcPr>
            <w:tcW w:w="852" w:type="dxa"/>
            <w:tcBorders>
              <w:top w:val="nil"/>
              <w:left w:val="nil"/>
              <w:bottom w:val="nil"/>
              <w:right w:val="nil"/>
            </w:tcBorders>
            <w:shd w:val="clear" w:color="auto" w:fill="auto"/>
          </w:tcPr>
          <w:p w14:paraId="0DE65275" w14:textId="77777777" w:rsidR="00924327" w:rsidRPr="00E43FBE" w:rsidRDefault="00924327" w:rsidP="00924327">
            <w:pPr>
              <w:jc w:val="both"/>
              <w:rPr>
                <w:rFonts w:ascii="Arial" w:hAnsi="Arial" w:cs="FrankRuehl"/>
                <w:sz w:val="28"/>
                <w:szCs w:val="28"/>
                <w:rtl/>
              </w:rPr>
            </w:pPr>
          </w:p>
        </w:tc>
        <w:tc>
          <w:tcPr>
            <w:tcW w:w="6129" w:type="dxa"/>
            <w:tcBorders>
              <w:top w:val="nil"/>
              <w:left w:val="nil"/>
              <w:bottom w:val="nil"/>
              <w:right w:val="nil"/>
            </w:tcBorders>
            <w:shd w:val="clear" w:color="auto" w:fill="auto"/>
          </w:tcPr>
          <w:p w14:paraId="57F61C62" w14:textId="77777777" w:rsidR="00924327" w:rsidRPr="00E43FBE" w:rsidRDefault="00924327" w:rsidP="00924327">
            <w:pPr>
              <w:jc w:val="both"/>
              <w:rPr>
                <w:rtl/>
              </w:rPr>
            </w:pPr>
          </w:p>
        </w:tc>
        <w:tc>
          <w:tcPr>
            <w:tcW w:w="1839" w:type="dxa"/>
            <w:tcBorders>
              <w:top w:val="nil"/>
              <w:left w:val="nil"/>
              <w:bottom w:val="nil"/>
              <w:right w:val="nil"/>
            </w:tcBorders>
            <w:shd w:val="clear" w:color="auto" w:fill="auto"/>
          </w:tcPr>
          <w:p w14:paraId="17ABB931" w14:textId="77777777" w:rsidR="00924327" w:rsidRPr="00E43FBE" w:rsidRDefault="00924327" w:rsidP="00924327">
            <w:pPr>
              <w:jc w:val="right"/>
              <w:rPr>
                <w:rFonts w:ascii="Arial" w:hAnsi="Arial" w:cs="FrankRuehl"/>
                <w:sz w:val="28"/>
                <w:szCs w:val="28"/>
                <w:rtl/>
              </w:rPr>
            </w:pPr>
            <w:r w:rsidRPr="00E43FBE">
              <w:rPr>
                <w:rFonts w:ascii="Arial" w:hAnsi="Arial" w:cs="FrankRuehl" w:hint="cs"/>
                <w:sz w:val="28"/>
                <w:szCs w:val="28"/>
                <w:rtl/>
              </w:rPr>
              <w:t>ה</w:t>
            </w:r>
            <w:r w:rsidRPr="00E43FBE">
              <w:rPr>
                <w:rFonts w:ascii="Arial" w:hAnsi="Arial" w:cs="FrankRuehl"/>
                <w:sz w:val="28"/>
                <w:szCs w:val="28"/>
                <w:rtl/>
              </w:rPr>
              <w:t>מאשימה</w:t>
            </w:r>
          </w:p>
        </w:tc>
      </w:tr>
      <w:tr w:rsidR="00924327" w:rsidRPr="00E43FBE" w14:paraId="58C8F7E0" w14:textId="77777777" w:rsidTr="00924327">
        <w:trPr>
          <w:trHeight w:val="355"/>
          <w:jc w:val="center"/>
        </w:trPr>
        <w:tc>
          <w:tcPr>
            <w:tcW w:w="852" w:type="dxa"/>
            <w:tcBorders>
              <w:top w:val="nil"/>
              <w:left w:val="nil"/>
              <w:bottom w:val="nil"/>
              <w:right w:val="nil"/>
            </w:tcBorders>
            <w:shd w:val="clear" w:color="auto" w:fill="auto"/>
          </w:tcPr>
          <w:p w14:paraId="4EAA1E21" w14:textId="77777777" w:rsidR="00924327" w:rsidRPr="00E43FBE" w:rsidRDefault="00924327" w:rsidP="00924327">
            <w:pPr>
              <w:jc w:val="both"/>
              <w:rPr>
                <w:rFonts w:ascii="Arial" w:hAnsi="Arial" w:cs="FrankRuehl"/>
                <w:sz w:val="28"/>
                <w:szCs w:val="28"/>
                <w:rtl/>
              </w:rPr>
            </w:pPr>
          </w:p>
        </w:tc>
        <w:tc>
          <w:tcPr>
            <w:tcW w:w="7968" w:type="dxa"/>
            <w:gridSpan w:val="2"/>
            <w:tcBorders>
              <w:top w:val="nil"/>
              <w:left w:val="nil"/>
              <w:bottom w:val="nil"/>
              <w:right w:val="nil"/>
            </w:tcBorders>
            <w:shd w:val="clear" w:color="auto" w:fill="auto"/>
          </w:tcPr>
          <w:p w14:paraId="6F52B8F1" w14:textId="77777777" w:rsidR="00924327" w:rsidRPr="00E43FBE" w:rsidRDefault="00924327" w:rsidP="00924327">
            <w:pPr>
              <w:jc w:val="center"/>
              <w:rPr>
                <w:rFonts w:ascii="Arial" w:hAnsi="Arial" w:cs="FrankRuehl"/>
                <w:b/>
                <w:bCs/>
                <w:sz w:val="28"/>
                <w:szCs w:val="28"/>
                <w:rtl/>
              </w:rPr>
            </w:pPr>
          </w:p>
          <w:p w14:paraId="538DF767" w14:textId="77777777" w:rsidR="00924327" w:rsidRPr="00E43FBE" w:rsidRDefault="00924327" w:rsidP="00924327">
            <w:pPr>
              <w:jc w:val="center"/>
              <w:rPr>
                <w:rFonts w:ascii="Arial" w:hAnsi="Arial" w:cs="FrankRuehl"/>
                <w:b/>
                <w:bCs/>
                <w:sz w:val="28"/>
                <w:szCs w:val="28"/>
                <w:rtl/>
              </w:rPr>
            </w:pPr>
            <w:r w:rsidRPr="00E43FBE">
              <w:rPr>
                <w:rFonts w:ascii="Arial" w:hAnsi="Arial" w:cs="FrankRuehl"/>
                <w:b/>
                <w:bCs/>
                <w:sz w:val="28"/>
                <w:szCs w:val="28"/>
                <w:rtl/>
              </w:rPr>
              <w:t>נגד</w:t>
            </w:r>
          </w:p>
          <w:p w14:paraId="0858FC05" w14:textId="77777777" w:rsidR="00924327" w:rsidRPr="00E43FBE" w:rsidRDefault="00924327" w:rsidP="00924327">
            <w:pPr>
              <w:jc w:val="both"/>
              <w:rPr>
                <w:rFonts w:ascii="Arial" w:hAnsi="Arial" w:cs="FrankRuehl"/>
                <w:sz w:val="28"/>
                <w:szCs w:val="28"/>
              </w:rPr>
            </w:pPr>
          </w:p>
        </w:tc>
      </w:tr>
      <w:tr w:rsidR="00924327" w:rsidRPr="00E43FBE" w14:paraId="01D09E67" w14:textId="77777777" w:rsidTr="00924327">
        <w:trPr>
          <w:trHeight w:val="355"/>
          <w:jc w:val="center"/>
        </w:trPr>
        <w:tc>
          <w:tcPr>
            <w:tcW w:w="852" w:type="dxa"/>
            <w:tcBorders>
              <w:top w:val="nil"/>
              <w:left w:val="nil"/>
              <w:bottom w:val="nil"/>
              <w:right w:val="nil"/>
            </w:tcBorders>
            <w:shd w:val="clear" w:color="auto" w:fill="auto"/>
          </w:tcPr>
          <w:p w14:paraId="30DA1EB9" w14:textId="77777777" w:rsidR="00924327" w:rsidRPr="00E43FBE" w:rsidRDefault="00924327" w:rsidP="00924327">
            <w:pPr>
              <w:jc w:val="both"/>
              <w:rPr>
                <w:rFonts w:ascii="Arial" w:hAnsi="Arial" w:cs="FrankRuehl"/>
                <w:sz w:val="28"/>
                <w:szCs w:val="28"/>
                <w:rtl/>
              </w:rPr>
            </w:pPr>
          </w:p>
        </w:tc>
        <w:tc>
          <w:tcPr>
            <w:tcW w:w="6129" w:type="dxa"/>
            <w:tcBorders>
              <w:top w:val="nil"/>
              <w:left w:val="nil"/>
              <w:bottom w:val="nil"/>
              <w:right w:val="nil"/>
            </w:tcBorders>
            <w:shd w:val="clear" w:color="auto" w:fill="auto"/>
          </w:tcPr>
          <w:p w14:paraId="3AD96A96" w14:textId="77777777" w:rsidR="00924327" w:rsidRPr="00E43FBE" w:rsidRDefault="00924327" w:rsidP="00924327">
            <w:pPr>
              <w:jc w:val="both"/>
              <w:rPr>
                <w:rtl/>
              </w:rPr>
            </w:pPr>
            <w:r w:rsidRPr="00E43FBE">
              <w:rPr>
                <w:rFonts w:ascii="Arial" w:hAnsi="Arial" w:cs="FrankRuehl" w:hint="cs"/>
                <w:b/>
                <w:bCs/>
                <w:sz w:val="28"/>
                <w:szCs w:val="28"/>
                <w:rtl/>
              </w:rPr>
              <w:t>פראס</w:t>
            </w:r>
            <w:r w:rsidRPr="00E43FBE">
              <w:rPr>
                <w:rFonts w:ascii="Arial" w:hAnsi="Arial" w:cs="FrankRuehl"/>
                <w:b/>
                <w:bCs/>
                <w:sz w:val="28"/>
                <w:szCs w:val="28"/>
                <w:rtl/>
              </w:rPr>
              <w:t>אעבידאת</w:t>
            </w:r>
            <w:r w:rsidRPr="00E43FBE">
              <w:rPr>
                <w:rFonts w:ascii="Arial" w:hAnsi="Arial" w:cs="FrankRuehl"/>
                <w:b/>
                <w:bCs/>
                <w:sz w:val="28"/>
                <w:szCs w:val="28"/>
                <w:rtl/>
              </w:rPr>
              <w:br/>
            </w:r>
            <w:r w:rsidRPr="00E43FBE">
              <w:rPr>
                <w:rFonts w:hint="cs"/>
                <w:b/>
                <w:bCs/>
                <w:rtl/>
              </w:rPr>
              <w:t>ע"י עו"ד מוענתז שקיראת (ממשרד עו"ד מוחמד מחמוד)</w:t>
            </w:r>
          </w:p>
        </w:tc>
        <w:tc>
          <w:tcPr>
            <w:tcW w:w="1839" w:type="dxa"/>
            <w:tcBorders>
              <w:top w:val="nil"/>
              <w:left w:val="nil"/>
              <w:bottom w:val="nil"/>
              <w:right w:val="nil"/>
            </w:tcBorders>
            <w:shd w:val="clear" w:color="auto" w:fill="auto"/>
          </w:tcPr>
          <w:p w14:paraId="41DACBFE" w14:textId="77777777" w:rsidR="00924327" w:rsidRPr="00E43FBE" w:rsidRDefault="00924327" w:rsidP="00924327">
            <w:pPr>
              <w:jc w:val="right"/>
              <w:rPr>
                <w:rFonts w:ascii="Arial" w:hAnsi="Arial" w:cs="FrankRuehl"/>
                <w:sz w:val="28"/>
                <w:szCs w:val="28"/>
              </w:rPr>
            </w:pPr>
          </w:p>
        </w:tc>
      </w:tr>
      <w:tr w:rsidR="00924327" w:rsidRPr="00E43FBE" w14:paraId="63C16DAA" w14:textId="77777777" w:rsidTr="00924327">
        <w:trPr>
          <w:trHeight w:val="355"/>
          <w:jc w:val="center"/>
        </w:trPr>
        <w:tc>
          <w:tcPr>
            <w:tcW w:w="852" w:type="dxa"/>
            <w:tcBorders>
              <w:top w:val="nil"/>
              <w:left w:val="nil"/>
              <w:bottom w:val="nil"/>
              <w:right w:val="nil"/>
            </w:tcBorders>
            <w:shd w:val="clear" w:color="auto" w:fill="auto"/>
          </w:tcPr>
          <w:p w14:paraId="3B5981B4" w14:textId="77777777" w:rsidR="00924327" w:rsidRPr="00E43FBE" w:rsidRDefault="00924327" w:rsidP="00924327">
            <w:pPr>
              <w:jc w:val="both"/>
              <w:rPr>
                <w:rFonts w:ascii="Arial" w:hAnsi="Arial" w:cs="FrankRuehl"/>
                <w:sz w:val="28"/>
                <w:szCs w:val="28"/>
                <w:rtl/>
              </w:rPr>
            </w:pPr>
          </w:p>
        </w:tc>
        <w:tc>
          <w:tcPr>
            <w:tcW w:w="6129" w:type="dxa"/>
            <w:tcBorders>
              <w:top w:val="nil"/>
              <w:left w:val="nil"/>
              <w:bottom w:val="nil"/>
              <w:right w:val="nil"/>
            </w:tcBorders>
            <w:shd w:val="clear" w:color="auto" w:fill="auto"/>
          </w:tcPr>
          <w:p w14:paraId="73D19747" w14:textId="77777777" w:rsidR="00924327" w:rsidRPr="00E43FBE" w:rsidRDefault="00924327" w:rsidP="00924327">
            <w:pPr>
              <w:jc w:val="both"/>
              <w:rPr>
                <w:rtl/>
              </w:rPr>
            </w:pPr>
          </w:p>
        </w:tc>
        <w:tc>
          <w:tcPr>
            <w:tcW w:w="1839" w:type="dxa"/>
            <w:tcBorders>
              <w:top w:val="nil"/>
              <w:left w:val="nil"/>
              <w:bottom w:val="nil"/>
              <w:right w:val="nil"/>
            </w:tcBorders>
            <w:shd w:val="clear" w:color="auto" w:fill="auto"/>
          </w:tcPr>
          <w:p w14:paraId="4AA57B2C" w14:textId="77777777" w:rsidR="00924327" w:rsidRPr="00E43FBE" w:rsidRDefault="00924327" w:rsidP="00924327">
            <w:pPr>
              <w:jc w:val="right"/>
              <w:rPr>
                <w:rFonts w:ascii="Arial" w:hAnsi="Arial" w:cs="FrankRuehl"/>
                <w:sz w:val="28"/>
                <w:szCs w:val="28"/>
                <w:rtl/>
              </w:rPr>
            </w:pPr>
          </w:p>
          <w:p w14:paraId="497334E7" w14:textId="77777777" w:rsidR="00924327" w:rsidRPr="00E43FBE" w:rsidRDefault="00924327" w:rsidP="00924327">
            <w:pPr>
              <w:jc w:val="right"/>
              <w:rPr>
                <w:rFonts w:ascii="Arial" w:hAnsi="Arial" w:cs="FrankRuehl"/>
                <w:sz w:val="28"/>
                <w:szCs w:val="28"/>
              </w:rPr>
            </w:pPr>
            <w:r w:rsidRPr="00E43FBE">
              <w:rPr>
                <w:rFonts w:ascii="Arial" w:hAnsi="Arial" w:cs="FrankRuehl" w:hint="cs"/>
                <w:sz w:val="28"/>
                <w:szCs w:val="28"/>
                <w:rtl/>
              </w:rPr>
              <w:t>ה</w:t>
            </w:r>
            <w:r w:rsidRPr="00E43FBE">
              <w:rPr>
                <w:rFonts w:ascii="Arial" w:hAnsi="Arial" w:cs="FrankRuehl"/>
                <w:sz w:val="28"/>
                <w:szCs w:val="28"/>
                <w:rtl/>
              </w:rPr>
              <w:t>נאשם</w:t>
            </w:r>
          </w:p>
        </w:tc>
      </w:tr>
    </w:tbl>
    <w:p w14:paraId="0E98F43E" w14:textId="77777777" w:rsidR="00BF5716" w:rsidRDefault="00BF5716" w:rsidP="00924327">
      <w:pPr>
        <w:rPr>
          <w:rtl/>
        </w:rPr>
      </w:pPr>
      <w:bookmarkStart w:id="3" w:name="LawTable"/>
      <w:bookmarkEnd w:id="3"/>
    </w:p>
    <w:p w14:paraId="1CDEAE11" w14:textId="77777777" w:rsidR="00BF5716" w:rsidRPr="00BF5716" w:rsidRDefault="00BF5716" w:rsidP="00BF5716">
      <w:pPr>
        <w:spacing w:after="120" w:line="240" w:lineRule="exact"/>
        <w:ind w:left="283" w:hanging="283"/>
        <w:jc w:val="both"/>
        <w:rPr>
          <w:rFonts w:ascii="FrankRuehl" w:hAnsi="FrankRuehl" w:cs="FrankRuehl"/>
          <w:rtl/>
        </w:rPr>
      </w:pPr>
    </w:p>
    <w:p w14:paraId="25C876DA" w14:textId="77777777" w:rsidR="00BF5716" w:rsidRPr="00BF5716" w:rsidRDefault="00BF5716" w:rsidP="00BF5716">
      <w:pPr>
        <w:spacing w:after="120" w:line="240" w:lineRule="exact"/>
        <w:ind w:left="283" w:hanging="283"/>
        <w:jc w:val="both"/>
        <w:rPr>
          <w:rFonts w:ascii="FrankRuehl" w:hAnsi="FrankRuehl" w:cs="FrankRuehl"/>
          <w:rtl/>
        </w:rPr>
      </w:pPr>
      <w:r w:rsidRPr="00BF5716">
        <w:rPr>
          <w:rFonts w:ascii="FrankRuehl" w:hAnsi="FrankRuehl" w:cs="FrankRuehl"/>
          <w:rtl/>
        </w:rPr>
        <w:t xml:space="preserve">חקיקה שאוזכרה: </w:t>
      </w:r>
    </w:p>
    <w:p w14:paraId="16845746" w14:textId="77777777" w:rsidR="00BF5716" w:rsidRPr="00BF5716" w:rsidRDefault="00BF5716" w:rsidP="00BF5716">
      <w:pPr>
        <w:spacing w:after="120" w:line="240" w:lineRule="exact"/>
        <w:ind w:left="283" w:hanging="283"/>
        <w:jc w:val="both"/>
        <w:rPr>
          <w:rFonts w:ascii="FrankRuehl" w:hAnsi="FrankRuehl" w:cs="FrankRuehl"/>
          <w:rtl/>
        </w:rPr>
      </w:pPr>
      <w:hyperlink r:id="rId6" w:history="1">
        <w:r w:rsidRPr="00BF5716">
          <w:rPr>
            <w:rFonts w:ascii="FrankRuehl" w:hAnsi="FrankRuehl" w:cs="FrankRuehl"/>
            <w:color w:val="0000FF"/>
            <w:u w:val="single"/>
            <w:rtl/>
          </w:rPr>
          <w:t>חוק העונשין, תשל"ז-1977</w:t>
        </w:r>
      </w:hyperlink>
      <w:r w:rsidRPr="00BF5716">
        <w:rPr>
          <w:rFonts w:ascii="FrankRuehl" w:hAnsi="FrankRuehl" w:cs="FrankRuehl"/>
          <w:rtl/>
        </w:rPr>
        <w:t xml:space="preserve">: סע'  </w:t>
      </w:r>
      <w:hyperlink r:id="rId7" w:history="1">
        <w:r w:rsidRPr="00BF5716">
          <w:rPr>
            <w:rFonts w:ascii="FrankRuehl" w:hAnsi="FrankRuehl" w:cs="FrankRuehl"/>
            <w:color w:val="0000FF"/>
            <w:u w:val="single"/>
            <w:rtl/>
          </w:rPr>
          <w:t>40ב'</w:t>
        </w:r>
      </w:hyperlink>
      <w:r w:rsidRPr="00BF5716">
        <w:rPr>
          <w:rFonts w:ascii="FrankRuehl" w:hAnsi="FrankRuehl" w:cs="FrankRuehl"/>
          <w:rtl/>
        </w:rPr>
        <w:t xml:space="preserve">, </w:t>
      </w:r>
      <w:hyperlink r:id="rId8" w:history="1">
        <w:r w:rsidRPr="00BF5716">
          <w:rPr>
            <w:rFonts w:ascii="FrankRuehl" w:hAnsi="FrankRuehl" w:cs="FrankRuehl"/>
            <w:color w:val="0000FF"/>
            <w:u w:val="single"/>
            <w:rtl/>
          </w:rPr>
          <w:t>144</w:t>
        </w:r>
      </w:hyperlink>
      <w:r w:rsidRPr="00BF5716">
        <w:rPr>
          <w:rFonts w:ascii="FrankRuehl" w:hAnsi="FrankRuehl" w:cs="FrankRuehl"/>
          <w:rtl/>
        </w:rPr>
        <w:t xml:space="preserve">, </w:t>
      </w:r>
      <w:hyperlink r:id="rId9" w:history="1">
        <w:r w:rsidRPr="00BF5716">
          <w:rPr>
            <w:rFonts w:ascii="FrankRuehl" w:hAnsi="FrankRuehl" w:cs="FrankRuehl"/>
            <w:color w:val="0000FF"/>
            <w:u w:val="single"/>
            <w:rtl/>
          </w:rPr>
          <w:t>144(א)</w:t>
        </w:r>
      </w:hyperlink>
    </w:p>
    <w:p w14:paraId="6E14D63E" w14:textId="77777777" w:rsidR="00BF5716" w:rsidRPr="00BF5716" w:rsidRDefault="00BF5716" w:rsidP="00BF5716">
      <w:pPr>
        <w:spacing w:after="120" w:line="240" w:lineRule="exact"/>
        <w:ind w:left="283" w:hanging="283"/>
        <w:jc w:val="both"/>
        <w:rPr>
          <w:rFonts w:ascii="FrankRuehl" w:hAnsi="FrankRuehl" w:cs="FrankRuehl"/>
          <w:rtl/>
        </w:rPr>
      </w:pPr>
    </w:p>
    <w:p w14:paraId="306C031B" w14:textId="77777777" w:rsidR="00BF5716" w:rsidRPr="00BF5716" w:rsidRDefault="00BF5716" w:rsidP="00924327">
      <w:pPr>
        <w:rPr>
          <w:rtl/>
        </w:rPr>
      </w:pPr>
      <w:bookmarkStart w:id="4" w:name="LawTable_End"/>
      <w:bookmarkEnd w:id="4"/>
    </w:p>
    <w:p w14:paraId="3AC002F1" w14:textId="77777777" w:rsidR="00BF5716" w:rsidRPr="00BF5716" w:rsidRDefault="00BF5716" w:rsidP="00924327">
      <w:pPr>
        <w:rPr>
          <w:rtl/>
        </w:rPr>
      </w:pPr>
    </w:p>
    <w:p w14:paraId="733DB31C" w14:textId="77777777" w:rsidR="00BF5716" w:rsidRPr="00BF5716" w:rsidRDefault="00BF5716" w:rsidP="00924327">
      <w:pPr>
        <w:rPr>
          <w:rtl/>
        </w:rPr>
      </w:pPr>
    </w:p>
    <w:p w14:paraId="210D3807" w14:textId="77777777" w:rsidR="00924327" w:rsidRPr="00BF5716" w:rsidRDefault="00924327" w:rsidP="00924327"/>
    <w:p w14:paraId="132B2BF4" w14:textId="77777777" w:rsidR="00924327" w:rsidRPr="00980432" w:rsidRDefault="00924327" w:rsidP="00924327"/>
    <w:p w14:paraId="7A41E716" w14:textId="77777777" w:rsidR="00E43FBE" w:rsidRPr="00E43FBE" w:rsidRDefault="00E43FBE" w:rsidP="00924327">
      <w:pPr>
        <w:rPr>
          <w:rFonts w:ascii="Arial" w:hAnsi="Arial" w:cs="FrankRuehl"/>
          <w:b/>
          <w:bCs/>
          <w:sz w:val="28"/>
          <w:szCs w:val="28"/>
          <w:rtl/>
        </w:rPr>
      </w:pPr>
    </w:p>
    <w:p w14:paraId="4D4B20B7" w14:textId="77777777" w:rsidR="00924327" w:rsidRPr="00E43FBE" w:rsidRDefault="00924327" w:rsidP="00924327">
      <w:pPr>
        <w:rPr>
          <w:rFonts w:ascii="Arial" w:hAnsi="Arial" w:cs="FrankRuehl"/>
          <w:b/>
          <w:bCs/>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24327" w14:paraId="02D2CCA4" w14:textId="77777777" w:rsidTr="00924327">
        <w:trPr>
          <w:trHeight w:val="355"/>
          <w:jc w:val="center"/>
        </w:trPr>
        <w:tc>
          <w:tcPr>
            <w:tcW w:w="8820" w:type="dxa"/>
            <w:tcBorders>
              <w:top w:val="nil"/>
              <w:left w:val="nil"/>
              <w:bottom w:val="nil"/>
              <w:right w:val="nil"/>
            </w:tcBorders>
            <w:shd w:val="clear" w:color="auto" w:fill="auto"/>
          </w:tcPr>
          <w:p w14:paraId="5632F1B5" w14:textId="77777777" w:rsidR="00E43FBE" w:rsidRPr="00E43FBE" w:rsidRDefault="00E43FBE" w:rsidP="00E43FBE">
            <w:pPr>
              <w:jc w:val="center"/>
              <w:rPr>
                <w:rFonts w:ascii="Arial" w:hAnsi="Arial" w:cs="FrankRuehl"/>
                <w:b/>
                <w:bCs/>
                <w:sz w:val="32"/>
                <w:szCs w:val="32"/>
                <w:u w:val="single"/>
                <w:rtl/>
              </w:rPr>
            </w:pPr>
            <w:bookmarkStart w:id="5" w:name="PsakDin" w:colFirst="0" w:colLast="0"/>
            <w:bookmarkEnd w:id="0"/>
            <w:bookmarkEnd w:id="1"/>
            <w:r w:rsidRPr="00E43FBE">
              <w:rPr>
                <w:rFonts w:ascii="Arial" w:hAnsi="Arial" w:cs="FrankRuehl"/>
                <w:b/>
                <w:bCs/>
                <w:sz w:val="32"/>
                <w:szCs w:val="32"/>
                <w:u w:val="single"/>
                <w:rtl/>
              </w:rPr>
              <w:t>גזר דין</w:t>
            </w:r>
          </w:p>
          <w:p w14:paraId="7B6F95CD" w14:textId="77777777" w:rsidR="00924327" w:rsidRPr="00E43FBE" w:rsidRDefault="00924327" w:rsidP="00E43FBE">
            <w:pPr>
              <w:jc w:val="center"/>
              <w:rPr>
                <w:rFonts w:ascii="Arial" w:hAnsi="Arial" w:cs="FrankRuehl"/>
                <w:bCs/>
                <w:sz w:val="32"/>
                <w:szCs w:val="32"/>
                <w:u w:val="single"/>
                <w:rtl/>
              </w:rPr>
            </w:pPr>
          </w:p>
        </w:tc>
      </w:tr>
      <w:bookmarkEnd w:id="5"/>
    </w:tbl>
    <w:p w14:paraId="6C016A18" w14:textId="77777777" w:rsidR="00924327" w:rsidRPr="00466C34" w:rsidRDefault="00924327" w:rsidP="00924327">
      <w:pPr>
        <w:rPr>
          <w:rFonts w:ascii="Arial" w:hAnsi="Arial" w:cs="FrankRuehl"/>
          <w:b/>
          <w:bCs/>
          <w:sz w:val="28"/>
          <w:szCs w:val="28"/>
          <w:u w:val="single"/>
          <w:rtl/>
        </w:rPr>
      </w:pPr>
    </w:p>
    <w:p w14:paraId="0D50159B" w14:textId="77777777" w:rsidR="00924327" w:rsidRPr="00EE7469" w:rsidRDefault="00924327" w:rsidP="00924327">
      <w:pPr>
        <w:rPr>
          <w:rFonts w:ascii="Arial" w:hAnsi="Arial"/>
          <w:b/>
          <w:bCs/>
          <w:u w:val="single"/>
          <w:rtl/>
        </w:rPr>
      </w:pPr>
      <w:r w:rsidRPr="00EE7469">
        <w:rPr>
          <w:rFonts w:ascii="Arial" w:hAnsi="Arial" w:hint="cs"/>
          <w:b/>
          <w:bCs/>
          <w:u w:val="single"/>
          <w:rtl/>
        </w:rPr>
        <w:t>רקע</w:t>
      </w:r>
    </w:p>
    <w:p w14:paraId="5459A1AA" w14:textId="77777777" w:rsidR="00924327" w:rsidRPr="00EE7469" w:rsidRDefault="00924327" w:rsidP="00924327">
      <w:pPr>
        <w:rPr>
          <w:rFonts w:ascii="Arial" w:hAnsi="Arial"/>
          <w:b/>
          <w:bCs/>
          <w:u w:val="single"/>
          <w:rtl/>
        </w:rPr>
      </w:pPr>
    </w:p>
    <w:p w14:paraId="0D9BE61B" w14:textId="77777777" w:rsidR="00924327" w:rsidRPr="00EE7469" w:rsidRDefault="00924327" w:rsidP="00924327">
      <w:pPr>
        <w:spacing w:line="360" w:lineRule="auto"/>
        <w:jc w:val="both"/>
        <w:rPr>
          <w:rFonts w:ascii="Arial" w:hAnsi="Arial"/>
          <w:rtl/>
        </w:rPr>
      </w:pPr>
      <w:bookmarkStart w:id="6" w:name="ABSTRACT_START"/>
      <w:bookmarkEnd w:id="6"/>
      <w:r>
        <w:rPr>
          <w:rFonts w:ascii="Arial" w:hAnsi="Arial" w:hint="cs"/>
          <w:rtl/>
        </w:rPr>
        <w:t>הנאשם, תושב ירושלים</w:t>
      </w:r>
      <w:r w:rsidRPr="00EE7469">
        <w:rPr>
          <w:rFonts w:ascii="Arial" w:hAnsi="Arial" w:hint="cs"/>
          <w:rtl/>
        </w:rPr>
        <w:t xml:space="preserve"> יליד 1973, הורשע על פי הודאתו, בעבירות של החזקת נשק שלא כדין והחזקת תחמושת, עבירות לפי </w:t>
      </w:r>
      <w:hyperlink r:id="rId10" w:history="1">
        <w:r w:rsidR="00980432" w:rsidRPr="00980432">
          <w:rPr>
            <w:rFonts w:ascii="Arial" w:hAnsi="Arial"/>
            <w:color w:val="0000FF"/>
            <w:u w:val="single"/>
            <w:rtl/>
          </w:rPr>
          <w:t>סעיפים 144(א)</w:t>
        </w:r>
      </w:hyperlink>
      <w:r w:rsidRPr="00EE7469">
        <w:rPr>
          <w:rFonts w:ascii="Arial" w:hAnsi="Arial" w:hint="cs"/>
          <w:rtl/>
        </w:rPr>
        <w:t xml:space="preserve"> רישא ו-</w:t>
      </w:r>
      <w:hyperlink r:id="rId11" w:history="1">
        <w:r w:rsidR="00980432" w:rsidRPr="00980432">
          <w:rPr>
            <w:rFonts w:ascii="Arial" w:hAnsi="Arial"/>
            <w:color w:val="0000FF"/>
            <w:u w:val="single"/>
            <w:rtl/>
          </w:rPr>
          <w:t>144</w:t>
        </w:r>
      </w:hyperlink>
      <w:r w:rsidRPr="00EE7469">
        <w:rPr>
          <w:rFonts w:ascii="Arial" w:hAnsi="Arial" w:hint="cs"/>
          <w:rtl/>
        </w:rPr>
        <w:t xml:space="preserve"> סיפא ל</w:t>
      </w:r>
      <w:hyperlink r:id="rId12" w:history="1">
        <w:r w:rsidR="00E43FBE" w:rsidRPr="00E43FBE">
          <w:rPr>
            <w:rFonts w:ascii="Arial" w:hAnsi="Arial"/>
            <w:color w:val="0000FF"/>
            <w:u w:val="single"/>
            <w:rtl/>
          </w:rPr>
          <w:t>חוק העונשין</w:t>
        </w:r>
      </w:hyperlink>
      <w:r w:rsidRPr="00EE7469">
        <w:rPr>
          <w:rFonts w:ascii="Arial" w:hAnsi="Arial" w:hint="cs"/>
          <w:rtl/>
        </w:rPr>
        <w:t xml:space="preserve">, התשל"ז </w:t>
      </w:r>
      <w:r w:rsidRPr="00EE7469">
        <w:rPr>
          <w:rFonts w:ascii="Arial" w:hAnsi="Arial"/>
          <w:rtl/>
        </w:rPr>
        <w:t>–</w:t>
      </w:r>
      <w:r w:rsidRPr="00EE7469">
        <w:rPr>
          <w:rFonts w:ascii="Arial" w:hAnsi="Arial" w:hint="cs"/>
          <w:rtl/>
        </w:rPr>
        <w:t xml:space="preserve"> 1977.</w:t>
      </w:r>
    </w:p>
    <w:p w14:paraId="30D74A23" w14:textId="77777777" w:rsidR="00924327" w:rsidRPr="00EE7469" w:rsidRDefault="00924327" w:rsidP="00924327">
      <w:pPr>
        <w:spacing w:line="360" w:lineRule="auto"/>
        <w:jc w:val="both"/>
        <w:rPr>
          <w:rFonts w:ascii="Arial" w:hAnsi="Arial"/>
          <w:rtl/>
        </w:rPr>
      </w:pPr>
    </w:p>
    <w:p w14:paraId="4E44009F" w14:textId="77777777" w:rsidR="00924327" w:rsidRPr="00EE7469" w:rsidRDefault="00924327" w:rsidP="00924327">
      <w:pPr>
        <w:spacing w:line="360" w:lineRule="auto"/>
        <w:jc w:val="both"/>
        <w:rPr>
          <w:rFonts w:ascii="Arial" w:hAnsi="Arial"/>
          <w:rtl/>
        </w:rPr>
      </w:pPr>
      <w:r w:rsidRPr="00EE7469">
        <w:rPr>
          <w:rFonts w:ascii="Arial" w:hAnsi="Arial" w:hint="cs"/>
          <w:rtl/>
        </w:rPr>
        <w:t xml:space="preserve">הרשעתו של הנאשם ניתנה במסגרת הסדר טיעון שהוצג בפני כב' השופטת חני לומפ </w:t>
      </w:r>
      <w:r>
        <w:rPr>
          <w:rFonts w:ascii="Arial" w:hAnsi="Arial" w:hint="cs"/>
          <w:rtl/>
        </w:rPr>
        <w:t>ב</w:t>
      </w:r>
      <w:r w:rsidRPr="00EE7469">
        <w:rPr>
          <w:rFonts w:ascii="Arial" w:hAnsi="Arial" w:hint="cs"/>
          <w:rtl/>
        </w:rPr>
        <w:t>יום 29.11.16.</w:t>
      </w:r>
    </w:p>
    <w:p w14:paraId="21D8C0C9" w14:textId="77777777" w:rsidR="00924327" w:rsidRPr="00EE7469" w:rsidRDefault="00924327" w:rsidP="00924327">
      <w:pPr>
        <w:spacing w:line="360" w:lineRule="auto"/>
        <w:jc w:val="both"/>
        <w:rPr>
          <w:rFonts w:ascii="Arial" w:hAnsi="Arial"/>
          <w:rtl/>
        </w:rPr>
      </w:pPr>
    </w:p>
    <w:p w14:paraId="13689D83" w14:textId="77777777" w:rsidR="00924327" w:rsidRPr="00EE7469" w:rsidRDefault="00924327" w:rsidP="00924327">
      <w:pPr>
        <w:spacing w:line="360" w:lineRule="auto"/>
        <w:jc w:val="both"/>
        <w:rPr>
          <w:rFonts w:ascii="Arial" w:hAnsi="Arial"/>
          <w:rtl/>
        </w:rPr>
      </w:pPr>
      <w:bookmarkStart w:id="7" w:name="ABSTRACT_END"/>
      <w:bookmarkEnd w:id="7"/>
      <w:r w:rsidRPr="00EE7469">
        <w:rPr>
          <w:rFonts w:ascii="Arial" w:hAnsi="Arial" w:hint="cs"/>
          <w:rtl/>
        </w:rPr>
        <w:t>בהתאם להסדר, נשלח הנאשם לשירות המבחן להכנת תסקיר. כמו כ</w:t>
      </w:r>
      <w:r>
        <w:rPr>
          <w:rFonts w:ascii="Arial" w:hAnsi="Arial" w:hint="cs"/>
          <w:rtl/>
        </w:rPr>
        <w:t xml:space="preserve">ן, נשלח לממונה על עבודות שירות להכנת חוות דעת, </w:t>
      </w:r>
      <w:r w:rsidRPr="00EE7469">
        <w:rPr>
          <w:rFonts w:ascii="Arial" w:hAnsi="Arial" w:hint="cs"/>
          <w:rtl/>
        </w:rPr>
        <w:t>חרף התנהגדות המאשימה אשר הודיעה כי עמדתה היא שליחתו של הנאשם למאסר בפועל.</w:t>
      </w:r>
    </w:p>
    <w:p w14:paraId="2F6F70CD" w14:textId="77777777" w:rsidR="00924327" w:rsidRPr="00EE7469" w:rsidRDefault="00924327" w:rsidP="00924327">
      <w:pPr>
        <w:spacing w:line="360" w:lineRule="auto"/>
        <w:jc w:val="both"/>
        <w:rPr>
          <w:rFonts w:ascii="Arial" w:hAnsi="Arial"/>
          <w:rtl/>
        </w:rPr>
      </w:pPr>
    </w:p>
    <w:p w14:paraId="61472384" w14:textId="77777777" w:rsidR="00924327" w:rsidRPr="00BA0577" w:rsidRDefault="00924327" w:rsidP="00924327">
      <w:pPr>
        <w:spacing w:line="360" w:lineRule="auto"/>
        <w:jc w:val="both"/>
        <w:rPr>
          <w:rFonts w:ascii="Arial" w:hAnsi="Arial"/>
          <w:b/>
          <w:bCs/>
          <w:u w:val="single"/>
          <w:rtl/>
        </w:rPr>
      </w:pPr>
      <w:r w:rsidRPr="00BA0577">
        <w:rPr>
          <w:rFonts w:ascii="Arial" w:hAnsi="Arial" w:hint="cs"/>
          <w:b/>
          <w:bCs/>
          <w:u w:val="single"/>
          <w:rtl/>
        </w:rPr>
        <w:t>כתב האישום</w:t>
      </w:r>
    </w:p>
    <w:p w14:paraId="012A5DE4" w14:textId="77777777" w:rsidR="00924327" w:rsidRPr="00EE7469" w:rsidRDefault="00924327" w:rsidP="00924327">
      <w:pPr>
        <w:spacing w:line="360" w:lineRule="auto"/>
        <w:jc w:val="both"/>
        <w:rPr>
          <w:rFonts w:ascii="Arial" w:hAnsi="Arial"/>
          <w:rtl/>
        </w:rPr>
      </w:pPr>
    </w:p>
    <w:p w14:paraId="5160AC9F" w14:textId="77777777" w:rsidR="00924327" w:rsidRPr="00EE7469" w:rsidRDefault="00924327" w:rsidP="00924327">
      <w:pPr>
        <w:spacing w:line="360" w:lineRule="auto"/>
        <w:jc w:val="both"/>
        <w:rPr>
          <w:rtl/>
        </w:rPr>
      </w:pPr>
      <w:r w:rsidRPr="00EE7469">
        <w:rPr>
          <w:rFonts w:ascii="Arial" w:hAnsi="Arial" w:hint="cs"/>
          <w:rtl/>
        </w:rPr>
        <w:t>בתא</w:t>
      </w:r>
      <w:r w:rsidRPr="00EE7469">
        <w:rPr>
          <w:rFonts w:hint="cs"/>
          <w:rtl/>
        </w:rPr>
        <w:t xml:space="preserve">ריך 22.6.2016 בסמוך לשעה 12:30 בבית עסק לממכר מוצרי מזון בכפר ג'בל מוכבר (להלן:"בית העסק"), החזיק הנאשם בנשק וכן תחמושת בלא רשות על פי דין להחזקתם. </w:t>
      </w:r>
    </w:p>
    <w:p w14:paraId="04CB43D5" w14:textId="77777777" w:rsidR="00924327" w:rsidRPr="00EE7469" w:rsidRDefault="00924327" w:rsidP="00924327">
      <w:pPr>
        <w:spacing w:line="360" w:lineRule="auto"/>
        <w:jc w:val="both"/>
        <w:rPr>
          <w:rtl/>
        </w:rPr>
      </w:pPr>
      <w:r w:rsidRPr="00EE7469">
        <w:rPr>
          <w:rFonts w:hint="cs"/>
          <w:rtl/>
        </w:rPr>
        <w:t xml:space="preserve">באותן הנסיבות, תחת מדף </w:t>
      </w:r>
      <w:r>
        <w:rPr>
          <w:rFonts w:hint="cs"/>
          <w:rtl/>
        </w:rPr>
        <w:t>סמוך לקופה בבית העסק, בתוך קופס</w:t>
      </w:r>
      <w:r w:rsidRPr="00EE7469">
        <w:rPr>
          <w:rFonts w:hint="cs"/>
          <w:rtl/>
        </w:rPr>
        <w:t xml:space="preserve">ת עץ סגורה באמצעות סיכות, החזיק הנאשם באקדח חצי אוטומטי </w:t>
      </w:r>
      <w:r w:rsidRPr="00EE7469">
        <w:rPr>
          <w:rFonts w:hint="cs"/>
        </w:rPr>
        <w:t>FN</w:t>
      </w:r>
      <w:r w:rsidRPr="00EE7469">
        <w:rPr>
          <w:rFonts w:hint="cs"/>
          <w:rtl/>
        </w:rPr>
        <w:t xml:space="preserve"> קליבר 9 מ"מ קצר, חבילת כדורי תחמושת המכילה 50 כדורי 9 מ"מ וכן שקית המכילה 11 כדורי 9 מ"מ.</w:t>
      </w:r>
    </w:p>
    <w:p w14:paraId="04F5E8D2" w14:textId="77777777" w:rsidR="00924327" w:rsidRDefault="00924327" w:rsidP="00924327">
      <w:pPr>
        <w:spacing w:line="360" w:lineRule="auto"/>
        <w:jc w:val="both"/>
        <w:rPr>
          <w:b/>
          <w:bCs/>
          <w:rtl/>
        </w:rPr>
      </w:pPr>
    </w:p>
    <w:p w14:paraId="68F17ABB" w14:textId="77777777" w:rsidR="00924327" w:rsidRPr="00BA0577" w:rsidRDefault="00924327" w:rsidP="00924327">
      <w:pPr>
        <w:spacing w:line="360" w:lineRule="auto"/>
        <w:jc w:val="both"/>
        <w:rPr>
          <w:b/>
          <w:bCs/>
          <w:rtl/>
        </w:rPr>
      </w:pPr>
    </w:p>
    <w:p w14:paraId="12FE4BDA" w14:textId="77777777" w:rsidR="00924327" w:rsidRPr="00BA0577" w:rsidRDefault="00924327" w:rsidP="00924327">
      <w:pPr>
        <w:spacing w:line="360" w:lineRule="auto"/>
        <w:jc w:val="both"/>
        <w:rPr>
          <w:u w:val="single"/>
          <w:rtl/>
        </w:rPr>
      </w:pPr>
      <w:r w:rsidRPr="00BA0577">
        <w:rPr>
          <w:rFonts w:hint="cs"/>
          <w:b/>
          <w:bCs/>
          <w:u w:val="single"/>
          <w:rtl/>
        </w:rPr>
        <w:t>3.</w:t>
      </w:r>
      <w:r w:rsidRPr="00BA0577">
        <w:rPr>
          <w:rFonts w:hint="cs"/>
          <w:u w:val="single"/>
          <w:rtl/>
        </w:rPr>
        <w:t xml:space="preserve"> </w:t>
      </w:r>
      <w:r w:rsidRPr="00BA0577">
        <w:rPr>
          <w:rFonts w:hint="cs"/>
          <w:b/>
          <w:bCs/>
          <w:u w:val="single"/>
          <w:rtl/>
        </w:rPr>
        <w:t>תסקיר שירות המבחן</w:t>
      </w:r>
    </w:p>
    <w:p w14:paraId="40B09D99" w14:textId="77777777" w:rsidR="00924327" w:rsidRPr="00EE7469" w:rsidRDefault="00924327" w:rsidP="00924327">
      <w:pPr>
        <w:spacing w:line="360" w:lineRule="auto"/>
        <w:jc w:val="both"/>
        <w:rPr>
          <w:u w:val="single"/>
          <w:rtl/>
        </w:rPr>
      </w:pPr>
    </w:p>
    <w:p w14:paraId="529AC149" w14:textId="77777777" w:rsidR="00924327" w:rsidRPr="00EE7469" w:rsidRDefault="00924327" w:rsidP="00924327">
      <w:pPr>
        <w:spacing w:line="360" w:lineRule="auto"/>
        <w:jc w:val="both"/>
        <w:rPr>
          <w:rtl/>
        </w:rPr>
      </w:pPr>
      <w:r>
        <w:rPr>
          <w:rFonts w:hint="cs"/>
          <w:rtl/>
        </w:rPr>
        <w:t>מ</w:t>
      </w:r>
      <w:r w:rsidRPr="00EE7469">
        <w:rPr>
          <w:rFonts w:hint="cs"/>
          <w:rtl/>
        </w:rPr>
        <w:t xml:space="preserve">תסקיר שירות המבחן מיום 29.1.2017 עולה, כי הנאשם נשוי ואב לארבעה ילדים, סיים 12 שנות לימוד, טרם מעצרו עבד בעבודות גבס וניהל חנות מכולת שבבעלותו. הנאשם שהה אותה עת במעצר בית לילי עם היתר לייצאה לחנות בין השעות 7:00-21:00. יצויין, כי הנאשם שוהה במעצר בית חלקי מזה כשנתיים ויותר. משפחת המוצא מונה זוג הורים ושישה ילדים שהנאשם הינו השני בסדר </w:t>
      </w:r>
      <w:r>
        <w:rPr>
          <w:rFonts w:hint="cs"/>
          <w:rtl/>
        </w:rPr>
        <w:t>ה</w:t>
      </w:r>
      <w:r w:rsidRPr="00EE7469">
        <w:rPr>
          <w:rFonts w:hint="cs"/>
          <w:rtl/>
        </w:rPr>
        <w:t>לידה. אביו עובד כשופט בית משפט לערעורים ברמאללה, אמו סגנית מנהלת בית ספר לבנות בשכונתם ג'בל מוכבר. אחיו עורך דין, אחותו מורה ואחות נוספת מהנדסת.</w:t>
      </w:r>
    </w:p>
    <w:p w14:paraId="15F5EB08" w14:textId="77777777" w:rsidR="00924327" w:rsidRPr="00EE7469" w:rsidRDefault="00924327" w:rsidP="00924327">
      <w:pPr>
        <w:spacing w:line="360" w:lineRule="auto"/>
        <w:jc w:val="both"/>
        <w:rPr>
          <w:rtl/>
        </w:rPr>
      </w:pPr>
      <w:r w:rsidRPr="00EE7469">
        <w:rPr>
          <w:rFonts w:hint="cs"/>
          <w:rtl/>
        </w:rPr>
        <w:t xml:space="preserve">המשפחה מתוארת כמיטיבה ומסורה ובעלת מעמד מכובד באזור מגוריה. הנאשם תיאר יחסים משפחתיים תקינים המבוססים על כבוד ותמיכה הדדית. </w:t>
      </w:r>
    </w:p>
    <w:p w14:paraId="16465FC2" w14:textId="77777777" w:rsidR="00924327" w:rsidRPr="00EE7469" w:rsidRDefault="00924327" w:rsidP="00924327">
      <w:pPr>
        <w:spacing w:line="360" w:lineRule="auto"/>
        <w:jc w:val="both"/>
        <w:rPr>
          <w:rtl/>
        </w:rPr>
      </w:pPr>
      <w:r w:rsidRPr="00EE7469">
        <w:rPr>
          <w:rFonts w:hint="cs"/>
          <w:rtl/>
        </w:rPr>
        <w:t>ביחס לביצוע העבירה, הנאשם לקח אחריות ו</w:t>
      </w:r>
      <w:r>
        <w:rPr>
          <w:rFonts w:hint="cs"/>
          <w:rtl/>
        </w:rPr>
        <w:t>ביטא חרטה מלאה על מעשיו.</w:t>
      </w:r>
    </w:p>
    <w:p w14:paraId="24D464C1" w14:textId="77777777" w:rsidR="00924327" w:rsidRPr="00EE7469" w:rsidRDefault="00924327" w:rsidP="00924327">
      <w:pPr>
        <w:spacing w:line="360" w:lineRule="auto"/>
        <w:jc w:val="both"/>
        <w:rPr>
          <w:rtl/>
        </w:rPr>
      </w:pPr>
      <w:r w:rsidRPr="00EE7469">
        <w:rPr>
          <w:rFonts w:hint="cs"/>
          <w:rtl/>
        </w:rPr>
        <w:t>הרקע לביצוע העבירה הוא פחד וחרדה בשל אירוע קודם שהתרחש עם בן דודו אשר נשדד ונדקר בעסקו.</w:t>
      </w:r>
    </w:p>
    <w:p w14:paraId="0329FA56" w14:textId="77777777" w:rsidR="00924327" w:rsidRPr="00EE7469" w:rsidRDefault="00924327" w:rsidP="00924327">
      <w:pPr>
        <w:spacing w:line="360" w:lineRule="auto"/>
        <w:jc w:val="both"/>
        <w:rPr>
          <w:rtl/>
        </w:rPr>
      </w:pPr>
      <w:r w:rsidRPr="00EE7469">
        <w:rPr>
          <w:rFonts w:hint="cs"/>
          <w:rtl/>
        </w:rPr>
        <w:t>לדבריו, החליט לקנות נשק שישמש אותו להגנה עצמית. לפני שהלך להשיג את הנשק, שתה אלכוהול, על מנת לדכא תחושת החרדה אשר נלוותה לביצוע העבירה. הנאשם שלל בעייתיות בה</w:t>
      </w:r>
      <w:r>
        <w:rPr>
          <w:rFonts w:hint="cs"/>
          <w:rtl/>
        </w:rPr>
        <w:t>תמכרות לאלכוהול</w:t>
      </w:r>
      <w:r w:rsidRPr="00EE7469">
        <w:rPr>
          <w:rFonts w:hint="cs"/>
          <w:rtl/>
        </w:rPr>
        <w:t xml:space="preserve"> או שימוש לרעה.</w:t>
      </w:r>
    </w:p>
    <w:p w14:paraId="7C756DE2" w14:textId="77777777" w:rsidR="00924327" w:rsidRPr="00EE7469" w:rsidRDefault="00924327" w:rsidP="00924327">
      <w:pPr>
        <w:spacing w:line="360" w:lineRule="auto"/>
        <w:jc w:val="both"/>
        <w:rPr>
          <w:rtl/>
        </w:rPr>
      </w:pPr>
      <w:r w:rsidRPr="00EE7469">
        <w:rPr>
          <w:rFonts w:hint="cs"/>
          <w:rtl/>
        </w:rPr>
        <w:t xml:space="preserve">מהתרשמות קיצנת המבחן עולה, כי מדובר באדם המנהל אורח חיים נורמטיבי ומתפקד ללא מעורבות פלילית ומנהל מערכת ערכים תקינה ומכובדת. עם זאת, הנאשם נושא תחושות של אכזבה מעצמו ונחיתות מול משפחתו, המשפיעות על יכולת ההיעזרות שלו בבני המשפחה ותפישתם כמוקד לתמיכה. תחושות אלו עמדו ברקע לביצוע העבירה בה פעל באופן לא בהתמודדות עם קשיו ופחדיו. </w:t>
      </w:r>
    </w:p>
    <w:p w14:paraId="40058398" w14:textId="77777777" w:rsidR="00924327" w:rsidRPr="00EE7469" w:rsidRDefault="00924327" w:rsidP="00924327">
      <w:pPr>
        <w:spacing w:line="360" w:lineRule="auto"/>
        <w:jc w:val="both"/>
        <w:rPr>
          <w:rtl/>
        </w:rPr>
      </w:pPr>
      <w:r w:rsidRPr="00EE7469">
        <w:rPr>
          <w:rFonts w:hint="cs"/>
          <w:rtl/>
        </w:rPr>
        <w:lastRenderedPageBreak/>
        <w:t>להערכת השי</w:t>
      </w:r>
      <w:r>
        <w:rPr>
          <w:rFonts w:hint="cs"/>
          <w:rtl/>
        </w:rPr>
        <w:t>רות, לא ניתן לשלול קיומה של נטייה לצרוך אלכוהול בדרך בלתי מ</w:t>
      </w:r>
      <w:r w:rsidRPr="00EE7469">
        <w:rPr>
          <w:rFonts w:hint="cs"/>
          <w:rtl/>
        </w:rPr>
        <w:t xml:space="preserve">קדמת להתמודדות עם קשיים, אולם הנאשם שלל בעייתיות בתחום זה. </w:t>
      </w:r>
    </w:p>
    <w:p w14:paraId="2E963ECD" w14:textId="77777777" w:rsidR="00924327" w:rsidRPr="00EE7469" w:rsidRDefault="00924327" w:rsidP="00924327">
      <w:pPr>
        <w:spacing w:line="360" w:lineRule="auto"/>
        <w:jc w:val="both"/>
        <w:rPr>
          <w:rtl/>
        </w:rPr>
      </w:pPr>
      <w:r>
        <w:rPr>
          <w:rFonts w:hint="cs"/>
          <w:rtl/>
        </w:rPr>
        <w:t>ב</w:t>
      </w:r>
      <w:r w:rsidRPr="00EE7469">
        <w:rPr>
          <w:rFonts w:hint="cs"/>
          <w:rtl/>
        </w:rPr>
        <w:t>אשר להמלצה לשיקום נלקחו הנתונים הבאים:</w:t>
      </w:r>
    </w:p>
    <w:p w14:paraId="54F41D7B" w14:textId="77777777" w:rsidR="00924327" w:rsidRPr="00EE7469" w:rsidRDefault="00924327" w:rsidP="00924327">
      <w:pPr>
        <w:spacing w:line="360" w:lineRule="auto"/>
        <w:jc w:val="both"/>
        <w:rPr>
          <w:rtl/>
        </w:rPr>
      </w:pPr>
      <w:r w:rsidRPr="00EE7469">
        <w:rPr>
          <w:rFonts w:hint="cs"/>
          <w:rtl/>
        </w:rPr>
        <w:t>מחד, הנאשם מגלה תפקוד תעסוקתי תקין, נעדר עבר פלילי קודם, בעל מערכת ערכים המכבדת חוק. ההליך הפלילי הנוכחי מהווה גורם מרתיע ומחדד גבולות המותר והאסור. הנאשם לקח אחריות וביט</w:t>
      </w:r>
      <w:r>
        <w:rPr>
          <w:rFonts w:hint="cs"/>
          <w:rtl/>
        </w:rPr>
        <w:t>א</w:t>
      </w:r>
      <w:r w:rsidRPr="00EE7469">
        <w:rPr>
          <w:rFonts w:hint="cs"/>
          <w:rtl/>
        </w:rPr>
        <w:t xml:space="preserve"> חרטה. מאידך, הנאשם מתקשה להתבונן במניעים העומדים ברקע למיוחס לו, כן מתקשה לרא</w:t>
      </w:r>
      <w:r>
        <w:rPr>
          <w:rFonts w:hint="cs"/>
          <w:rtl/>
        </w:rPr>
        <w:t>ו</w:t>
      </w:r>
      <w:r w:rsidRPr="00EE7469">
        <w:rPr>
          <w:rFonts w:hint="cs"/>
          <w:rtl/>
        </w:rPr>
        <w:t xml:space="preserve">ת בעייתיות בהתמודדותו למול קשיים בכלל. הנאשם שולל בעיות התמכרות או שימוש לרעה באלכוהול. </w:t>
      </w:r>
    </w:p>
    <w:p w14:paraId="341BDDD0" w14:textId="77777777" w:rsidR="00924327" w:rsidRPr="00EE7469" w:rsidRDefault="00924327" w:rsidP="00924327">
      <w:pPr>
        <w:spacing w:line="360" w:lineRule="auto"/>
        <w:jc w:val="both"/>
        <w:rPr>
          <w:rtl/>
        </w:rPr>
      </w:pPr>
      <w:r w:rsidRPr="00EE7469">
        <w:rPr>
          <w:rFonts w:hint="cs"/>
          <w:rtl/>
        </w:rPr>
        <w:t xml:space="preserve">לאור האמור, שירות המבחן לא בא בהמלצה באשר להליך הטיפולי. </w:t>
      </w:r>
    </w:p>
    <w:p w14:paraId="2C193E25" w14:textId="77777777" w:rsidR="00924327" w:rsidRPr="00EE7469" w:rsidRDefault="00924327" w:rsidP="00924327">
      <w:pPr>
        <w:spacing w:line="360" w:lineRule="auto"/>
        <w:jc w:val="both"/>
        <w:rPr>
          <w:rtl/>
        </w:rPr>
      </w:pPr>
      <w:r w:rsidRPr="00EE7469">
        <w:rPr>
          <w:rFonts w:hint="cs"/>
          <w:rtl/>
        </w:rPr>
        <w:t xml:space="preserve">לאור חומרת העבירה, ממליץ שירות המבחן לבחון התאמתו בביצוע עבודות שירות והטלת מאסר על תנאי כעונש מרתיע ומציב גבולות מפני התנהגות דומה בעתיד. </w:t>
      </w:r>
    </w:p>
    <w:p w14:paraId="5F71D327" w14:textId="77777777" w:rsidR="00924327" w:rsidRPr="00EE7469" w:rsidRDefault="00924327" w:rsidP="00924327">
      <w:pPr>
        <w:spacing w:line="360" w:lineRule="auto"/>
        <w:jc w:val="both"/>
        <w:rPr>
          <w:rtl/>
        </w:rPr>
      </w:pPr>
    </w:p>
    <w:p w14:paraId="2CBE6479" w14:textId="77777777" w:rsidR="00924327" w:rsidRPr="00BA0577" w:rsidRDefault="00924327" w:rsidP="00924327">
      <w:pPr>
        <w:spacing w:line="360" w:lineRule="auto"/>
        <w:jc w:val="both"/>
        <w:rPr>
          <w:b/>
          <w:bCs/>
          <w:u w:val="single"/>
          <w:rtl/>
        </w:rPr>
      </w:pPr>
      <w:r w:rsidRPr="00BA0577">
        <w:rPr>
          <w:rFonts w:hint="cs"/>
          <w:b/>
          <w:bCs/>
          <w:u w:val="single"/>
          <w:rtl/>
        </w:rPr>
        <w:t>4. חוות דעת הממונה על עבודות שירות</w:t>
      </w:r>
    </w:p>
    <w:p w14:paraId="1F213F9D" w14:textId="77777777" w:rsidR="00924327" w:rsidRPr="00EE7469" w:rsidRDefault="00924327" w:rsidP="00924327">
      <w:pPr>
        <w:spacing w:line="360" w:lineRule="auto"/>
        <w:jc w:val="both"/>
        <w:rPr>
          <w:u w:val="single"/>
          <w:rtl/>
        </w:rPr>
      </w:pPr>
    </w:p>
    <w:p w14:paraId="599232B7" w14:textId="77777777" w:rsidR="00924327" w:rsidRPr="00EE7469" w:rsidRDefault="00924327" w:rsidP="00924327">
      <w:pPr>
        <w:spacing w:line="360" w:lineRule="auto"/>
        <w:jc w:val="both"/>
        <w:rPr>
          <w:rtl/>
        </w:rPr>
      </w:pPr>
      <w:r w:rsidRPr="00EE7469">
        <w:rPr>
          <w:rFonts w:hint="cs"/>
          <w:rtl/>
        </w:rPr>
        <w:t>בחוות הדעת הממונה מיום 22.11.2017 נמסר</w:t>
      </w:r>
      <w:r>
        <w:rPr>
          <w:rFonts w:hint="cs"/>
          <w:rtl/>
        </w:rPr>
        <w:t>,</w:t>
      </w:r>
      <w:r w:rsidRPr="00EE7469">
        <w:rPr>
          <w:rFonts w:hint="cs"/>
          <w:rtl/>
        </w:rPr>
        <w:t xml:space="preserve"> כי בהעדר חוות דעת שירות הביטחון הכללי ומשטרת ישראל, לא נמצא מקום להשמת הנאשם בעבודות שירות באותו שלב.</w:t>
      </w:r>
    </w:p>
    <w:p w14:paraId="58B077A9" w14:textId="77777777" w:rsidR="00924327" w:rsidRPr="00EE7469" w:rsidRDefault="00924327" w:rsidP="00924327">
      <w:pPr>
        <w:spacing w:line="360" w:lineRule="auto"/>
        <w:jc w:val="both"/>
        <w:rPr>
          <w:rtl/>
        </w:rPr>
      </w:pPr>
      <w:r w:rsidRPr="00EE7469">
        <w:rPr>
          <w:rFonts w:hint="cs"/>
          <w:rtl/>
        </w:rPr>
        <w:t>על כן, נתבקשה דחיה לצורך הגשת חוות דעת סופית.</w:t>
      </w:r>
    </w:p>
    <w:p w14:paraId="04EB7ECA" w14:textId="77777777" w:rsidR="00924327" w:rsidRPr="00EE7469" w:rsidRDefault="00924327" w:rsidP="00924327">
      <w:pPr>
        <w:spacing w:line="360" w:lineRule="auto"/>
        <w:jc w:val="both"/>
        <w:rPr>
          <w:rtl/>
        </w:rPr>
      </w:pPr>
      <w:r w:rsidRPr="00EE7469">
        <w:rPr>
          <w:rFonts w:hint="cs"/>
          <w:rtl/>
        </w:rPr>
        <w:t>בחוות דעת המסכמת מיום 11.4.2018, מציין קצין המיון מר אבישי שרעבי, כי לאור אופי העבירה ולאור עמדת משטרת ישראל המתנגדת להעסקתו בעבודות שירות, נקבע כי הנאשם אינו מתאים להשמה במסגרת עבודות שירות.</w:t>
      </w:r>
    </w:p>
    <w:p w14:paraId="596BD08A" w14:textId="77777777" w:rsidR="00924327" w:rsidRPr="00BA0577" w:rsidRDefault="00924327" w:rsidP="00924327">
      <w:pPr>
        <w:spacing w:line="360" w:lineRule="auto"/>
        <w:jc w:val="both"/>
        <w:rPr>
          <w:b/>
          <w:bCs/>
          <w:rtl/>
        </w:rPr>
      </w:pPr>
    </w:p>
    <w:p w14:paraId="182C3113" w14:textId="77777777" w:rsidR="00924327" w:rsidRPr="00BA0577" w:rsidRDefault="00924327" w:rsidP="00924327">
      <w:pPr>
        <w:spacing w:line="360" w:lineRule="auto"/>
        <w:jc w:val="both"/>
        <w:rPr>
          <w:b/>
          <w:bCs/>
          <w:u w:val="single"/>
          <w:rtl/>
        </w:rPr>
      </w:pPr>
      <w:r w:rsidRPr="00BA0577">
        <w:rPr>
          <w:rFonts w:hint="cs"/>
          <w:b/>
          <w:bCs/>
          <w:u w:val="single"/>
          <w:rtl/>
        </w:rPr>
        <w:t>5. טיעוני באי כוח הצדדים לעונש</w:t>
      </w:r>
    </w:p>
    <w:p w14:paraId="726371CD" w14:textId="77777777" w:rsidR="00924327" w:rsidRPr="00EE7469" w:rsidRDefault="00924327" w:rsidP="00924327">
      <w:pPr>
        <w:spacing w:line="360" w:lineRule="auto"/>
        <w:jc w:val="both"/>
        <w:rPr>
          <w:u w:val="single"/>
          <w:rtl/>
        </w:rPr>
      </w:pPr>
    </w:p>
    <w:p w14:paraId="6C11C5BF" w14:textId="77777777" w:rsidR="00924327" w:rsidRPr="00EE7469" w:rsidRDefault="00924327" w:rsidP="00924327">
      <w:pPr>
        <w:spacing w:line="360" w:lineRule="auto"/>
        <w:jc w:val="both"/>
        <w:rPr>
          <w:rtl/>
        </w:rPr>
      </w:pPr>
      <w:r w:rsidRPr="00EE7469">
        <w:rPr>
          <w:rFonts w:hint="cs"/>
          <w:rtl/>
        </w:rPr>
        <w:t>ב"כ המאשימה בטיעוניו לעונש טען, כי הנאשם במעשיו פגע בבטחונו ושלום הציבור שעה שהחזיק שלא כדין בכלי נשק לתחמושת זמינים לשימוש מיידי, ובעלי פוטנציאל לנזק כבד. כמו כן, לא ברורה הכשרתו של הנאשם לשימוש בכלי נשק ויכול שהשימשו בו היה מוביל לתוצאות קשות. מעשיו של הנאשם מביאים להכבדה ניכרת על גורמי האכיפה בהתמודדות על בסיס יומיומי עם עבירות דומות. בנוסף, הנאשם החזיק בנשק בבית העסק, מקום בעל נגישות גבוהה ויש בכך כדי להעיד על חומרת מעשיו.</w:t>
      </w:r>
    </w:p>
    <w:p w14:paraId="00DC2F65" w14:textId="77777777" w:rsidR="00924327" w:rsidRPr="00EE7469" w:rsidRDefault="00924327" w:rsidP="00924327">
      <w:pPr>
        <w:spacing w:line="360" w:lineRule="auto"/>
        <w:jc w:val="both"/>
        <w:rPr>
          <w:rtl/>
        </w:rPr>
      </w:pPr>
    </w:p>
    <w:p w14:paraId="1A12E4AD" w14:textId="77777777" w:rsidR="00924327" w:rsidRPr="00EE7469" w:rsidRDefault="00924327" w:rsidP="00924327">
      <w:pPr>
        <w:spacing w:line="360" w:lineRule="auto"/>
        <w:jc w:val="both"/>
        <w:rPr>
          <w:rtl/>
        </w:rPr>
      </w:pPr>
      <w:r w:rsidRPr="00EE7469">
        <w:rPr>
          <w:rFonts w:hint="cs"/>
          <w:rtl/>
        </w:rPr>
        <w:t>לנוכח הפגיעה בערכים המוגנים, עתר ב"כ המאשימה למתחם העונש הנע בין 12 ל-24 חודשי מאסר בפועל יחד עם ענישה נלווית. ב"כ המאשימה הפנה לפסיקה של בית המשפט העליון בתמיכה לטיעוניו (</w:t>
      </w:r>
      <w:hyperlink r:id="rId13" w:history="1">
        <w:r w:rsidR="00E43FBE" w:rsidRPr="00E43FBE">
          <w:rPr>
            <w:b/>
            <w:bCs/>
            <w:color w:val="0000FF"/>
            <w:u w:val="single"/>
            <w:rtl/>
          </w:rPr>
          <w:t>רע"פ 6306/17</w:t>
        </w:r>
      </w:hyperlink>
      <w:r w:rsidRPr="00232B70">
        <w:rPr>
          <w:rFonts w:hint="cs"/>
          <w:b/>
          <w:bCs/>
          <w:rtl/>
        </w:rPr>
        <w:t xml:space="preserve">, </w:t>
      </w:r>
      <w:hyperlink r:id="rId14" w:history="1">
        <w:r w:rsidR="00E43FBE" w:rsidRPr="00E43FBE">
          <w:rPr>
            <w:b/>
            <w:bCs/>
            <w:color w:val="0000FF"/>
            <w:u w:val="single"/>
            <w:rtl/>
          </w:rPr>
          <w:t>רע"פ 4559/16</w:t>
        </w:r>
      </w:hyperlink>
      <w:r w:rsidRPr="00232B70">
        <w:rPr>
          <w:rFonts w:hint="cs"/>
          <w:b/>
          <w:bCs/>
          <w:rtl/>
        </w:rPr>
        <w:t xml:space="preserve">, </w:t>
      </w:r>
      <w:hyperlink r:id="rId15" w:history="1">
        <w:r w:rsidR="00E43FBE" w:rsidRPr="00E43FBE">
          <w:rPr>
            <w:b/>
            <w:bCs/>
            <w:color w:val="0000FF"/>
            <w:u w:val="single"/>
            <w:rtl/>
          </w:rPr>
          <w:t>רע"פ 1246/17</w:t>
        </w:r>
      </w:hyperlink>
      <w:r w:rsidRPr="00EE7469">
        <w:rPr>
          <w:rFonts w:hint="cs"/>
          <w:rtl/>
        </w:rPr>
        <w:t>).</w:t>
      </w:r>
    </w:p>
    <w:p w14:paraId="61DB700D" w14:textId="77777777" w:rsidR="00924327" w:rsidRPr="00EE7469" w:rsidRDefault="00924327" w:rsidP="00924327">
      <w:pPr>
        <w:spacing w:line="360" w:lineRule="auto"/>
        <w:jc w:val="both"/>
        <w:rPr>
          <w:rtl/>
        </w:rPr>
      </w:pPr>
      <w:r w:rsidRPr="00EE7469">
        <w:rPr>
          <w:rFonts w:hint="cs"/>
          <w:rtl/>
        </w:rPr>
        <w:t>ב"כ המאשימה ציין לזכותו של הנאשם את הודאתו במיוחס לו, לקיחת אחריות וחסכון בזמן שיפוטי יקר. כמו כן ציין את העובדה שהנאשם נעדר עבר פלילי. בטיעוניו הפנה ב"כ המאשימה לתסקיר שירות המבחן אשר המליץ על הטלת עונש של מאסר שירוצה עבודות שירות.</w:t>
      </w:r>
    </w:p>
    <w:p w14:paraId="3A6698B3" w14:textId="77777777" w:rsidR="00924327" w:rsidRPr="00EE7469" w:rsidRDefault="00924327" w:rsidP="00924327">
      <w:pPr>
        <w:spacing w:line="360" w:lineRule="auto"/>
        <w:jc w:val="both"/>
        <w:rPr>
          <w:rtl/>
        </w:rPr>
      </w:pPr>
      <w:r w:rsidRPr="00EE7469">
        <w:rPr>
          <w:rFonts w:hint="cs"/>
          <w:rtl/>
        </w:rPr>
        <w:t xml:space="preserve">לשיטת המאשימה, יש מקום לעונש הרתעתי שכן הנאשם בחר לקחת את הח וק לידיו והצטייד בנשק ותחמושת בבית העסק וזאת בהטענה להגנה עצמית, טענה שאינה מקובלת על המאשימה בחברה דמוקרטית. </w:t>
      </w:r>
    </w:p>
    <w:p w14:paraId="0CFCD177" w14:textId="77777777" w:rsidR="00924327" w:rsidRPr="00EE7469" w:rsidRDefault="00924327" w:rsidP="00924327">
      <w:pPr>
        <w:spacing w:line="360" w:lineRule="auto"/>
        <w:jc w:val="both"/>
        <w:rPr>
          <w:rtl/>
        </w:rPr>
      </w:pPr>
      <w:r w:rsidRPr="00EE7469">
        <w:rPr>
          <w:rFonts w:hint="cs"/>
          <w:rtl/>
        </w:rPr>
        <w:t xml:space="preserve">נוכח האמור, מבקשת המאשימה למקם את הנאשם ברף התחתון של המתחם ולגזור עליו 12 חודשי מאסר בפועל, מאסר על תנאי וקנס כספי. </w:t>
      </w:r>
    </w:p>
    <w:p w14:paraId="59FC6BD0" w14:textId="77777777" w:rsidR="00924327" w:rsidRPr="00EE7469" w:rsidRDefault="00924327" w:rsidP="00924327">
      <w:pPr>
        <w:spacing w:line="360" w:lineRule="auto"/>
        <w:jc w:val="both"/>
        <w:rPr>
          <w:rtl/>
        </w:rPr>
      </w:pPr>
      <w:r w:rsidRPr="00EE7469">
        <w:rPr>
          <w:rFonts w:hint="cs"/>
          <w:rtl/>
        </w:rPr>
        <w:t>מנגד, טען הסנגור, כי מדובר בנאשם בן 45 נעדר עבר פלילי המשתייך למשפחה נורמטיבית ומכובדת. לטענתו, האקדח והתחמושת היו מוחבאים בחנות ואין הדבר דומה לפסיקה שאליה הפנה ב"כ המאשימה ב</w:t>
      </w:r>
      <w:hyperlink r:id="rId16" w:history="1">
        <w:r w:rsidR="00E43FBE" w:rsidRPr="00E43FBE">
          <w:rPr>
            <w:b/>
            <w:bCs/>
            <w:color w:val="0000FF"/>
            <w:u w:val="single"/>
            <w:rtl/>
          </w:rPr>
          <w:t>רע"פ 6306/17</w:t>
        </w:r>
      </w:hyperlink>
      <w:r w:rsidRPr="00EE7469">
        <w:rPr>
          <w:rFonts w:hint="cs"/>
          <w:rtl/>
        </w:rPr>
        <w:t xml:space="preserve">, שם החזיק הנאשם בביתו מספר כלי נשק ונשק הדומה לתת מקלע מאולתר, תת מקלע מסוג עוזי ואקדח ובסופו של יום הוטל עליו מאסר של 12 חודשים. </w:t>
      </w:r>
    </w:p>
    <w:p w14:paraId="43C1037F" w14:textId="77777777" w:rsidR="00924327" w:rsidRPr="00EE7469" w:rsidRDefault="00924327" w:rsidP="00924327">
      <w:pPr>
        <w:spacing w:line="360" w:lineRule="auto"/>
        <w:jc w:val="both"/>
        <w:rPr>
          <w:rtl/>
        </w:rPr>
      </w:pPr>
      <w:r w:rsidRPr="00EE7469">
        <w:rPr>
          <w:rFonts w:hint="cs"/>
          <w:rtl/>
        </w:rPr>
        <w:t xml:space="preserve">האירוע שלפנינו, כך נטען, אירע בשנת 2016 ומאז ועד היום לא נפתחו כנגד הנאשם תיקים נוספים. הוא שהה במעצר של ממש מיום 22.6.16 ועד 24.7.16 ושוהה במעצר בית חלקי עד היום. </w:t>
      </w:r>
    </w:p>
    <w:p w14:paraId="5EAFFF6B" w14:textId="77777777" w:rsidR="00924327" w:rsidRPr="00EE7469" w:rsidRDefault="00924327" w:rsidP="00924327">
      <w:pPr>
        <w:spacing w:line="360" w:lineRule="auto"/>
        <w:jc w:val="both"/>
        <w:rPr>
          <w:rtl/>
        </w:rPr>
      </w:pPr>
      <w:r w:rsidRPr="00EE7469">
        <w:rPr>
          <w:rFonts w:hint="cs"/>
          <w:rtl/>
        </w:rPr>
        <w:t xml:space="preserve">אשר למתחם העונש ההולם סבור הסנגור שהמתחם נע בין מס' חודשי מאסר שירוצו בעבודות שירות עד מאסר של מספר חודשים בפועל. מאחר שהנאשם לא נמצא כשיר לביצוע עבודות שירות, שלא באשמתו וזאת נוכח עמדת המשטרה, נותרה אופציה אחת של מאסר בפועל. על כן מבקש הסנגור לקחת בחשבון את כל השיקולים הנוגעים לעניין ולהסתפק בתחתית המתחם. </w:t>
      </w:r>
    </w:p>
    <w:p w14:paraId="20E6955F" w14:textId="77777777" w:rsidR="00924327" w:rsidRPr="00EE7469" w:rsidRDefault="00924327" w:rsidP="00924327">
      <w:pPr>
        <w:spacing w:line="360" w:lineRule="auto"/>
        <w:jc w:val="both"/>
        <w:rPr>
          <w:rtl/>
        </w:rPr>
      </w:pPr>
      <w:r w:rsidRPr="00EE7469">
        <w:rPr>
          <w:rFonts w:hint="cs"/>
          <w:rtl/>
        </w:rPr>
        <w:t xml:space="preserve">הנאשם בדבריו האחרונים ציין כי הוא שוהה במעצר בית מזה כשנתיים. את הנשק החביא בחנות, לא השתמש בו כלל. הוא מתגורר בשכונה לא שקטה בה מצויים גנבים רבים. הנאשם הביע חרטה על מעשיו וביקש את רחמיו של בית המשפט. </w:t>
      </w:r>
    </w:p>
    <w:p w14:paraId="48FD2DC2" w14:textId="77777777" w:rsidR="00924327" w:rsidRPr="00EE7469" w:rsidRDefault="00924327" w:rsidP="00924327">
      <w:pPr>
        <w:spacing w:line="360" w:lineRule="auto"/>
        <w:jc w:val="both"/>
        <w:rPr>
          <w:rtl/>
        </w:rPr>
      </w:pPr>
    </w:p>
    <w:p w14:paraId="33D159EC" w14:textId="77777777" w:rsidR="00924327" w:rsidRDefault="00924327" w:rsidP="00924327">
      <w:pPr>
        <w:spacing w:line="360" w:lineRule="auto"/>
        <w:jc w:val="both"/>
        <w:rPr>
          <w:b/>
          <w:bCs/>
          <w:u w:val="single"/>
          <w:rtl/>
        </w:rPr>
      </w:pPr>
      <w:r w:rsidRPr="00BA0577">
        <w:rPr>
          <w:rFonts w:hint="cs"/>
          <w:b/>
          <w:bCs/>
          <w:u w:val="single"/>
          <w:rtl/>
        </w:rPr>
        <w:t>6. מתחם  העונש  ההולם</w:t>
      </w:r>
    </w:p>
    <w:p w14:paraId="0173828A" w14:textId="77777777" w:rsidR="00924327" w:rsidRPr="00BA0577" w:rsidRDefault="00924327" w:rsidP="00924327">
      <w:pPr>
        <w:spacing w:line="360" w:lineRule="auto"/>
        <w:jc w:val="both"/>
        <w:rPr>
          <w:b/>
          <w:bCs/>
          <w:u w:val="single"/>
          <w:rtl/>
        </w:rPr>
      </w:pPr>
    </w:p>
    <w:p w14:paraId="47638667" w14:textId="77777777" w:rsidR="00924327" w:rsidRPr="00EE7469" w:rsidRDefault="00924327" w:rsidP="00924327">
      <w:pPr>
        <w:spacing w:line="360" w:lineRule="auto"/>
        <w:jc w:val="both"/>
        <w:rPr>
          <w:rtl/>
        </w:rPr>
      </w:pPr>
      <w:r w:rsidRPr="00EE7469">
        <w:rPr>
          <w:rFonts w:hint="cs"/>
          <w:rtl/>
        </w:rPr>
        <w:t xml:space="preserve">על פי </w:t>
      </w:r>
      <w:hyperlink r:id="rId17" w:history="1">
        <w:r w:rsidR="00980432" w:rsidRPr="00980432">
          <w:rPr>
            <w:color w:val="0000FF"/>
            <w:u w:val="single"/>
            <w:rtl/>
          </w:rPr>
          <w:t>סעיף 40ב'</w:t>
        </w:r>
      </w:hyperlink>
      <w:r w:rsidRPr="00EE7469">
        <w:rPr>
          <w:rFonts w:hint="cs"/>
          <w:rtl/>
        </w:rPr>
        <w:t xml:space="preserve"> ל</w:t>
      </w:r>
      <w:hyperlink r:id="rId18" w:history="1">
        <w:r w:rsidR="00E43FBE" w:rsidRPr="00E43FBE">
          <w:rPr>
            <w:color w:val="0000FF"/>
            <w:u w:val="single"/>
            <w:rtl/>
          </w:rPr>
          <w:t>חוק העונשין</w:t>
        </w:r>
      </w:hyperlink>
      <w:r w:rsidRPr="00EE7469">
        <w:rPr>
          <w:rFonts w:hint="cs"/>
          <w:rtl/>
        </w:rPr>
        <w:t xml:space="preserve">, העיקרון המנחה בענישה הוא הלימה, היינו יחס הולם בין חומרת מעשה העבירה ונסיבותיו ומידת אשמתו של הנאשם, ובין סוג ומידת העונש שמוטל עליו. בקביעת מתחם העונש ההולם, על בית המשפט להתחשב בערך החברתי שנפגע, במידת הפגיעה בו, במדיניות הענישה הנהוגה ובנסיבות הקשורות לביצוע העבירה. </w:t>
      </w:r>
    </w:p>
    <w:p w14:paraId="502805F2" w14:textId="77777777" w:rsidR="00924327" w:rsidRPr="00EE7469" w:rsidRDefault="00924327" w:rsidP="00924327">
      <w:pPr>
        <w:spacing w:line="360" w:lineRule="auto"/>
        <w:jc w:val="both"/>
        <w:rPr>
          <w:rtl/>
        </w:rPr>
      </w:pPr>
      <w:r w:rsidRPr="00EE7469">
        <w:rPr>
          <w:rFonts w:hint="cs"/>
          <w:rtl/>
        </w:rPr>
        <w:t xml:space="preserve">הערכים החברתיים עליהם יש להגן מפני אלה המבצעים עבירות בנשק, הם שמירה על שלמות גופו ורכושו של האדם ומניעת פגיעה בו כתוצאה משימוש בנשק חם על ידי מי שאינו מיומן. </w:t>
      </w:r>
    </w:p>
    <w:p w14:paraId="2A78E2C4" w14:textId="77777777" w:rsidR="00924327" w:rsidRPr="00EE7469" w:rsidRDefault="00924327" w:rsidP="00924327">
      <w:pPr>
        <w:spacing w:line="360" w:lineRule="auto"/>
        <w:jc w:val="both"/>
        <w:rPr>
          <w:rtl/>
        </w:rPr>
      </w:pPr>
      <w:r w:rsidRPr="00EE7469">
        <w:rPr>
          <w:rFonts w:hint="cs"/>
          <w:rtl/>
        </w:rPr>
        <w:t xml:space="preserve">בית המשפט חזר לא אחת על החומרה הגלומה בעבירות נשק ועל פוטנציאל הפגיעה בנפש וברכוש שעלולים להיגרם כתוצאה מהשימוש בו.  בשל הסכנה הטמונה בעבירות נשק, מן הראוי להטיל עונשי מאסר בפועל גם על אלה שלהם זו העבירה הראשונה. על בית המשפט לתת משקל משמעותי יותר לאינטרס הציבורי ולהתריע עבריינים מלבצע עבירות דומות, על פני נסיבות האישיות של העבריין. </w:t>
      </w:r>
    </w:p>
    <w:p w14:paraId="7AA04879" w14:textId="77777777" w:rsidR="00924327" w:rsidRPr="00EE7469" w:rsidRDefault="00924327" w:rsidP="00924327">
      <w:pPr>
        <w:spacing w:line="360" w:lineRule="auto"/>
        <w:jc w:val="both"/>
        <w:rPr>
          <w:rtl/>
        </w:rPr>
      </w:pPr>
      <w:r w:rsidRPr="00EE7469">
        <w:rPr>
          <w:rFonts w:hint="cs"/>
          <w:rtl/>
        </w:rPr>
        <w:t>לעניין זה, מן הראו</w:t>
      </w:r>
      <w:r>
        <w:rPr>
          <w:rFonts w:hint="cs"/>
          <w:rtl/>
        </w:rPr>
        <w:t>י</w:t>
      </w:r>
      <w:r w:rsidRPr="00EE7469">
        <w:rPr>
          <w:rFonts w:hint="cs"/>
          <w:rtl/>
        </w:rPr>
        <w:t xml:space="preserve"> להפנות לפסיקה שהגיש ב"כ המאשימה בטיעוניו לעונש ובמיוחד לפסק דינו של כב' השופט צבי זילברטל </w:t>
      </w:r>
      <w:r>
        <w:rPr>
          <w:rFonts w:hint="cs"/>
          <w:rtl/>
        </w:rPr>
        <w:t>ב</w:t>
      </w:r>
      <w:hyperlink r:id="rId19" w:history="1">
        <w:r w:rsidR="00E43FBE" w:rsidRPr="00E43FBE">
          <w:rPr>
            <w:b/>
            <w:bCs/>
            <w:color w:val="0000FF"/>
            <w:u w:val="single"/>
            <w:rtl/>
          </w:rPr>
          <w:t>ע"פ 6989/13</w:t>
        </w:r>
      </w:hyperlink>
      <w:r w:rsidRPr="00EE7469">
        <w:rPr>
          <w:rFonts w:hint="cs"/>
          <w:rtl/>
        </w:rPr>
        <w:t xml:space="preserve"> </w:t>
      </w:r>
      <w:r w:rsidRPr="00544911">
        <w:rPr>
          <w:rFonts w:hint="cs"/>
          <w:b/>
          <w:bCs/>
          <w:rtl/>
        </w:rPr>
        <w:t>פרח נ' מדינת ישראל</w:t>
      </w:r>
      <w:r w:rsidRPr="00EE7469">
        <w:rPr>
          <w:rFonts w:hint="cs"/>
          <w:rtl/>
        </w:rPr>
        <w:t xml:space="preserve"> מיום 25.2.14 וכן להלכה שנקבעה בפסק דינו של כב' השופט דוד מינץ </w:t>
      </w:r>
      <w:r>
        <w:rPr>
          <w:rFonts w:hint="cs"/>
          <w:rtl/>
        </w:rPr>
        <w:t>ב</w:t>
      </w:r>
      <w:r>
        <w:rPr>
          <w:rFonts w:hint="cs"/>
          <w:b/>
          <w:bCs/>
          <w:rtl/>
        </w:rPr>
        <w:t>ע</w:t>
      </w:r>
      <w:r w:rsidRPr="00544911">
        <w:rPr>
          <w:rFonts w:hint="cs"/>
          <w:b/>
          <w:bCs/>
          <w:rtl/>
        </w:rPr>
        <w:t>"פ 9707/</w:t>
      </w:r>
      <w:r w:rsidRPr="00EE7469">
        <w:rPr>
          <w:rFonts w:hint="cs"/>
          <w:rtl/>
        </w:rPr>
        <w:t xml:space="preserve">16 </w:t>
      </w:r>
      <w:r w:rsidRPr="00544911">
        <w:rPr>
          <w:rFonts w:hint="cs"/>
          <w:b/>
          <w:bCs/>
          <w:rtl/>
        </w:rPr>
        <w:t>סמי אבו אלוליאיה נ' מדינת ישראל</w:t>
      </w:r>
      <w:r w:rsidRPr="00EE7469">
        <w:rPr>
          <w:rFonts w:hint="cs"/>
          <w:rtl/>
        </w:rPr>
        <w:t xml:space="preserve"> מיום 13.9.17, שם נקבע כי לנוכח היקפן המתרחב של עבירות המבוצעות בנשק, החזקת נשק באופן בלתי חוקי, מהווה סיכון של ממש לשלום הציבור, זאת על אחת כמה וכמה שעה שמדובר בסוג נשק שעשוי להביא למותו של אדם. </w:t>
      </w:r>
    </w:p>
    <w:p w14:paraId="720950E6" w14:textId="77777777" w:rsidR="00924327" w:rsidRDefault="00924327" w:rsidP="00924327">
      <w:pPr>
        <w:rPr>
          <w:rtl/>
        </w:rPr>
      </w:pPr>
    </w:p>
    <w:p w14:paraId="6A718D00" w14:textId="77777777" w:rsidR="00924327" w:rsidRPr="00EE7469" w:rsidRDefault="00924327" w:rsidP="00924327">
      <w:pPr>
        <w:rPr>
          <w:rtl/>
        </w:rPr>
      </w:pPr>
    </w:p>
    <w:p w14:paraId="213B262C" w14:textId="77777777" w:rsidR="00924327" w:rsidRDefault="00924327" w:rsidP="00924327">
      <w:pPr>
        <w:rPr>
          <w:b/>
          <w:bCs/>
          <w:u w:val="single"/>
          <w:rtl/>
        </w:rPr>
      </w:pPr>
      <w:r w:rsidRPr="00EE7469">
        <w:rPr>
          <w:rFonts w:hint="cs"/>
          <w:b/>
          <w:bCs/>
          <w:u w:val="single"/>
          <w:rtl/>
        </w:rPr>
        <w:t>7. מדיניות הענישה ההולמת</w:t>
      </w:r>
    </w:p>
    <w:p w14:paraId="75343269" w14:textId="77777777" w:rsidR="00924327" w:rsidRDefault="00924327" w:rsidP="00924327">
      <w:pPr>
        <w:rPr>
          <w:b/>
          <w:bCs/>
          <w:u w:val="single"/>
          <w:rtl/>
        </w:rPr>
      </w:pPr>
    </w:p>
    <w:p w14:paraId="6E7ECA79" w14:textId="77777777" w:rsidR="00924327" w:rsidRPr="00EE7469" w:rsidRDefault="00924327" w:rsidP="00924327">
      <w:pPr>
        <w:spacing w:line="360" w:lineRule="auto"/>
        <w:rPr>
          <w:b/>
          <w:bCs/>
          <w:u w:val="single"/>
          <w:rtl/>
        </w:rPr>
      </w:pPr>
      <w:r w:rsidRPr="00EE7469">
        <w:rPr>
          <w:rFonts w:hint="cs"/>
          <w:rtl/>
        </w:rPr>
        <w:t>מדיניות הענישה הנוהגת מלמדת על קיומה של מגמה של החמרה בענישה בעבירות נשק (</w:t>
      </w:r>
      <w:r w:rsidRPr="007729A2">
        <w:rPr>
          <w:rFonts w:hint="cs"/>
          <w:rtl/>
        </w:rPr>
        <w:t>ראו</w:t>
      </w:r>
      <w:r>
        <w:rPr>
          <w:rFonts w:hint="cs"/>
          <w:b/>
          <w:bCs/>
          <w:rtl/>
        </w:rPr>
        <w:t xml:space="preserve"> </w:t>
      </w:r>
      <w:hyperlink r:id="rId20" w:history="1">
        <w:r w:rsidR="00E43FBE" w:rsidRPr="00E43FBE">
          <w:rPr>
            <w:b/>
            <w:bCs/>
            <w:color w:val="0000FF"/>
            <w:u w:val="single"/>
            <w:rtl/>
          </w:rPr>
          <w:t>ע"פ 6294/10</w:t>
        </w:r>
      </w:hyperlink>
      <w:r w:rsidRPr="00EE7469">
        <w:rPr>
          <w:rFonts w:hint="cs"/>
          <w:b/>
          <w:bCs/>
          <w:rtl/>
        </w:rPr>
        <w:t xml:space="preserve">, רע"פ 3401/11, </w:t>
      </w:r>
      <w:hyperlink r:id="rId21" w:history="1">
        <w:r w:rsidR="00E43FBE" w:rsidRPr="00E43FBE">
          <w:rPr>
            <w:b/>
            <w:bCs/>
            <w:color w:val="0000FF"/>
            <w:u w:val="single"/>
            <w:rtl/>
          </w:rPr>
          <w:t>ע"פ 7502/12</w:t>
        </w:r>
      </w:hyperlink>
      <w:r w:rsidRPr="00EE7469">
        <w:rPr>
          <w:rFonts w:hint="cs"/>
          <w:b/>
          <w:bCs/>
          <w:rtl/>
        </w:rPr>
        <w:t xml:space="preserve">) </w:t>
      </w:r>
      <w:r w:rsidRPr="00EE7469">
        <w:rPr>
          <w:rFonts w:hint="cs"/>
          <w:rtl/>
        </w:rPr>
        <w:t>ופסקי דין רבים</w:t>
      </w:r>
      <w:r>
        <w:rPr>
          <w:rFonts w:hint="cs"/>
          <w:b/>
          <w:bCs/>
          <w:rtl/>
        </w:rPr>
        <w:t xml:space="preserve"> </w:t>
      </w:r>
      <w:r w:rsidRPr="00EE7469">
        <w:rPr>
          <w:rFonts w:hint="cs"/>
          <w:rtl/>
        </w:rPr>
        <w:t>שניתנו בעניין זה</w:t>
      </w:r>
      <w:r>
        <w:rPr>
          <w:rFonts w:hint="cs"/>
          <w:rtl/>
        </w:rPr>
        <w:t>.</w:t>
      </w:r>
    </w:p>
    <w:p w14:paraId="112A6631" w14:textId="77777777" w:rsidR="00924327" w:rsidRDefault="00924327" w:rsidP="00924327">
      <w:pPr>
        <w:spacing w:line="360" w:lineRule="auto"/>
        <w:jc w:val="both"/>
        <w:rPr>
          <w:rtl/>
        </w:rPr>
      </w:pPr>
    </w:p>
    <w:p w14:paraId="229F1E60" w14:textId="77777777" w:rsidR="00924327" w:rsidRPr="00EE7469" w:rsidRDefault="00924327" w:rsidP="00924327">
      <w:pPr>
        <w:spacing w:line="360" w:lineRule="auto"/>
        <w:jc w:val="both"/>
        <w:rPr>
          <w:b/>
          <w:bCs/>
          <w:rtl/>
        </w:rPr>
      </w:pPr>
      <w:r>
        <w:rPr>
          <w:rFonts w:hint="cs"/>
          <w:rtl/>
        </w:rPr>
        <w:t>במסגרת הנסיבות הקשורות בביצוע העבירה, יש לתת את הדעת לשיקולים הנוגעים לנסיבות החזקת הנשק, לטענות הנאשם, לקיחת אחריות, וכן לעובדה כי מדובר בנשק ותחמושת שעל נקלה ניתן לעשות בו שימוש.</w:t>
      </w:r>
    </w:p>
    <w:p w14:paraId="4D5D01AC" w14:textId="77777777" w:rsidR="00924327" w:rsidRDefault="00924327" w:rsidP="00924327">
      <w:pPr>
        <w:rPr>
          <w:rFonts w:cs="FrankRuehl"/>
          <w:sz w:val="28"/>
          <w:szCs w:val="28"/>
          <w:rtl/>
        </w:rPr>
      </w:pPr>
    </w:p>
    <w:p w14:paraId="0415F130" w14:textId="77777777" w:rsidR="00924327" w:rsidRDefault="00924327" w:rsidP="00924327">
      <w:pPr>
        <w:rPr>
          <w:rFonts w:cs="FrankRuehl"/>
          <w:b/>
          <w:bCs/>
          <w:sz w:val="28"/>
          <w:szCs w:val="28"/>
          <w:u w:val="single"/>
          <w:rtl/>
        </w:rPr>
      </w:pPr>
      <w:r w:rsidRPr="00EE7469">
        <w:rPr>
          <w:rFonts w:cs="FrankRuehl" w:hint="cs"/>
          <w:b/>
          <w:bCs/>
          <w:sz w:val="28"/>
          <w:szCs w:val="28"/>
          <w:u w:val="single"/>
          <w:rtl/>
        </w:rPr>
        <w:t>8</w:t>
      </w:r>
      <w:r w:rsidRPr="00BA0577">
        <w:rPr>
          <w:rFonts w:hint="cs"/>
          <w:b/>
          <w:bCs/>
          <w:u w:val="single"/>
          <w:rtl/>
        </w:rPr>
        <w:t>. העונש המתאים</w:t>
      </w:r>
    </w:p>
    <w:p w14:paraId="58D27FC6" w14:textId="77777777" w:rsidR="00924327" w:rsidRDefault="00924327" w:rsidP="00924327">
      <w:pPr>
        <w:rPr>
          <w:rFonts w:cs="FrankRuehl"/>
          <w:b/>
          <w:bCs/>
          <w:sz w:val="28"/>
          <w:szCs w:val="28"/>
          <w:u w:val="single"/>
          <w:rtl/>
        </w:rPr>
      </w:pPr>
    </w:p>
    <w:p w14:paraId="1E7CB7C2" w14:textId="77777777" w:rsidR="00924327" w:rsidRDefault="00924327" w:rsidP="00924327">
      <w:pPr>
        <w:spacing w:line="360" w:lineRule="auto"/>
        <w:jc w:val="both"/>
        <w:rPr>
          <w:rtl/>
        </w:rPr>
      </w:pPr>
      <w:r w:rsidRPr="00EE7469">
        <w:rPr>
          <w:rFonts w:hint="cs"/>
          <w:rtl/>
        </w:rPr>
        <w:t xml:space="preserve">בעניין זה יש להתחשב </w:t>
      </w:r>
      <w:r>
        <w:rPr>
          <w:rFonts w:hint="cs"/>
          <w:rtl/>
        </w:rPr>
        <w:t xml:space="preserve">בנסיבות שאינן קשורות בביצוע העבירה, מדובר בנאשם בן 45 שנה, אב ל-4 ילדים, נעדר עבר פלילי, אשר מנהל אורח חיים נורמטיבי, אשר לקח אחריות על מעשיו. הנאשם שהה במעצר בתקופה לא מבוטלת ושהה במעצר בית למעלה משנתיים. הוא בן משפחה נורמטיבית ומכובדת והעבירה שביצע אינה מגלה דפוסיים עבריינים. </w:t>
      </w:r>
    </w:p>
    <w:p w14:paraId="31A24560" w14:textId="77777777" w:rsidR="00924327" w:rsidRDefault="00924327" w:rsidP="00924327">
      <w:pPr>
        <w:spacing w:line="360" w:lineRule="auto"/>
        <w:jc w:val="both"/>
        <w:rPr>
          <w:rtl/>
        </w:rPr>
      </w:pPr>
      <w:r>
        <w:rPr>
          <w:rFonts w:hint="cs"/>
          <w:rtl/>
        </w:rPr>
        <w:t xml:space="preserve">עם זאת, יש לתת את הדגש לשיקולי הרתעת הרבים לאור הסכנה הפוטנציאלית הטמונה בשימוש בנשק וכן לאינטרס הציבורי לצורך הרתעת עבריינים בכוח מלבצע עבירות דומות (ראה </w:t>
      </w:r>
      <w:hyperlink r:id="rId22" w:history="1">
        <w:r w:rsidR="00E43FBE" w:rsidRPr="00E43FBE">
          <w:rPr>
            <w:b/>
            <w:bCs/>
            <w:color w:val="0000FF"/>
            <w:u w:val="single"/>
            <w:rtl/>
          </w:rPr>
          <w:t>ע"פ 7502/12</w:t>
        </w:r>
      </w:hyperlink>
      <w:r>
        <w:rPr>
          <w:rFonts w:hint="cs"/>
          <w:b/>
          <w:bCs/>
          <w:rtl/>
        </w:rPr>
        <w:t xml:space="preserve"> </w:t>
      </w:r>
      <w:r>
        <w:rPr>
          <w:rFonts w:hint="cs"/>
          <w:rtl/>
        </w:rPr>
        <w:t>ו</w:t>
      </w:r>
      <w:hyperlink r:id="rId23" w:history="1">
        <w:r w:rsidR="00E43FBE" w:rsidRPr="00E43FBE">
          <w:rPr>
            <w:b/>
            <w:bCs/>
            <w:color w:val="0000FF"/>
            <w:u w:val="single"/>
            <w:rtl/>
          </w:rPr>
          <w:t>רע"פ 2718/04</w:t>
        </w:r>
      </w:hyperlink>
      <w:r>
        <w:rPr>
          <w:rFonts w:hint="cs"/>
          <w:b/>
          <w:bCs/>
          <w:rtl/>
        </w:rPr>
        <w:t xml:space="preserve"> </w:t>
      </w:r>
      <w:r>
        <w:rPr>
          <w:rFonts w:hint="cs"/>
          <w:rtl/>
        </w:rPr>
        <w:t>מפי כב' השופט אורי שוהם).</w:t>
      </w:r>
    </w:p>
    <w:p w14:paraId="394C3AAF" w14:textId="77777777" w:rsidR="00924327" w:rsidRDefault="00924327" w:rsidP="00924327">
      <w:pPr>
        <w:spacing w:line="360" w:lineRule="auto"/>
        <w:jc w:val="both"/>
        <w:rPr>
          <w:rtl/>
        </w:rPr>
      </w:pPr>
    </w:p>
    <w:p w14:paraId="3C741800" w14:textId="77777777" w:rsidR="00924327" w:rsidRPr="007729A2" w:rsidRDefault="00924327" w:rsidP="00924327">
      <w:pPr>
        <w:spacing w:line="360" w:lineRule="auto"/>
        <w:jc w:val="both"/>
        <w:rPr>
          <w:b/>
          <w:bCs/>
          <w:u w:val="single"/>
          <w:rtl/>
        </w:rPr>
      </w:pPr>
      <w:r w:rsidRPr="00C861FE">
        <w:rPr>
          <w:rFonts w:hint="cs"/>
          <w:b/>
          <w:bCs/>
          <w:u w:val="single"/>
          <w:rtl/>
        </w:rPr>
        <w:t xml:space="preserve">9. </w:t>
      </w:r>
      <w:r>
        <w:rPr>
          <w:rFonts w:hint="cs"/>
          <w:rtl/>
        </w:rPr>
        <w:t xml:space="preserve">לאחר ששקלתי את כל השיקולים הנוגעים לעניין לקולא ולחומרא, תוך התייחסות לאמור בתסקיר שירות המבחן ובשים לב לכך שחוות דעת הממונה נעדרת המלצה לביצוע עבודות שירות, סבורני כי יש לגזור על הנאשם מאסר ברף הנמוך של המתחם, תוך התחשבות בנסיבותיו המיוחדות של הנאשם. </w:t>
      </w:r>
    </w:p>
    <w:p w14:paraId="4CC99C54" w14:textId="77777777" w:rsidR="00924327" w:rsidRDefault="00924327" w:rsidP="00924327">
      <w:pPr>
        <w:spacing w:line="360" w:lineRule="auto"/>
        <w:jc w:val="both"/>
        <w:rPr>
          <w:rtl/>
        </w:rPr>
      </w:pPr>
    </w:p>
    <w:p w14:paraId="6D7F24AB" w14:textId="77777777" w:rsidR="00924327" w:rsidRDefault="00924327" w:rsidP="00924327">
      <w:pPr>
        <w:spacing w:line="360" w:lineRule="auto"/>
        <w:jc w:val="both"/>
        <w:rPr>
          <w:b/>
          <w:bCs/>
          <w:u w:val="single"/>
          <w:rtl/>
        </w:rPr>
      </w:pPr>
      <w:r>
        <w:rPr>
          <w:rFonts w:hint="cs"/>
          <w:rtl/>
        </w:rPr>
        <w:t>לאור כל האמור לעיל, אני גוזר על הנאשם את העונשים הבאים:</w:t>
      </w:r>
    </w:p>
    <w:p w14:paraId="41AEB260" w14:textId="77777777" w:rsidR="00924327" w:rsidRDefault="00924327" w:rsidP="00924327">
      <w:pPr>
        <w:spacing w:line="360" w:lineRule="auto"/>
        <w:jc w:val="both"/>
        <w:rPr>
          <w:b/>
          <w:bCs/>
          <w:u w:val="single"/>
          <w:rtl/>
        </w:rPr>
      </w:pPr>
    </w:p>
    <w:p w14:paraId="65FDE942" w14:textId="77777777" w:rsidR="00924327" w:rsidRDefault="00924327" w:rsidP="00924327">
      <w:pPr>
        <w:spacing w:line="360" w:lineRule="auto"/>
        <w:jc w:val="both"/>
        <w:rPr>
          <w:rtl/>
        </w:rPr>
      </w:pPr>
      <w:r>
        <w:rPr>
          <w:rFonts w:hint="cs"/>
          <w:rtl/>
        </w:rPr>
        <w:t xml:space="preserve">א. 7 חודשי מאסר בפועל בניכוי ימי מעצרו. הנאשם יתייצב ביום 28.10.2018 בשעה 9:00 בבית המעצר "ניצן" ברמלה כשברשותו תעודת זהות ועותק מגזר הדין. </w:t>
      </w:r>
    </w:p>
    <w:p w14:paraId="58EA87C1" w14:textId="77777777" w:rsidR="00924327" w:rsidRDefault="00924327" w:rsidP="00924327">
      <w:pPr>
        <w:spacing w:line="360" w:lineRule="auto"/>
        <w:jc w:val="both"/>
        <w:rPr>
          <w:rtl/>
        </w:rPr>
      </w:pPr>
    </w:p>
    <w:p w14:paraId="3866DDD7" w14:textId="77777777" w:rsidR="00924327" w:rsidRDefault="00924327" w:rsidP="00924327">
      <w:pPr>
        <w:spacing w:line="360" w:lineRule="auto"/>
        <w:jc w:val="both"/>
        <w:rPr>
          <w:rtl/>
        </w:rPr>
      </w:pPr>
      <w:r>
        <w:rPr>
          <w:rFonts w:hint="cs"/>
          <w:rtl/>
        </w:rPr>
        <w:t>ב. 10 חודשי מאסר על תנאי. הנאשם לא ירצה עונש זה אלא אם יעבור תוך 3 שנים מהיום על עבירות בנשק מסוג פשע.</w:t>
      </w:r>
    </w:p>
    <w:p w14:paraId="5D595C11" w14:textId="77777777" w:rsidR="00924327" w:rsidRDefault="00924327" w:rsidP="00924327">
      <w:pPr>
        <w:spacing w:line="360" w:lineRule="auto"/>
        <w:jc w:val="both"/>
        <w:rPr>
          <w:rtl/>
        </w:rPr>
      </w:pPr>
    </w:p>
    <w:p w14:paraId="482DE5A5" w14:textId="77777777" w:rsidR="00924327" w:rsidRDefault="00924327" w:rsidP="00924327">
      <w:pPr>
        <w:spacing w:line="360" w:lineRule="auto"/>
        <w:jc w:val="both"/>
        <w:rPr>
          <w:rtl/>
        </w:rPr>
      </w:pPr>
      <w:r>
        <w:rPr>
          <w:rFonts w:hint="cs"/>
          <w:rtl/>
        </w:rPr>
        <w:t xml:space="preserve">ג. 3 חודשי מאסר על תנאי. הנאשם לא ירצה עונש זה אלא אם יעבור תוך 3 שנים מהיום על עבירה בנשק מסוג עוון. </w:t>
      </w:r>
    </w:p>
    <w:p w14:paraId="23CFD33E" w14:textId="77777777" w:rsidR="00924327" w:rsidRDefault="00924327" w:rsidP="00924327">
      <w:pPr>
        <w:spacing w:line="360" w:lineRule="auto"/>
        <w:jc w:val="both"/>
        <w:rPr>
          <w:rtl/>
        </w:rPr>
      </w:pPr>
    </w:p>
    <w:p w14:paraId="76E7C55D" w14:textId="77777777" w:rsidR="00924327" w:rsidRDefault="00924327" w:rsidP="00924327">
      <w:pPr>
        <w:spacing w:line="360" w:lineRule="auto"/>
        <w:jc w:val="both"/>
        <w:rPr>
          <w:rtl/>
        </w:rPr>
      </w:pPr>
      <w:r>
        <w:rPr>
          <w:rFonts w:hint="cs"/>
          <w:rtl/>
        </w:rPr>
        <w:t>ד. קנס כספי בסך 3,000 ₪ או מאסר של 30 יום תחתיו. הקנס ישולם ב-10 תשלומים שווים החל מיום 1.11.2018 ובכל ראשון לחודש שלאחריו.</w:t>
      </w:r>
    </w:p>
    <w:p w14:paraId="348B8ACE" w14:textId="77777777" w:rsidR="00924327" w:rsidRDefault="00924327" w:rsidP="00924327">
      <w:pPr>
        <w:spacing w:line="360" w:lineRule="auto"/>
        <w:jc w:val="both"/>
        <w:rPr>
          <w:rtl/>
        </w:rPr>
      </w:pPr>
    </w:p>
    <w:p w14:paraId="6858CACA" w14:textId="77777777" w:rsidR="00924327" w:rsidRDefault="00924327" w:rsidP="00924327">
      <w:pPr>
        <w:spacing w:line="360" w:lineRule="auto"/>
        <w:jc w:val="both"/>
        <w:rPr>
          <w:rtl/>
        </w:rPr>
      </w:pPr>
      <w:r>
        <w:rPr>
          <w:rFonts w:hint="cs"/>
          <w:rtl/>
        </w:rPr>
        <w:t>ה. מורה על השמדת או חילוט המוצגים או השבת הנשק לבעליו, בהתאם לשיקולי המאשימה.</w:t>
      </w:r>
    </w:p>
    <w:p w14:paraId="31688BF0" w14:textId="77777777" w:rsidR="00924327" w:rsidRDefault="00924327" w:rsidP="00924327">
      <w:pPr>
        <w:spacing w:line="360" w:lineRule="auto"/>
        <w:jc w:val="both"/>
        <w:rPr>
          <w:rtl/>
        </w:rPr>
      </w:pPr>
    </w:p>
    <w:p w14:paraId="12CD46E3" w14:textId="77777777" w:rsidR="00924327" w:rsidRDefault="00924327" w:rsidP="00924327">
      <w:pPr>
        <w:spacing w:line="360" w:lineRule="auto"/>
        <w:jc w:val="both"/>
        <w:rPr>
          <w:b/>
          <w:bCs/>
          <w:rtl/>
        </w:rPr>
      </w:pPr>
      <w:r w:rsidRPr="001C286E">
        <w:rPr>
          <w:rFonts w:hint="cs"/>
          <w:b/>
          <w:bCs/>
          <w:rtl/>
        </w:rPr>
        <w:t>העתק יישלח לשירות המבחן ולממונה על עבודות שירות</w:t>
      </w:r>
      <w:r>
        <w:rPr>
          <w:rFonts w:hint="cs"/>
          <w:b/>
          <w:bCs/>
          <w:rtl/>
        </w:rPr>
        <w:t>.</w:t>
      </w:r>
    </w:p>
    <w:p w14:paraId="68253DFE" w14:textId="77777777" w:rsidR="00924327" w:rsidRDefault="00924327" w:rsidP="00924327">
      <w:pPr>
        <w:spacing w:line="360" w:lineRule="auto"/>
        <w:jc w:val="both"/>
        <w:rPr>
          <w:b/>
          <w:bCs/>
          <w:rtl/>
        </w:rPr>
      </w:pPr>
    </w:p>
    <w:p w14:paraId="77C816B5" w14:textId="77777777" w:rsidR="00924327" w:rsidRPr="001C286E" w:rsidRDefault="00924327" w:rsidP="00924327">
      <w:pPr>
        <w:spacing w:line="360" w:lineRule="auto"/>
        <w:jc w:val="both"/>
        <w:rPr>
          <w:b/>
          <w:bCs/>
          <w:rtl/>
        </w:rPr>
      </w:pPr>
      <w:r>
        <w:rPr>
          <w:rFonts w:hint="cs"/>
          <w:b/>
          <w:bCs/>
          <w:rtl/>
        </w:rPr>
        <w:t>הודע על זכות ערעור לבית המשפט המחוזי בתוך 45 ימים.</w:t>
      </w:r>
    </w:p>
    <w:p w14:paraId="521C0B00" w14:textId="77777777" w:rsidR="00924327" w:rsidRDefault="00924327" w:rsidP="00924327">
      <w:pPr>
        <w:rPr>
          <w:rFonts w:cs="FrankRuehl"/>
          <w:sz w:val="28"/>
          <w:szCs w:val="28"/>
          <w:rtl/>
        </w:rPr>
      </w:pPr>
    </w:p>
    <w:p w14:paraId="18DED28C" w14:textId="77777777" w:rsidR="00924327" w:rsidRDefault="00E43FBE" w:rsidP="00924327">
      <w:pPr>
        <w:spacing w:line="360" w:lineRule="auto"/>
        <w:jc w:val="both"/>
        <w:rPr>
          <w:rFonts w:ascii="Arial" w:hAnsi="Arial"/>
        </w:rPr>
      </w:pPr>
      <w:r w:rsidRPr="00E43FBE">
        <w:rPr>
          <w:rFonts w:ascii="Arial" w:hAnsi="Arial"/>
          <w:color w:val="FFFFFF"/>
          <w:sz w:val="2"/>
          <w:szCs w:val="2"/>
          <w:rtl/>
        </w:rPr>
        <w:t>5129371</w:t>
      </w:r>
      <w:r>
        <w:rPr>
          <w:rFonts w:ascii="Arial" w:hAnsi="Arial"/>
          <w:rtl/>
        </w:rPr>
        <w:t xml:space="preserve">ניתן היום,  ג' תשרי תשע"ט, 12 ספטמבר 2018, במעמד בא כוח המאשימה עו"ד איאהב חלבי, </w:t>
      </w:r>
      <w:r w:rsidR="00924327">
        <w:rPr>
          <w:rFonts w:ascii="Arial" w:hAnsi="Arial" w:hint="cs"/>
          <w:rtl/>
        </w:rPr>
        <w:t xml:space="preserve">הנאשם וב"כ עו"ד </w:t>
      </w:r>
      <w:r w:rsidR="00924327" w:rsidRPr="00544911">
        <w:rPr>
          <w:rFonts w:hint="cs"/>
          <w:rtl/>
        </w:rPr>
        <w:t>מוענתז שקיראת</w:t>
      </w:r>
      <w:r w:rsidR="00924327">
        <w:rPr>
          <w:rFonts w:hint="cs"/>
          <w:rtl/>
        </w:rPr>
        <w:t xml:space="preserve"> (ממשרד עו"ד מוחמד מחמוד)</w:t>
      </w:r>
      <w:r w:rsidR="00924327">
        <w:rPr>
          <w:rFonts w:ascii="Arial" w:hAnsi="Arial" w:hint="cs"/>
          <w:rtl/>
        </w:rPr>
        <w:t>.</w:t>
      </w:r>
    </w:p>
    <w:p w14:paraId="37400CA4" w14:textId="77777777" w:rsidR="00924327" w:rsidRPr="00E43FBE" w:rsidRDefault="00E43FBE" w:rsidP="00924327">
      <w:pPr>
        <w:rPr>
          <w:rFonts w:cs="FrankRuehl"/>
          <w:color w:val="FFFFFF"/>
          <w:sz w:val="2"/>
          <w:szCs w:val="2"/>
          <w:rtl/>
        </w:rPr>
      </w:pPr>
      <w:r w:rsidRPr="00E43FBE">
        <w:rPr>
          <w:rFonts w:cs="FrankRuehl"/>
          <w:color w:val="FFFFFF"/>
          <w:sz w:val="2"/>
          <w:szCs w:val="2"/>
          <w:rtl/>
        </w:rPr>
        <w:t>54678313</w:t>
      </w:r>
    </w:p>
    <w:p w14:paraId="2F31C9DE" w14:textId="77777777" w:rsidR="00924327" w:rsidRDefault="00924327" w:rsidP="00924327">
      <w:r>
        <w:rPr>
          <w:rtl/>
        </w:rPr>
        <w:t xml:space="preserve">     </w:t>
      </w:r>
    </w:p>
    <w:p w14:paraId="241A1EC5" w14:textId="77777777" w:rsidR="00924327" w:rsidRDefault="00924327" w:rsidP="00924327">
      <w:pPr>
        <w:rPr>
          <w:rFonts w:ascii="Arial" w:hAnsi="Arial" w:cs="FrankRuehl"/>
          <w:sz w:val="28"/>
          <w:szCs w:val="28"/>
          <w:rtl/>
        </w:rPr>
      </w:pPr>
    </w:p>
    <w:p w14:paraId="191B2C3B" w14:textId="77777777" w:rsidR="00924327" w:rsidRDefault="00924327" w:rsidP="00924327">
      <w:pPr>
        <w:rPr>
          <w:rFonts w:cs="FrankRuehl"/>
          <w:sz w:val="28"/>
          <w:szCs w:val="28"/>
          <w:rtl/>
        </w:rPr>
      </w:pPr>
    </w:p>
    <w:p w14:paraId="427CA3E8" w14:textId="77777777" w:rsidR="00924327" w:rsidRPr="00980432" w:rsidRDefault="00980432" w:rsidP="00924327">
      <w:pPr>
        <w:pStyle w:val="a3"/>
        <w:jc w:val="center"/>
        <w:rPr>
          <w:color w:val="FFFFFF"/>
          <w:sz w:val="2"/>
          <w:szCs w:val="2"/>
          <w:rtl/>
        </w:rPr>
      </w:pPr>
      <w:r w:rsidRPr="00980432">
        <w:rPr>
          <w:color w:val="FFFFFF"/>
          <w:sz w:val="2"/>
          <w:szCs w:val="2"/>
          <w:rtl/>
        </w:rPr>
        <w:t>5129371</w:t>
      </w:r>
    </w:p>
    <w:p w14:paraId="42A8D844" w14:textId="77777777" w:rsidR="007B473E" w:rsidRPr="00980432" w:rsidRDefault="00980432" w:rsidP="00E43FBE">
      <w:pPr>
        <w:keepNext/>
        <w:rPr>
          <w:rFonts w:ascii="David" w:hAnsi="David"/>
          <w:color w:val="FFFFFF"/>
          <w:sz w:val="2"/>
          <w:szCs w:val="2"/>
          <w:rtl/>
        </w:rPr>
      </w:pPr>
      <w:r w:rsidRPr="00980432">
        <w:rPr>
          <w:rFonts w:ascii="David" w:hAnsi="David"/>
          <w:color w:val="FFFFFF"/>
          <w:sz w:val="2"/>
          <w:szCs w:val="2"/>
          <w:rtl/>
        </w:rPr>
        <w:t>54678313</w:t>
      </w:r>
    </w:p>
    <w:p w14:paraId="627D9280" w14:textId="77777777" w:rsidR="00E43FBE" w:rsidRPr="00E43FBE" w:rsidRDefault="00E43FBE" w:rsidP="00E43FBE">
      <w:pPr>
        <w:keepNext/>
        <w:rPr>
          <w:rFonts w:ascii="David" w:hAnsi="David"/>
          <w:color w:val="000000"/>
          <w:sz w:val="22"/>
          <w:szCs w:val="22"/>
          <w:rtl/>
        </w:rPr>
      </w:pPr>
      <w:r w:rsidRPr="00E43FBE">
        <w:rPr>
          <w:rFonts w:ascii="David" w:hAnsi="David"/>
          <w:color w:val="000000"/>
          <w:sz w:val="22"/>
          <w:szCs w:val="22"/>
          <w:rtl/>
        </w:rPr>
        <w:t>יצחק שמעוני 54678313</w:t>
      </w:r>
    </w:p>
    <w:p w14:paraId="066A24A0" w14:textId="77777777" w:rsidR="00E43FBE" w:rsidRDefault="00E43FBE" w:rsidP="00E43FBE">
      <w:r w:rsidRPr="00E43FBE">
        <w:rPr>
          <w:color w:val="000000"/>
          <w:rtl/>
        </w:rPr>
        <w:t>נוסח מסמך זה כפוף לשינויי ניסוח ועריכה</w:t>
      </w:r>
    </w:p>
    <w:p w14:paraId="310BC5B9" w14:textId="77777777" w:rsidR="00E43FBE" w:rsidRDefault="00E43FBE" w:rsidP="00E43FBE">
      <w:pPr>
        <w:rPr>
          <w:rtl/>
        </w:rPr>
      </w:pPr>
    </w:p>
    <w:p w14:paraId="2BAD1B81" w14:textId="77777777" w:rsidR="00E43FBE" w:rsidRDefault="00E43FBE" w:rsidP="00E43FB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2B0500C7" w14:textId="77777777" w:rsidR="00E43FBE" w:rsidRPr="00E43FBE" w:rsidRDefault="00E43FBE" w:rsidP="00980432">
      <w:pPr>
        <w:rPr>
          <w:color w:val="0000FF"/>
          <w:u w:val="single"/>
        </w:rPr>
      </w:pPr>
    </w:p>
    <w:sectPr w:rsidR="00E43FBE" w:rsidRPr="00E43FBE" w:rsidSect="00980432">
      <w:headerReference w:type="even" r:id="rId25"/>
      <w:headerReference w:type="default" r:id="rId26"/>
      <w:footerReference w:type="even" r:id="rId27"/>
      <w:footerReference w:type="default" r:id="rId2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E1758F" w14:textId="77777777" w:rsidR="00492F0F" w:rsidRDefault="00492F0F" w:rsidP="005D2352">
      <w:r>
        <w:separator/>
      </w:r>
    </w:p>
  </w:endnote>
  <w:endnote w:type="continuationSeparator" w:id="0">
    <w:p w14:paraId="297F8627" w14:textId="77777777" w:rsidR="00492F0F" w:rsidRDefault="00492F0F" w:rsidP="005D2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60F1E2" w14:textId="77777777" w:rsidR="00980432" w:rsidRDefault="00980432" w:rsidP="00980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D2C4649" w14:textId="77777777" w:rsidR="00E43FBE" w:rsidRPr="00980432" w:rsidRDefault="00980432" w:rsidP="00980432">
    <w:pPr>
      <w:pStyle w:val="a5"/>
      <w:pBdr>
        <w:top w:val="single" w:sz="4" w:space="1" w:color="auto"/>
        <w:between w:val="single" w:sz="4" w:space="0" w:color="auto"/>
      </w:pBdr>
      <w:spacing w:after="60"/>
      <w:jc w:val="center"/>
      <w:rPr>
        <w:rFonts w:ascii="FrankRuehl" w:hAnsi="FrankRuehl" w:cs="FrankRuehl"/>
        <w:color w:val="000000"/>
      </w:rPr>
    </w:pPr>
    <w:r w:rsidRPr="0098043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F0D21" w14:textId="77777777" w:rsidR="00980432" w:rsidRDefault="00980432" w:rsidP="0098043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67F7">
      <w:rPr>
        <w:rFonts w:ascii="FrankRuehl" w:hAnsi="FrankRuehl" w:cs="FrankRuehl"/>
        <w:rtl/>
      </w:rPr>
      <w:t>1</w:t>
    </w:r>
    <w:r>
      <w:rPr>
        <w:rFonts w:ascii="FrankRuehl" w:hAnsi="FrankRuehl" w:cs="FrankRuehl"/>
        <w:rtl/>
      </w:rPr>
      <w:fldChar w:fldCharType="end"/>
    </w:r>
  </w:p>
  <w:p w14:paraId="67E77FF4" w14:textId="77777777" w:rsidR="008567A2" w:rsidRPr="00980432" w:rsidRDefault="00980432" w:rsidP="00980432">
    <w:pPr>
      <w:pStyle w:val="a5"/>
      <w:pBdr>
        <w:top w:val="single" w:sz="4" w:space="1" w:color="auto"/>
        <w:between w:val="single" w:sz="4" w:space="0" w:color="auto"/>
      </w:pBdr>
      <w:spacing w:after="60"/>
      <w:jc w:val="center"/>
      <w:rPr>
        <w:rFonts w:ascii="FrankRuehl" w:hAnsi="FrankRuehl" w:cs="FrankRuehl"/>
        <w:color w:val="000000"/>
      </w:rPr>
    </w:pPr>
    <w:r w:rsidRPr="00980432">
      <w:rPr>
        <w:rFonts w:ascii="FrankRuehl" w:hAnsi="FrankRuehl" w:cs="FrankRuehl"/>
        <w:color w:val="000000"/>
      </w:rPr>
      <w:pict w14:anchorId="51D416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098B8" w14:textId="77777777" w:rsidR="00492F0F" w:rsidRDefault="00492F0F" w:rsidP="005D2352">
      <w:r>
        <w:separator/>
      </w:r>
    </w:p>
  </w:footnote>
  <w:footnote w:type="continuationSeparator" w:id="0">
    <w:p w14:paraId="41C31885" w14:textId="77777777" w:rsidR="00492F0F" w:rsidRDefault="00492F0F" w:rsidP="005D23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9D0C3" w14:textId="77777777" w:rsidR="00E43FBE" w:rsidRPr="00980432" w:rsidRDefault="00980432" w:rsidP="00980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62685-06-16</w:t>
    </w:r>
    <w:r>
      <w:rPr>
        <w:rFonts w:ascii="David" w:hAnsi="David"/>
        <w:color w:val="000000"/>
        <w:sz w:val="22"/>
        <w:szCs w:val="22"/>
        <w:rtl/>
      </w:rPr>
      <w:tab/>
      <w:t xml:space="preserve"> מדינת ישראל נ' פראס אעבידאת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42ED8" w14:textId="77777777" w:rsidR="00E43FBE" w:rsidRPr="00980432" w:rsidRDefault="00980432" w:rsidP="0098043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62685-06-16</w:t>
    </w:r>
    <w:r>
      <w:rPr>
        <w:rFonts w:ascii="David" w:hAnsi="David"/>
        <w:color w:val="000000"/>
        <w:sz w:val="22"/>
        <w:szCs w:val="22"/>
        <w:rtl/>
      </w:rPr>
      <w:tab/>
      <w:t xml:space="preserve"> מדינת ישראל נ' פראס אעבידאת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24327"/>
    <w:rsid w:val="001F0CD2"/>
    <w:rsid w:val="00440745"/>
    <w:rsid w:val="00492F0F"/>
    <w:rsid w:val="005D2352"/>
    <w:rsid w:val="006208E8"/>
    <w:rsid w:val="007B473E"/>
    <w:rsid w:val="00802281"/>
    <w:rsid w:val="008567A2"/>
    <w:rsid w:val="00924327"/>
    <w:rsid w:val="00980432"/>
    <w:rsid w:val="00BF5716"/>
    <w:rsid w:val="00C467F7"/>
    <w:rsid w:val="00E43F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E5EA05A"/>
  <w15:chartTrackingRefBased/>
  <w15:docId w15:val="{64090497-0BD3-4269-A8CF-0E9056C9B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24327"/>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24327"/>
    <w:pPr>
      <w:tabs>
        <w:tab w:val="center" w:pos="4153"/>
        <w:tab w:val="right" w:pos="8306"/>
      </w:tabs>
    </w:pPr>
  </w:style>
  <w:style w:type="character" w:customStyle="1" w:styleId="a4">
    <w:name w:val="כותרת עליונה תו"/>
    <w:link w:val="a3"/>
    <w:rsid w:val="00924327"/>
    <w:rPr>
      <w:rFonts w:ascii="Times New Roman" w:eastAsia="Times New Roman" w:hAnsi="Times New Roman" w:cs="David"/>
      <w:noProof/>
      <w:sz w:val="24"/>
      <w:szCs w:val="24"/>
    </w:rPr>
  </w:style>
  <w:style w:type="paragraph" w:styleId="a5">
    <w:name w:val="footer"/>
    <w:basedOn w:val="a"/>
    <w:link w:val="a6"/>
    <w:rsid w:val="00924327"/>
    <w:pPr>
      <w:tabs>
        <w:tab w:val="center" w:pos="4153"/>
        <w:tab w:val="right" w:pos="8306"/>
      </w:tabs>
    </w:pPr>
  </w:style>
  <w:style w:type="character" w:customStyle="1" w:styleId="a6">
    <w:name w:val="כותרת תחתונה תו"/>
    <w:link w:val="a5"/>
    <w:rsid w:val="00924327"/>
    <w:rPr>
      <w:rFonts w:ascii="Times New Roman" w:eastAsia="Times New Roman" w:hAnsi="Times New Roman" w:cs="David"/>
      <w:noProof/>
      <w:sz w:val="24"/>
      <w:szCs w:val="24"/>
    </w:rPr>
  </w:style>
  <w:style w:type="table" w:styleId="a7">
    <w:name w:val="Table Grid"/>
    <w:basedOn w:val="a1"/>
    <w:rsid w:val="009243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43FBE"/>
  </w:style>
  <w:style w:type="character" w:styleId="Hyperlink">
    <w:name w:val="Hyperlink"/>
    <w:rsid w:val="00E43FB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case/22905664"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601503" TargetMode="External"/><Relationship Id="rId7" Type="http://schemas.openxmlformats.org/officeDocument/2006/relationships/hyperlink" Target="http://www.nevo.co.il/law/70301/40b"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40b"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case/22905664" TargetMode="External"/><Relationship Id="rId20" Type="http://schemas.openxmlformats.org/officeDocument/2006/relationships/hyperlink" Target="http://www.nevo.co.il/case/6058757"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case/22228298" TargetMode="External"/><Relationship Id="rId23" Type="http://schemas.openxmlformats.org/officeDocument/2006/relationships/hyperlink" Target="http://www.nevo.co.il/case/5852404"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8291683"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21475135" TargetMode="External"/><Relationship Id="rId22" Type="http://schemas.openxmlformats.org/officeDocument/2006/relationships/hyperlink" Target="http://www.nevo.co.il/case/5601503"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1704</Words>
  <Characters>8525</Characters>
  <Application>Microsoft Office Word</Application>
  <DocSecurity>0</DocSecurity>
  <Lines>71</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10209</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3145854</vt:i4>
      </vt:variant>
      <vt:variant>
        <vt:i4>51</vt:i4>
      </vt:variant>
      <vt:variant>
        <vt:i4>0</vt:i4>
      </vt:variant>
      <vt:variant>
        <vt:i4>5</vt:i4>
      </vt:variant>
      <vt:variant>
        <vt:lpwstr>http://www.nevo.co.il/case/5852404</vt:lpwstr>
      </vt:variant>
      <vt:variant>
        <vt:lpwstr/>
      </vt:variant>
      <vt:variant>
        <vt:i4>3342451</vt:i4>
      </vt:variant>
      <vt:variant>
        <vt:i4>48</vt:i4>
      </vt:variant>
      <vt:variant>
        <vt:i4>0</vt:i4>
      </vt:variant>
      <vt:variant>
        <vt:i4>5</vt:i4>
      </vt:variant>
      <vt:variant>
        <vt:lpwstr>http://www.nevo.co.il/case/5601503</vt:lpwstr>
      </vt:variant>
      <vt:variant>
        <vt:lpwstr/>
      </vt:variant>
      <vt:variant>
        <vt:i4>3342451</vt:i4>
      </vt:variant>
      <vt:variant>
        <vt:i4>45</vt:i4>
      </vt:variant>
      <vt:variant>
        <vt:i4>0</vt:i4>
      </vt:variant>
      <vt:variant>
        <vt:i4>5</vt:i4>
      </vt:variant>
      <vt:variant>
        <vt:lpwstr>http://www.nevo.co.il/case/5601503</vt:lpwstr>
      </vt:variant>
      <vt:variant>
        <vt:lpwstr/>
      </vt:variant>
      <vt:variant>
        <vt:i4>3342457</vt:i4>
      </vt:variant>
      <vt:variant>
        <vt:i4>42</vt:i4>
      </vt:variant>
      <vt:variant>
        <vt:i4>0</vt:i4>
      </vt:variant>
      <vt:variant>
        <vt:i4>5</vt:i4>
      </vt:variant>
      <vt:variant>
        <vt:lpwstr>http://www.nevo.co.il/case/6058757</vt:lpwstr>
      </vt:variant>
      <vt:variant>
        <vt:lpwstr/>
      </vt:variant>
      <vt:variant>
        <vt:i4>3407999</vt:i4>
      </vt:variant>
      <vt:variant>
        <vt:i4>39</vt:i4>
      </vt:variant>
      <vt:variant>
        <vt:i4>0</vt:i4>
      </vt:variant>
      <vt:variant>
        <vt:i4>5</vt:i4>
      </vt:variant>
      <vt:variant>
        <vt:lpwstr>http://www.nevo.co.il/case/8291683</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6619233</vt:i4>
      </vt:variant>
      <vt:variant>
        <vt:i4>33</vt:i4>
      </vt:variant>
      <vt:variant>
        <vt:i4>0</vt:i4>
      </vt:variant>
      <vt:variant>
        <vt:i4>5</vt:i4>
      </vt:variant>
      <vt:variant>
        <vt:lpwstr>http://www.nevo.co.il/law/70301/40b</vt:lpwstr>
      </vt:variant>
      <vt:variant>
        <vt:lpwstr/>
      </vt:variant>
      <vt:variant>
        <vt:i4>3670128</vt:i4>
      </vt:variant>
      <vt:variant>
        <vt:i4>30</vt:i4>
      </vt:variant>
      <vt:variant>
        <vt:i4>0</vt:i4>
      </vt:variant>
      <vt:variant>
        <vt:i4>5</vt:i4>
      </vt:variant>
      <vt:variant>
        <vt:lpwstr>http://www.nevo.co.il/case/22905664</vt:lpwstr>
      </vt:variant>
      <vt:variant>
        <vt:lpwstr/>
      </vt:variant>
      <vt:variant>
        <vt:i4>3211382</vt:i4>
      </vt:variant>
      <vt:variant>
        <vt:i4>27</vt:i4>
      </vt:variant>
      <vt:variant>
        <vt:i4>0</vt:i4>
      </vt:variant>
      <vt:variant>
        <vt:i4>5</vt:i4>
      </vt:variant>
      <vt:variant>
        <vt:lpwstr>http://www.nevo.co.il/case/22228298</vt:lpwstr>
      </vt:variant>
      <vt:variant>
        <vt:lpwstr/>
      </vt:variant>
      <vt:variant>
        <vt:i4>3145843</vt:i4>
      </vt:variant>
      <vt:variant>
        <vt:i4>24</vt:i4>
      </vt:variant>
      <vt:variant>
        <vt:i4>0</vt:i4>
      </vt:variant>
      <vt:variant>
        <vt:i4>5</vt:i4>
      </vt:variant>
      <vt:variant>
        <vt:lpwstr>http://www.nevo.co.il/case/21475135</vt:lpwstr>
      </vt:variant>
      <vt:variant>
        <vt:lpwstr/>
      </vt:variant>
      <vt:variant>
        <vt:i4>3670128</vt:i4>
      </vt:variant>
      <vt:variant>
        <vt:i4>21</vt:i4>
      </vt:variant>
      <vt:variant>
        <vt:i4>0</vt:i4>
      </vt:variant>
      <vt:variant>
        <vt:i4>5</vt:i4>
      </vt:variant>
      <vt:variant>
        <vt:lpwstr>http://www.nevo.co.il/case/22905664</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2025-01-19T17:38:00Z</dcterms:created>
  <dcterms:modified xsi:type="dcterms:W3CDTF">2025-01-19T17:38:00Z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62685</vt:lpwstr>
  </property>
  <property fmtid="{D5CDD505-2E9C-101B-9397-08002B2CF9AE}" pid="6" name="NEWPARTB">
    <vt:lpwstr>06</vt:lpwstr>
  </property>
  <property fmtid="{D5CDD505-2E9C-101B-9397-08002B2CF9AE}" pid="7" name="NEWPARTC">
    <vt:lpwstr>16</vt:lpwstr>
  </property>
  <property fmtid="{D5CDD505-2E9C-101B-9397-08002B2CF9AE}" pid="8" name="APPELLANT">
    <vt:lpwstr>מדינת ישראל;משטרת ישראל</vt:lpwstr>
  </property>
  <property fmtid="{D5CDD505-2E9C-101B-9397-08002B2CF9AE}" pid="9" name="APPELLEE">
    <vt:lpwstr>פראס אעבידאת</vt:lpwstr>
  </property>
  <property fmtid="{D5CDD505-2E9C-101B-9397-08002B2CF9AE}" pid="10" name="LAWYER">
    <vt:lpwstr>מוענתז שקיראת</vt:lpwstr>
  </property>
  <property fmtid="{D5CDD505-2E9C-101B-9397-08002B2CF9AE}" pid="11" name="JUDGE">
    <vt:lpwstr>יצחק שמעוני</vt:lpwstr>
  </property>
  <property fmtid="{D5CDD505-2E9C-101B-9397-08002B2CF9AE}" pid="12" name="CITY">
    <vt:lpwstr>י-ם</vt:lpwstr>
  </property>
  <property fmtid="{D5CDD505-2E9C-101B-9397-08002B2CF9AE}" pid="13" name="DATE">
    <vt:lpwstr>20180912</vt:lpwstr>
  </property>
  <property fmtid="{D5CDD505-2E9C-101B-9397-08002B2CF9AE}" pid="14" name="TYPE_N_DATE">
    <vt:lpwstr>38020180912</vt:lpwstr>
  </property>
  <property fmtid="{D5CDD505-2E9C-101B-9397-08002B2CF9AE}" pid="15" name="WORDNUMPAGES">
    <vt:lpwstr>6</vt:lpwstr>
  </property>
  <property fmtid="{D5CDD505-2E9C-101B-9397-08002B2CF9AE}" pid="16" name="TYPE_ABS_DATE">
    <vt:lpwstr>380020180912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22905664:2;21475135;22228298;8291683;6058757;5601503:2;5852404</vt:lpwstr>
  </property>
  <property fmtid="{D5CDD505-2E9C-101B-9397-08002B2CF9AE}" pid="36" name="LAWLISTTMP1">
    <vt:lpwstr>70301/144.a;144;040b</vt:lpwstr>
  </property>
</Properties>
</file>