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624D25" w:rsidRPr="006F1EB3" w14:paraId="537C439B" w14:textId="77777777" w:rsidTr="00C17733">
        <w:trPr>
          <w:trHeight w:hRule="exact" w:val="704"/>
          <w:jc w:val="center"/>
        </w:trPr>
        <w:tc>
          <w:tcPr>
            <w:tcW w:w="8721" w:type="dxa"/>
            <w:gridSpan w:val="2"/>
          </w:tcPr>
          <w:p w14:paraId="010C538D" w14:textId="77777777" w:rsidR="00624D25" w:rsidRPr="006F1EB3" w:rsidRDefault="00624D25" w:rsidP="00C17733">
            <w:pPr>
              <w:pStyle w:val="a3"/>
              <w:jc w:val="center"/>
              <w:rPr>
                <w:rFonts w:ascii="Tahoma" w:hAnsi="Tahoma" w:cs="Tahoma"/>
                <w:b/>
                <w:bCs/>
                <w:color w:val="000080"/>
                <w:rtl/>
              </w:rPr>
            </w:pPr>
            <w:bookmarkStart w:id="0" w:name="FirstLawyer"/>
            <w:bookmarkStart w:id="1" w:name="LastJudge"/>
            <w:r w:rsidRPr="006F1EB3">
              <w:rPr>
                <w:rFonts w:ascii="Tahoma" w:hAnsi="Tahoma" w:cs="Tahoma"/>
                <w:b/>
                <w:bCs/>
                <w:color w:val="000080"/>
                <w:rtl/>
              </w:rPr>
              <w:t>בית משפט השלום בבאר שבע</w:t>
            </w:r>
          </w:p>
          <w:p w14:paraId="50EDF27B" w14:textId="77777777" w:rsidR="00624D25" w:rsidRPr="006F1EB3" w:rsidRDefault="00624D25" w:rsidP="00C17733">
            <w:pPr>
              <w:pStyle w:val="a3"/>
              <w:jc w:val="center"/>
              <w:rPr>
                <w:rFonts w:ascii="Tahoma" w:hAnsi="Tahoma" w:cs="Tahoma"/>
                <w:color w:val="000080"/>
                <w:rtl/>
              </w:rPr>
            </w:pPr>
          </w:p>
        </w:tc>
      </w:tr>
      <w:tr w:rsidR="00624D25" w:rsidRPr="006F1EB3" w14:paraId="44A93740" w14:textId="77777777" w:rsidTr="00C17733">
        <w:trPr>
          <w:trHeight w:val="337"/>
          <w:jc w:val="center"/>
        </w:trPr>
        <w:tc>
          <w:tcPr>
            <w:tcW w:w="4473" w:type="dxa"/>
          </w:tcPr>
          <w:p w14:paraId="613A7E54" w14:textId="77777777" w:rsidR="00624D25" w:rsidRPr="006F1EB3" w:rsidRDefault="00624D25" w:rsidP="00C17733">
            <w:pPr>
              <w:rPr>
                <w:b/>
                <w:bCs/>
                <w:sz w:val="26"/>
                <w:szCs w:val="26"/>
                <w:rtl/>
              </w:rPr>
            </w:pPr>
          </w:p>
        </w:tc>
        <w:tc>
          <w:tcPr>
            <w:tcW w:w="4248" w:type="dxa"/>
          </w:tcPr>
          <w:p w14:paraId="1C0D415F" w14:textId="77777777" w:rsidR="00624D25" w:rsidRPr="006F1EB3" w:rsidRDefault="00624D25" w:rsidP="00C17733">
            <w:pPr>
              <w:pStyle w:val="a3"/>
              <w:jc w:val="right"/>
              <w:rPr>
                <w:b/>
                <w:bCs/>
                <w:sz w:val="26"/>
                <w:szCs w:val="26"/>
                <w:rtl/>
              </w:rPr>
            </w:pPr>
            <w:r w:rsidRPr="006F1EB3">
              <w:rPr>
                <w:rFonts w:hint="cs"/>
                <w:b/>
                <w:bCs/>
                <w:sz w:val="26"/>
                <w:szCs w:val="26"/>
                <w:rtl/>
              </w:rPr>
              <w:t>כ' אלול תשע"ז</w:t>
            </w:r>
          </w:p>
          <w:p w14:paraId="43919FB8" w14:textId="77777777" w:rsidR="00624D25" w:rsidRPr="006F1EB3" w:rsidRDefault="00624D25" w:rsidP="00C17733">
            <w:pPr>
              <w:pStyle w:val="a3"/>
              <w:jc w:val="right"/>
              <w:rPr>
                <w:b/>
                <w:bCs/>
                <w:sz w:val="26"/>
                <w:szCs w:val="26"/>
                <w:rtl/>
              </w:rPr>
            </w:pPr>
            <w:r w:rsidRPr="006F1EB3">
              <w:rPr>
                <w:rFonts w:hint="cs"/>
                <w:b/>
                <w:bCs/>
                <w:sz w:val="26"/>
                <w:szCs w:val="26"/>
                <w:rtl/>
              </w:rPr>
              <w:t>11 ספטמבר 2017</w:t>
            </w:r>
          </w:p>
        </w:tc>
      </w:tr>
      <w:tr w:rsidR="00624D25" w:rsidRPr="006F1EB3" w14:paraId="13789DD7" w14:textId="77777777" w:rsidTr="00C17733">
        <w:trPr>
          <w:trHeight w:val="337"/>
          <w:jc w:val="center"/>
        </w:trPr>
        <w:tc>
          <w:tcPr>
            <w:tcW w:w="8721" w:type="dxa"/>
            <w:gridSpan w:val="2"/>
          </w:tcPr>
          <w:p w14:paraId="2AB97130" w14:textId="77777777" w:rsidR="00624D25" w:rsidRPr="006F1EB3" w:rsidRDefault="006F1EB3" w:rsidP="00C17733">
            <w:pPr>
              <w:rPr>
                <w:b/>
                <w:bCs/>
                <w:sz w:val="26"/>
                <w:szCs w:val="26"/>
                <w:rtl/>
              </w:rPr>
            </w:pPr>
            <w:hyperlink r:id="rId7" w:history="1">
              <w:r w:rsidRPr="006F1EB3">
                <w:rPr>
                  <w:b/>
                  <w:bCs/>
                  <w:color w:val="0000FF"/>
                  <w:sz w:val="26"/>
                  <w:szCs w:val="26"/>
                  <w:u w:val="single"/>
                  <w:rtl/>
                </w:rPr>
                <w:t>ת"פ 32560-12-16</w:t>
              </w:r>
            </w:hyperlink>
            <w:r w:rsidR="00624D25" w:rsidRPr="006F1EB3">
              <w:rPr>
                <w:b/>
                <w:bCs/>
                <w:sz w:val="26"/>
                <w:szCs w:val="26"/>
                <w:rtl/>
              </w:rPr>
              <w:t xml:space="preserve"> מדינת ישראל נ' אלסראיעה</w:t>
            </w:r>
          </w:p>
          <w:p w14:paraId="2737F73C" w14:textId="77777777" w:rsidR="00624D25" w:rsidRPr="006F1EB3" w:rsidRDefault="00624D25" w:rsidP="00C17733">
            <w:pPr>
              <w:rPr>
                <w:rtl/>
              </w:rPr>
            </w:pPr>
          </w:p>
          <w:p w14:paraId="29148680" w14:textId="77777777" w:rsidR="00624D25" w:rsidRPr="006F1EB3" w:rsidRDefault="00624D25" w:rsidP="00C17733">
            <w:pPr>
              <w:rPr>
                <w:rtl/>
              </w:rPr>
            </w:pPr>
            <w:r w:rsidRPr="006F1EB3">
              <w:rPr>
                <w:rFonts w:hint="cs"/>
                <w:sz w:val="20"/>
                <w:szCs w:val="20"/>
                <w:rtl/>
              </w:rPr>
              <w:t>תיק חיצוני</w:t>
            </w:r>
            <w:r w:rsidRPr="006F1EB3">
              <w:rPr>
                <w:rFonts w:hint="cs"/>
                <w:rtl/>
              </w:rPr>
              <w:t xml:space="preserve">: </w:t>
            </w:r>
            <w:r w:rsidRPr="006F1EB3">
              <w:rPr>
                <w:sz w:val="20"/>
                <w:szCs w:val="20"/>
              </w:rPr>
              <w:t>7507/16</w:t>
            </w:r>
          </w:p>
        </w:tc>
      </w:tr>
    </w:tbl>
    <w:p w14:paraId="154C0392" w14:textId="77777777" w:rsidR="00624D25" w:rsidRPr="006F1EB3" w:rsidRDefault="00624D25" w:rsidP="00624D25">
      <w:pPr>
        <w:pStyle w:val="a3"/>
        <w:rPr>
          <w:rtl/>
        </w:rPr>
      </w:pPr>
      <w:r w:rsidRPr="006F1EB3">
        <w:rPr>
          <w:rtl/>
        </w:rPr>
        <w:t xml:space="preserve"> </w:t>
      </w:r>
    </w:p>
    <w:p w14:paraId="2031AFF0" w14:textId="77777777" w:rsidR="00624D25" w:rsidRPr="006F1EB3" w:rsidRDefault="00624D25" w:rsidP="00624D25">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624D25" w:rsidRPr="006F1EB3" w14:paraId="7E75143B" w14:textId="77777777" w:rsidTr="00624D25">
        <w:trPr>
          <w:jc w:val="center"/>
        </w:trPr>
        <w:tc>
          <w:tcPr>
            <w:tcW w:w="743" w:type="dxa"/>
            <w:shd w:val="clear" w:color="auto" w:fill="auto"/>
          </w:tcPr>
          <w:p w14:paraId="2D3750FF" w14:textId="77777777" w:rsidR="00624D25" w:rsidRPr="006F1EB3" w:rsidRDefault="00624D25" w:rsidP="00C17733">
            <w:pPr>
              <w:rPr>
                <w:rFonts w:ascii="Arial" w:hAnsi="Arial"/>
                <w:b/>
                <w:bCs/>
              </w:rPr>
            </w:pPr>
            <w:r w:rsidRPr="006F1EB3">
              <w:rPr>
                <w:rFonts w:ascii="Arial" w:hAnsi="Arial" w:hint="cs"/>
                <w:b/>
                <w:bCs/>
                <w:rtl/>
              </w:rPr>
              <w:t>לפני</w:t>
            </w:r>
          </w:p>
        </w:tc>
        <w:tc>
          <w:tcPr>
            <w:tcW w:w="8077" w:type="dxa"/>
            <w:gridSpan w:val="2"/>
            <w:shd w:val="clear" w:color="auto" w:fill="auto"/>
          </w:tcPr>
          <w:p w14:paraId="3E2B1310" w14:textId="77777777" w:rsidR="00624D25" w:rsidRPr="006F1EB3" w:rsidRDefault="00624D25" w:rsidP="00C17733">
            <w:pPr>
              <w:rPr>
                <w:rFonts w:ascii="Arial" w:hAnsi="Arial"/>
                <w:b/>
                <w:bCs/>
                <w:rtl/>
              </w:rPr>
            </w:pPr>
            <w:r w:rsidRPr="006F1EB3">
              <w:rPr>
                <w:rFonts w:ascii="Arial" w:hAnsi="Arial" w:hint="cs"/>
                <w:b/>
                <w:bCs/>
                <w:rtl/>
              </w:rPr>
              <w:t>כב' ה</w:t>
            </w:r>
            <w:r w:rsidRPr="006F1EB3">
              <w:rPr>
                <w:rFonts w:ascii="Arial" w:hAnsi="Arial"/>
                <w:b/>
                <w:bCs/>
                <w:rtl/>
              </w:rPr>
              <w:t>שופט</w:t>
            </w:r>
            <w:r w:rsidRPr="006F1EB3">
              <w:rPr>
                <w:rFonts w:ascii="Arial" w:hAnsi="Arial" w:hint="cs"/>
                <w:b/>
                <w:bCs/>
                <w:rtl/>
              </w:rPr>
              <w:t xml:space="preserve">  </w:t>
            </w:r>
            <w:r w:rsidRPr="006F1EB3">
              <w:rPr>
                <w:rFonts w:ascii="Arial" w:hAnsi="Arial"/>
                <w:b/>
                <w:bCs/>
                <w:rtl/>
              </w:rPr>
              <w:t>רון סולקין</w:t>
            </w:r>
          </w:p>
          <w:p w14:paraId="15873125" w14:textId="77777777" w:rsidR="00624D25" w:rsidRPr="006F1EB3" w:rsidRDefault="00624D25" w:rsidP="00C17733">
            <w:pPr>
              <w:rPr>
                <w:rFonts w:ascii="Arial" w:hAnsi="Arial" w:cs="FrankRuehl"/>
                <w:sz w:val="28"/>
                <w:szCs w:val="28"/>
                <w:highlight w:val="yellow"/>
              </w:rPr>
            </w:pPr>
          </w:p>
        </w:tc>
      </w:tr>
      <w:tr w:rsidR="00624D25" w:rsidRPr="006F1EB3" w14:paraId="0490B5A6" w14:textId="77777777" w:rsidTr="00624D25">
        <w:trPr>
          <w:jc w:val="center"/>
        </w:trPr>
        <w:tc>
          <w:tcPr>
            <w:tcW w:w="3249" w:type="dxa"/>
            <w:gridSpan w:val="2"/>
            <w:shd w:val="clear" w:color="auto" w:fill="auto"/>
          </w:tcPr>
          <w:p w14:paraId="6C9619AF" w14:textId="77777777" w:rsidR="00624D25" w:rsidRPr="006F1EB3" w:rsidRDefault="00624D25" w:rsidP="00624D25">
            <w:pPr>
              <w:bidi w:val="0"/>
              <w:rPr>
                <w:rFonts w:ascii="Arial" w:hAnsi="Arial"/>
                <w:b/>
                <w:bCs/>
                <w:sz w:val="26"/>
                <w:szCs w:val="26"/>
                <w:rtl/>
              </w:rPr>
            </w:pPr>
            <w:bookmarkStart w:id="2" w:name="FirstAppellant"/>
            <w:r w:rsidRPr="006F1EB3">
              <w:rPr>
                <w:rFonts w:ascii="Arial" w:hAnsi="Arial" w:hint="cs"/>
                <w:b/>
                <w:bCs/>
                <w:sz w:val="26"/>
                <w:szCs w:val="26"/>
                <w:rtl/>
              </w:rPr>
              <w:t>המאשימה</w:t>
            </w:r>
          </w:p>
        </w:tc>
        <w:tc>
          <w:tcPr>
            <w:tcW w:w="5571" w:type="dxa"/>
            <w:shd w:val="clear" w:color="auto" w:fill="auto"/>
          </w:tcPr>
          <w:p w14:paraId="55645153" w14:textId="77777777" w:rsidR="00624D25" w:rsidRPr="006F1EB3" w:rsidRDefault="00624D25" w:rsidP="00C17733">
            <w:pPr>
              <w:rPr>
                <w:b/>
                <w:bCs/>
                <w:sz w:val="26"/>
                <w:szCs w:val="26"/>
              </w:rPr>
            </w:pPr>
            <w:r w:rsidRPr="006F1EB3">
              <w:rPr>
                <w:rFonts w:ascii="Arial" w:hAnsi="Arial"/>
                <w:b/>
                <w:bCs/>
                <w:sz w:val="26"/>
                <w:szCs w:val="26"/>
                <w:rtl/>
              </w:rPr>
              <w:t>מדינת ישראל</w:t>
            </w:r>
            <w:r w:rsidRPr="006F1EB3">
              <w:rPr>
                <w:b/>
                <w:bCs/>
                <w:rtl/>
              </w:rPr>
              <w:t xml:space="preserve"> – פמ"</w:t>
            </w:r>
            <w:r w:rsidRPr="006F1EB3">
              <w:rPr>
                <w:rFonts w:hint="cs"/>
                <w:b/>
                <w:bCs/>
                <w:rtl/>
              </w:rPr>
              <w:t>ד</w:t>
            </w:r>
            <w:r w:rsidRPr="006F1EB3">
              <w:rPr>
                <w:b/>
                <w:bCs/>
                <w:rtl/>
              </w:rPr>
              <w:br/>
              <w:t>ע"י ב"כ עו"ד ברוך יעקובי</w:t>
            </w:r>
          </w:p>
        </w:tc>
      </w:tr>
      <w:bookmarkEnd w:id="2"/>
      <w:tr w:rsidR="00624D25" w:rsidRPr="006F1EB3" w14:paraId="4B8AC193" w14:textId="77777777" w:rsidTr="00624D25">
        <w:trPr>
          <w:jc w:val="center"/>
        </w:trPr>
        <w:tc>
          <w:tcPr>
            <w:tcW w:w="8820" w:type="dxa"/>
            <w:gridSpan w:val="3"/>
            <w:shd w:val="clear" w:color="auto" w:fill="auto"/>
          </w:tcPr>
          <w:p w14:paraId="3E954246" w14:textId="77777777" w:rsidR="00624D25" w:rsidRPr="006F1EB3" w:rsidRDefault="00624D25" w:rsidP="00C17733">
            <w:pPr>
              <w:rPr>
                <w:rFonts w:ascii="Arial" w:hAnsi="Arial"/>
                <w:b/>
                <w:bCs/>
                <w:sz w:val="26"/>
                <w:szCs w:val="26"/>
                <w:rtl/>
              </w:rPr>
            </w:pPr>
          </w:p>
          <w:p w14:paraId="7F1C4E45" w14:textId="77777777" w:rsidR="00624D25" w:rsidRPr="006F1EB3" w:rsidRDefault="00624D25" w:rsidP="00C17733">
            <w:pPr>
              <w:rPr>
                <w:rFonts w:ascii="Arial" w:hAnsi="Arial"/>
                <w:b/>
                <w:bCs/>
                <w:sz w:val="26"/>
                <w:szCs w:val="26"/>
                <w:rtl/>
              </w:rPr>
            </w:pPr>
            <w:r w:rsidRPr="006F1EB3">
              <w:rPr>
                <w:rFonts w:ascii="Arial" w:hAnsi="Arial"/>
                <w:b/>
                <w:bCs/>
                <w:sz w:val="26"/>
                <w:szCs w:val="26"/>
                <w:rtl/>
              </w:rPr>
              <w:t>נגד</w:t>
            </w:r>
          </w:p>
          <w:p w14:paraId="7BF39AE8" w14:textId="77777777" w:rsidR="00624D25" w:rsidRPr="006F1EB3" w:rsidRDefault="00624D25" w:rsidP="00C17733">
            <w:pPr>
              <w:rPr>
                <w:rFonts w:ascii="Arial" w:hAnsi="Arial"/>
                <w:b/>
                <w:bCs/>
                <w:sz w:val="26"/>
                <w:szCs w:val="26"/>
              </w:rPr>
            </w:pPr>
          </w:p>
        </w:tc>
      </w:tr>
      <w:tr w:rsidR="00624D25" w:rsidRPr="006F1EB3" w14:paraId="3D0C73EC" w14:textId="77777777" w:rsidTr="00624D25">
        <w:trPr>
          <w:jc w:val="center"/>
        </w:trPr>
        <w:tc>
          <w:tcPr>
            <w:tcW w:w="3249" w:type="dxa"/>
            <w:gridSpan w:val="2"/>
            <w:shd w:val="clear" w:color="auto" w:fill="auto"/>
          </w:tcPr>
          <w:p w14:paraId="2530F1A8" w14:textId="77777777" w:rsidR="00624D25" w:rsidRPr="006F1EB3" w:rsidRDefault="00624D25" w:rsidP="00C17733">
            <w:pPr>
              <w:rPr>
                <w:rFonts w:ascii="Arial" w:hAnsi="Arial"/>
                <w:b/>
                <w:bCs/>
                <w:sz w:val="26"/>
                <w:szCs w:val="26"/>
              </w:rPr>
            </w:pPr>
            <w:r w:rsidRPr="006F1EB3">
              <w:rPr>
                <w:rFonts w:ascii="Arial" w:hAnsi="Arial" w:hint="cs"/>
                <w:b/>
                <w:bCs/>
                <w:sz w:val="26"/>
                <w:szCs w:val="26"/>
                <w:rtl/>
              </w:rPr>
              <w:t>הנאשם</w:t>
            </w:r>
          </w:p>
        </w:tc>
        <w:tc>
          <w:tcPr>
            <w:tcW w:w="5571" w:type="dxa"/>
            <w:shd w:val="clear" w:color="auto" w:fill="auto"/>
          </w:tcPr>
          <w:p w14:paraId="61B377EC" w14:textId="77777777" w:rsidR="00624D25" w:rsidRPr="006F1EB3" w:rsidRDefault="00624D25" w:rsidP="00C17733">
            <w:pPr>
              <w:rPr>
                <w:b/>
                <w:bCs/>
                <w:sz w:val="26"/>
                <w:szCs w:val="26"/>
                <w:rtl/>
              </w:rPr>
            </w:pPr>
            <w:r w:rsidRPr="006F1EB3">
              <w:rPr>
                <w:rFonts w:ascii="Arial" w:hAnsi="Arial"/>
                <w:b/>
                <w:bCs/>
                <w:sz w:val="26"/>
                <w:szCs w:val="26"/>
                <w:rtl/>
              </w:rPr>
              <w:t>עיס</w:t>
            </w:r>
            <w:r w:rsidRPr="006F1EB3">
              <w:rPr>
                <w:rFonts w:ascii="Arial" w:hAnsi="Arial" w:hint="cs"/>
                <w:b/>
                <w:bCs/>
                <w:sz w:val="26"/>
                <w:szCs w:val="26"/>
                <w:rtl/>
              </w:rPr>
              <w:t>א</w:t>
            </w:r>
            <w:r w:rsidRPr="006F1EB3">
              <w:rPr>
                <w:rFonts w:ascii="Arial" w:hAnsi="Arial"/>
                <w:b/>
                <w:bCs/>
                <w:sz w:val="26"/>
                <w:szCs w:val="26"/>
                <w:rtl/>
              </w:rPr>
              <w:t xml:space="preserve">ם </w:t>
            </w:r>
            <w:r w:rsidRPr="006F1EB3">
              <w:rPr>
                <w:rFonts w:ascii="Arial" w:hAnsi="Arial" w:hint="cs"/>
                <w:b/>
                <w:bCs/>
                <w:sz w:val="26"/>
                <w:szCs w:val="26"/>
                <w:rtl/>
              </w:rPr>
              <w:t xml:space="preserve">בן עטוה </w:t>
            </w:r>
            <w:r w:rsidRPr="006F1EB3">
              <w:rPr>
                <w:rFonts w:ascii="Arial" w:hAnsi="Arial"/>
                <w:b/>
                <w:bCs/>
                <w:sz w:val="26"/>
                <w:szCs w:val="26"/>
                <w:rtl/>
              </w:rPr>
              <w:t>אלסראיעה</w:t>
            </w:r>
            <w:r w:rsidRPr="006F1EB3">
              <w:rPr>
                <w:b/>
                <w:bCs/>
                <w:rtl/>
              </w:rPr>
              <w:br/>
            </w:r>
            <w:r w:rsidRPr="006F1EB3">
              <w:rPr>
                <w:rFonts w:hint="cs"/>
                <w:b/>
                <w:bCs/>
                <w:rtl/>
              </w:rPr>
              <w:t>ע"י ב"כ עו"ד נאסר אלעטאונה</w:t>
            </w:r>
          </w:p>
        </w:tc>
      </w:tr>
    </w:tbl>
    <w:p w14:paraId="21C800C0" w14:textId="77777777" w:rsidR="000F0715" w:rsidRDefault="000F0715" w:rsidP="00624D25">
      <w:pPr>
        <w:suppressLineNumbers/>
        <w:rPr>
          <w:rtl/>
        </w:rPr>
      </w:pPr>
      <w:bookmarkStart w:id="3" w:name="LawTable"/>
      <w:bookmarkEnd w:id="3"/>
    </w:p>
    <w:p w14:paraId="10D17B54" w14:textId="77777777" w:rsidR="000F0715" w:rsidRPr="000F0715" w:rsidRDefault="000F0715" w:rsidP="000F0715">
      <w:pPr>
        <w:suppressLineNumbers/>
        <w:spacing w:after="120" w:line="240" w:lineRule="exact"/>
        <w:ind w:left="283" w:hanging="283"/>
        <w:jc w:val="both"/>
        <w:rPr>
          <w:rFonts w:ascii="FrankRuehl" w:hAnsi="FrankRuehl" w:cs="FrankRuehl"/>
          <w:rtl/>
        </w:rPr>
      </w:pPr>
    </w:p>
    <w:p w14:paraId="4F74F41F" w14:textId="77777777" w:rsidR="000F0715" w:rsidRPr="000F0715" w:rsidRDefault="000F0715" w:rsidP="000F0715">
      <w:pPr>
        <w:suppressLineNumbers/>
        <w:spacing w:after="120" w:line="240" w:lineRule="exact"/>
        <w:ind w:left="283" w:hanging="283"/>
        <w:jc w:val="both"/>
        <w:rPr>
          <w:rFonts w:ascii="FrankRuehl" w:hAnsi="FrankRuehl" w:cs="FrankRuehl"/>
          <w:rtl/>
        </w:rPr>
      </w:pPr>
      <w:r w:rsidRPr="000F0715">
        <w:rPr>
          <w:rFonts w:ascii="FrankRuehl" w:hAnsi="FrankRuehl" w:cs="FrankRuehl"/>
          <w:rtl/>
        </w:rPr>
        <w:t xml:space="preserve">חקיקה שאוזכרה: </w:t>
      </w:r>
    </w:p>
    <w:p w14:paraId="54C6225A" w14:textId="77777777" w:rsidR="000F0715" w:rsidRPr="000F0715" w:rsidRDefault="000F0715" w:rsidP="000F0715">
      <w:pPr>
        <w:suppressLineNumbers/>
        <w:spacing w:after="120" w:line="240" w:lineRule="exact"/>
        <w:ind w:left="283" w:hanging="283"/>
        <w:jc w:val="both"/>
        <w:rPr>
          <w:rFonts w:ascii="FrankRuehl" w:hAnsi="FrankRuehl" w:cs="FrankRuehl"/>
          <w:rtl/>
        </w:rPr>
      </w:pPr>
      <w:hyperlink r:id="rId8" w:history="1">
        <w:r w:rsidRPr="000F0715">
          <w:rPr>
            <w:rFonts w:ascii="FrankRuehl" w:hAnsi="FrankRuehl" w:cs="FrankRuehl"/>
            <w:color w:val="0000FF"/>
            <w:u w:val="single"/>
            <w:rtl/>
          </w:rPr>
          <w:t>חוק העונשין, תשל"ז-1977</w:t>
        </w:r>
      </w:hyperlink>
      <w:r w:rsidRPr="000F0715">
        <w:rPr>
          <w:rFonts w:ascii="FrankRuehl" w:hAnsi="FrankRuehl" w:cs="FrankRuehl"/>
          <w:rtl/>
        </w:rPr>
        <w:t xml:space="preserve">: סע'  </w:t>
      </w:r>
      <w:hyperlink r:id="rId9" w:history="1">
        <w:r w:rsidRPr="000F0715">
          <w:rPr>
            <w:rFonts w:ascii="FrankRuehl" w:hAnsi="FrankRuehl" w:cs="FrankRuehl"/>
            <w:color w:val="0000FF"/>
            <w:u w:val="single"/>
            <w:rtl/>
          </w:rPr>
          <w:t>25</w:t>
        </w:r>
      </w:hyperlink>
      <w:r w:rsidRPr="000F0715">
        <w:rPr>
          <w:rFonts w:ascii="FrankRuehl" w:hAnsi="FrankRuehl" w:cs="FrankRuehl"/>
          <w:rtl/>
        </w:rPr>
        <w:t xml:space="preserve">, </w:t>
      </w:r>
      <w:hyperlink r:id="rId10" w:history="1">
        <w:r w:rsidRPr="000F0715">
          <w:rPr>
            <w:rFonts w:ascii="FrankRuehl" w:hAnsi="FrankRuehl" w:cs="FrankRuehl"/>
            <w:color w:val="0000FF"/>
            <w:u w:val="single"/>
            <w:rtl/>
          </w:rPr>
          <w:t>34 ד'</w:t>
        </w:r>
      </w:hyperlink>
      <w:r w:rsidRPr="000F0715">
        <w:rPr>
          <w:rFonts w:ascii="FrankRuehl" w:hAnsi="FrankRuehl" w:cs="FrankRuehl"/>
          <w:rtl/>
        </w:rPr>
        <w:t xml:space="preserve">, </w:t>
      </w:r>
      <w:hyperlink r:id="rId11" w:history="1">
        <w:r w:rsidRPr="000F0715">
          <w:rPr>
            <w:rFonts w:ascii="FrankRuehl" w:hAnsi="FrankRuehl" w:cs="FrankRuehl"/>
            <w:color w:val="0000FF"/>
            <w:u w:val="single"/>
            <w:rtl/>
          </w:rPr>
          <w:t>144(א)</w:t>
        </w:r>
      </w:hyperlink>
      <w:r w:rsidRPr="000F0715">
        <w:rPr>
          <w:rFonts w:ascii="FrankRuehl" w:hAnsi="FrankRuehl" w:cs="FrankRuehl"/>
          <w:rtl/>
        </w:rPr>
        <w:t xml:space="preserve">, </w:t>
      </w:r>
      <w:hyperlink r:id="rId12" w:history="1">
        <w:r w:rsidRPr="000F0715">
          <w:rPr>
            <w:rFonts w:ascii="FrankRuehl" w:hAnsi="FrankRuehl" w:cs="FrankRuehl"/>
            <w:color w:val="0000FF"/>
            <w:u w:val="single"/>
            <w:rtl/>
          </w:rPr>
          <w:t>144(ב)</w:t>
        </w:r>
      </w:hyperlink>
      <w:r w:rsidRPr="000F0715">
        <w:rPr>
          <w:rFonts w:ascii="FrankRuehl" w:hAnsi="FrankRuehl" w:cs="FrankRuehl"/>
          <w:rtl/>
        </w:rPr>
        <w:t xml:space="preserve">, </w:t>
      </w:r>
      <w:hyperlink r:id="rId13" w:history="1">
        <w:r w:rsidRPr="000F0715">
          <w:rPr>
            <w:rFonts w:ascii="FrankRuehl" w:hAnsi="FrankRuehl" w:cs="FrankRuehl"/>
            <w:color w:val="0000FF"/>
            <w:u w:val="single"/>
            <w:rtl/>
          </w:rPr>
          <w:t>186</w:t>
        </w:r>
      </w:hyperlink>
      <w:r w:rsidRPr="000F0715">
        <w:rPr>
          <w:rFonts w:ascii="FrankRuehl" w:hAnsi="FrankRuehl" w:cs="FrankRuehl"/>
          <w:rtl/>
        </w:rPr>
        <w:t xml:space="preserve">, </w:t>
      </w:r>
      <w:hyperlink r:id="rId14" w:history="1">
        <w:r w:rsidRPr="000F0715">
          <w:rPr>
            <w:rFonts w:ascii="FrankRuehl" w:hAnsi="FrankRuehl" w:cs="FrankRuehl"/>
            <w:color w:val="0000FF"/>
            <w:u w:val="single"/>
            <w:rtl/>
          </w:rPr>
          <w:t>א'</w:t>
        </w:r>
      </w:hyperlink>
      <w:r w:rsidRPr="000F0715">
        <w:rPr>
          <w:rFonts w:ascii="FrankRuehl" w:hAnsi="FrankRuehl" w:cs="FrankRuehl"/>
          <w:rtl/>
        </w:rPr>
        <w:t xml:space="preserve">, </w:t>
      </w:r>
      <w:hyperlink r:id="rId15" w:history="1">
        <w:r w:rsidRPr="000F0715">
          <w:rPr>
            <w:rFonts w:ascii="FrankRuehl" w:hAnsi="FrankRuehl" w:cs="FrankRuehl"/>
            <w:color w:val="0000FF"/>
            <w:u w:val="single"/>
            <w:rtl/>
          </w:rPr>
          <w:t>פרק ח'</w:t>
        </w:r>
      </w:hyperlink>
    </w:p>
    <w:p w14:paraId="5020AF69" w14:textId="77777777" w:rsidR="00624D25" w:rsidRPr="006F1EB3" w:rsidRDefault="00624D25" w:rsidP="00624D25">
      <w:pPr>
        <w:suppressLineNumbers/>
      </w:pPr>
    </w:p>
    <w:tbl>
      <w:tblPr>
        <w:bidiVisual/>
        <w:tblW w:w="8820" w:type="dxa"/>
        <w:jc w:val="center"/>
        <w:tblLook w:val="01E0" w:firstRow="1" w:lastRow="1" w:firstColumn="1" w:lastColumn="1" w:noHBand="0" w:noVBand="0"/>
      </w:tblPr>
      <w:tblGrid>
        <w:gridCol w:w="8820"/>
      </w:tblGrid>
      <w:tr w:rsidR="00624D25" w14:paraId="2C2E033C" w14:textId="77777777" w:rsidTr="00624D25">
        <w:trPr>
          <w:jc w:val="center"/>
        </w:trPr>
        <w:tc>
          <w:tcPr>
            <w:tcW w:w="8820" w:type="dxa"/>
            <w:shd w:val="clear" w:color="auto" w:fill="auto"/>
          </w:tcPr>
          <w:p w14:paraId="10F62B62" w14:textId="77777777" w:rsidR="006F1EB3" w:rsidRPr="006F1EB3" w:rsidRDefault="006F1EB3" w:rsidP="006F1EB3">
            <w:pPr>
              <w:bidi w:val="0"/>
              <w:jc w:val="center"/>
              <w:rPr>
                <w:rFonts w:ascii="Arial" w:hAnsi="Arial"/>
                <w:b/>
                <w:bCs/>
                <w:sz w:val="28"/>
                <w:szCs w:val="28"/>
                <w:u w:val="single"/>
                <w:rtl/>
              </w:rPr>
            </w:pPr>
            <w:bookmarkStart w:id="4" w:name="PsakDin" w:colFirst="0" w:colLast="0"/>
            <w:bookmarkEnd w:id="0"/>
            <w:bookmarkEnd w:id="1"/>
            <w:r w:rsidRPr="006F1EB3">
              <w:rPr>
                <w:rFonts w:ascii="Arial" w:hAnsi="Arial"/>
                <w:b/>
                <w:bCs/>
                <w:sz w:val="28"/>
                <w:szCs w:val="28"/>
                <w:u w:val="single"/>
                <w:rtl/>
              </w:rPr>
              <w:t>גזר דין</w:t>
            </w:r>
          </w:p>
          <w:p w14:paraId="4EEB1914" w14:textId="77777777" w:rsidR="00624D25" w:rsidRPr="006F1EB3" w:rsidRDefault="00624D25" w:rsidP="006F1EB3">
            <w:pPr>
              <w:bidi w:val="0"/>
              <w:jc w:val="center"/>
              <w:rPr>
                <w:rFonts w:ascii="Arial" w:hAnsi="Arial"/>
                <w:b/>
                <w:bCs/>
                <w:sz w:val="28"/>
                <w:szCs w:val="28"/>
                <w:u w:val="single"/>
              </w:rPr>
            </w:pPr>
          </w:p>
        </w:tc>
      </w:tr>
      <w:bookmarkEnd w:id="4"/>
    </w:tbl>
    <w:p w14:paraId="7C3EEF02" w14:textId="77777777" w:rsidR="00624D25" w:rsidRDefault="00624D25" w:rsidP="00624D25">
      <w:pPr>
        <w:spacing w:line="360" w:lineRule="auto"/>
        <w:rPr>
          <w:rFonts w:ascii="Arial" w:hAnsi="Arial"/>
          <w:rtl/>
        </w:rPr>
      </w:pPr>
    </w:p>
    <w:p w14:paraId="1564143E" w14:textId="77777777" w:rsidR="00624D25" w:rsidRDefault="00624D25" w:rsidP="00624D25">
      <w:pPr>
        <w:rPr>
          <w:rFonts w:ascii="Arial" w:hAnsi="Arial"/>
          <w:rtl/>
        </w:rPr>
      </w:pPr>
    </w:p>
    <w:p w14:paraId="3B695362" w14:textId="77777777" w:rsidR="00624D25" w:rsidRPr="004D0400" w:rsidRDefault="00624D25" w:rsidP="00624D25">
      <w:pPr>
        <w:rPr>
          <w:rFonts w:ascii="Arial" w:hAnsi="Arial"/>
          <w:b/>
          <w:bCs/>
          <w:rtl/>
        </w:rPr>
      </w:pPr>
      <w:bookmarkStart w:id="5" w:name="ABSTRACT_START"/>
      <w:bookmarkEnd w:id="5"/>
      <w:r>
        <w:rPr>
          <w:rFonts w:ascii="Arial" w:hAnsi="Arial" w:hint="cs"/>
          <w:b/>
          <w:bCs/>
          <w:rtl/>
        </w:rPr>
        <w:t>כתב האישום והסדר הטיעון</w:t>
      </w:r>
    </w:p>
    <w:p w14:paraId="52B0ADAB" w14:textId="77777777" w:rsidR="00624D25" w:rsidRDefault="00624D25" w:rsidP="00624D25">
      <w:pPr>
        <w:rPr>
          <w:rFonts w:ascii="Arial" w:hAnsi="Arial"/>
          <w:rtl/>
        </w:rPr>
      </w:pPr>
    </w:p>
    <w:p w14:paraId="5F035582" w14:textId="77777777" w:rsidR="00624D25" w:rsidRDefault="00624D25" w:rsidP="00624D25">
      <w:pPr>
        <w:rPr>
          <w:rFonts w:ascii="Calibri" w:hAnsi="Calibri"/>
          <w:rtl/>
        </w:rPr>
      </w:pPr>
      <w:r>
        <w:rPr>
          <w:rFonts w:ascii="Arial" w:hAnsi="Arial" w:hint="cs"/>
          <w:rtl/>
        </w:rPr>
        <w:t xml:space="preserve">הנאשם שלפני נותן את הדין בגין ביצוע עבירות של רכישה ואחזקה של נשק ותחמושת, שלא כדין, בניגוד </w:t>
      </w:r>
      <w:hyperlink r:id="rId16" w:history="1">
        <w:r w:rsidR="000F0715" w:rsidRPr="000F0715">
          <w:rPr>
            <w:rFonts w:ascii="Arial" w:hAnsi="Arial"/>
            <w:color w:val="0000FF"/>
            <w:u w:val="single"/>
            <w:rtl/>
          </w:rPr>
          <w:t>לסעיף 144(א)</w:t>
        </w:r>
      </w:hyperlink>
      <w:r>
        <w:rPr>
          <w:rFonts w:ascii="Arial" w:hAnsi="Arial" w:hint="cs"/>
          <w:rtl/>
        </w:rPr>
        <w:t xml:space="preserve"> רישא וסיפא </w:t>
      </w:r>
      <w:r>
        <w:rPr>
          <w:rFonts w:ascii="Calibri" w:hAnsi="Calibri" w:hint="cs"/>
          <w:rtl/>
        </w:rPr>
        <w:t>ל</w:t>
      </w:r>
      <w:hyperlink r:id="rId17" w:history="1">
        <w:r w:rsidR="006F1EB3" w:rsidRPr="006F1EB3">
          <w:rPr>
            <w:rFonts w:ascii="Calibri" w:hAnsi="Calibri" w:hint="eastAsia"/>
            <w:color w:val="0000FF"/>
            <w:u w:val="single"/>
            <w:rtl/>
          </w:rPr>
          <w:t>חוק</w:t>
        </w:r>
        <w:r w:rsidR="006F1EB3" w:rsidRPr="006F1EB3">
          <w:rPr>
            <w:rFonts w:ascii="Calibri" w:hAnsi="Calibri"/>
            <w:color w:val="0000FF"/>
            <w:u w:val="single"/>
            <w:rtl/>
          </w:rPr>
          <w:t xml:space="preserve"> </w:t>
        </w:r>
        <w:r w:rsidR="006F1EB3" w:rsidRPr="006F1EB3">
          <w:rPr>
            <w:rFonts w:ascii="Calibri" w:hAnsi="Calibri" w:hint="eastAsia"/>
            <w:color w:val="0000FF"/>
            <w:u w:val="single"/>
            <w:rtl/>
          </w:rPr>
          <w:t>העונשין</w:t>
        </w:r>
      </w:hyperlink>
      <w:r w:rsidRPr="00527DA7">
        <w:rPr>
          <w:rFonts w:ascii="Calibri" w:hAnsi="Calibri"/>
          <w:rtl/>
        </w:rPr>
        <w:t xml:space="preserve">, </w:t>
      </w:r>
      <w:r w:rsidRPr="00527DA7">
        <w:rPr>
          <w:rFonts w:ascii="Calibri" w:hAnsi="Calibri" w:hint="eastAsia"/>
          <w:rtl/>
        </w:rPr>
        <w:t>תשל</w:t>
      </w:r>
      <w:r w:rsidRPr="00527DA7">
        <w:rPr>
          <w:rFonts w:ascii="Calibri" w:hAnsi="Calibri"/>
          <w:rtl/>
        </w:rPr>
        <w:t>"</w:t>
      </w:r>
      <w:r w:rsidRPr="00527DA7">
        <w:rPr>
          <w:rFonts w:ascii="Calibri" w:hAnsi="Calibri" w:hint="eastAsia"/>
          <w:rtl/>
        </w:rPr>
        <w:t>ז</w:t>
      </w:r>
      <w:r>
        <w:rPr>
          <w:rFonts w:ascii="Calibri" w:hAnsi="Calibri" w:hint="cs"/>
          <w:rtl/>
        </w:rPr>
        <w:t>-</w:t>
      </w:r>
      <w:r w:rsidRPr="00527DA7">
        <w:rPr>
          <w:rFonts w:ascii="Calibri" w:hAnsi="Calibri"/>
          <w:rtl/>
        </w:rPr>
        <w:t>19</w:t>
      </w:r>
      <w:r>
        <w:rPr>
          <w:rFonts w:ascii="Calibri" w:hAnsi="Calibri"/>
          <w:rtl/>
        </w:rPr>
        <w:t>77</w:t>
      </w:r>
      <w:r>
        <w:rPr>
          <w:rFonts w:ascii="Calibri" w:hAnsi="Calibri" w:hint="cs"/>
          <w:rtl/>
        </w:rPr>
        <w:t xml:space="preserve">; נסיון לאחזקת נשק, בניגוד </w:t>
      </w:r>
      <w:hyperlink r:id="rId18" w:history="1">
        <w:r w:rsidR="000F0715" w:rsidRPr="000F0715">
          <w:rPr>
            <w:rFonts w:ascii="Calibri" w:hAnsi="Calibri" w:hint="eastAsia"/>
            <w:color w:val="0000FF"/>
            <w:u w:val="single"/>
            <w:rtl/>
          </w:rPr>
          <w:t>לסעיף</w:t>
        </w:r>
        <w:r w:rsidR="000F0715" w:rsidRPr="000F0715">
          <w:rPr>
            <w:rFonts w:ascii="Calibri" w:hAnsi="Calibri"/>
            <w:color w:val="0000FF"/>
            <w:u w:val="single"/>
            <w:rtl/>
          </w:rPr>
          <w:t xml:space="preserve"> 144(</w:t>
        </w:r>
        <w:r w:rsidR="000F0715" w:rsidRPr="000F0715">
          <w:rPr>
            <w:rFonts w:ascii="Calibri" w:hAnsi="Calibri" w:hint="eastAsia"/>
            <w:color w:val="0000FF"/>
            <w:u w:val="single"/>
            <w:rtl/>
          </w:rPr>
          <w:t>א</w:t>
        </w:r>
        <w:r w:rsidR="000F0715" w:rsidRPr="000F0715">
          <w:rPr>
            <w:rFonts w:ascii="Calibri" w:hAnsi="Calibri"/>
            <w:color w:val="0000FF"/>
            <w:u w:val="single"/>
            <w:rtl/>
          </w:rPr>
          <w:t>)</w:t>
        </w:r>
      </w:hyperlink>
      <w:r>
        <w:rPr>
          <w:rFonts w:ascii="Calibri" w:hAnsi="Calibri" w:hint="cs"/>
          <w:rtl/>
        </w:rPr>
        <w:t xml:space="preserve"> רישא, ביחד עם </w:t>
      </w:r>
      <w:hyperlink r:id="rId19" w:history="1">
        <w:r w:rsidR="000F0715" w:rsidRPr="000F0715">
          <w:rPr>
            <w:rFonts w:ascii="Calibri" w:hAnsi="Calibri" w:hint="eastAsia"/>
            <w:color w:val="0000FF"/>
            <w:u w:val="single"/>
            <w:rtl/>
          </w:rPr>
          <w:t>סעיף</w:t>
        </w:r>
        <w:r w:rsidR="000F0715" w:rsidRPr="000F0715">
          <w:rPr>
            <w:rFonts w:ascii="Calibri" w:hAnsi="Calibri"/>
            <w:color w:val="0000FF"/>
            <w:u w:val="single"/>
            <w:rtl/>
          </w:rPr>
          <w:t xml:space="preserve"> 25</w:t>
        </w:r>
      </w:hyperlink>
      <w:r>
        <w:rPr>
          <w:rFonts w:ascii="Calibri" w:hAnsi="Calibri" w:hint="cs"/>
          <w:rtl/>
        </w:rPr>
        <w:t xml:space="preserve"> לאותו חוק.</w:t>
      </w:r>
    </w:p>
    <w:p w14:paraId="1DF434A5" w14:textId="77777777" w:rsidR="00624D25" w:rsidRDefault="00624D25" w:rsidP="00624D25">
      <w:pPr>
        <w:rPr>
          <w:rFonts w:ascii="Calibri" w:hAnsi="Calibri"/>
          <w:rtl/>
        </w:rPr>
      </w:pPr>
    </w:p>
    <w:p w14:paraId="3C945E4E" w14:textId="77777777" w:rsidR="00624D25" w:rsidRDefault="00624D25" w:rsidP="00624D25">
      <w:pPr>
        <w:rPr>
          <w:rFonts w:ascii="Calibri" w:hAnsi="Calibri"/>
          <w:rtl/>
        </w:rPr>
      </w:pPr>
      <w:r>
        <w:rPr>
          <w:rFonts w:ascii="Calibri" w:hAnsi="Calibri" w:hint="cs"/>
          <w:rtl/>
        </w:rPr>
        <w:t xml:space="preserve">בהתאם לעובדות כתב האישום המתוקן כא/1, בהן הודה הנאשם במסגרת הסדר טיעון, בהיותו אזרח ישראלי, תושב הישוב חורה בנגב, רכש, במועד שאינו ידוע במדויק לתביעה, מאדם אחר, שזהותו לא בוררה, אקדח חצי אוטומטי מסוג "ברטה", קליבר </w:t>
      </w:r>
      <w:r>
        <w:rPr>
          <w:rFonts w:ascii="Calibri" w:hAnsi="Calibri" w:hint="cs"/>
        </w:rPr>
        <w:t>LR</w:t>
      </w:r>
      <w:r>
        <w:rPr>
          <w:rFonts w:ascii="Calibri" w:hAnsi="Calibri" w:hint="cs"/>
          <w:rtl/>
        </w:rPr>
        <w:t xml:space="preserve">22, מספר סידורי </w:t>
      </w:r>
      <w:r>
        <w:rPr>
          <w:rFonts w:ascii="Calibri" w:hAnsi="Calibri" w:hint="cs"/>
        </w:rPr>
        <w:t>A87692U</w:t>
      </w:r>
      <w:r>
        <w:rPr>
          <w:rFonts w:ascii="Calibri" w:hAnsi="Calibri" w:hint="cs"/>
          <w:rtl/>
        </w:rPr>
        <w:t xml:space="preserve">. האקדח. כן רכש תת מקלע מאולתר המכונה "קרל גוסטב", הכל בתמורה לסך בן 11,000 </w:t>
      </w:r>
      <w:r>
        <w:rPr>
          <w:rFonts w:ascii="Calibri" w:hAnsi="Calibri" w:hint="eastAsia"/>
          <w:rtl/>
        </w:rPr>
        <w:t>₪</w:t>
      </w:r>
      <w:r>
        <w:rPr>
          <w:rFonts w:ascii="Calibri" w:hAnsi="Calibri" w:hint="cs"/>
          <w:rtl/>
        </w:rPr>
        <w:t xml:space="preserve">. </w:t>
      </w:r>
    </w:p>
    <w:p w14:paraId="22F2B14D" w14:textId="77777777" w:rsidR="00624D25" w:rsidRDefault="00624D25" w:rsidP="00624D25">
      <w:pPr>
        <w:rPr>
          <w:rFonts w:ascii="Calibri" w:hAnsi="Calibri"/>
          <w:rtl/>
        </w:rPr>
      </w:pPr>
      <w:bookmarkStart w:id="6" w:name="ABSTRACT_END"/>
      <w:bookmarkEnd w:id="6"/>
    </w:p>
    <w:p w14:paraId="53889E14" w14:textId="77777777" w:rsidR="00624D25" w:rsidRDefault="00624D25" w:rsidP="00624D25">
      <w:pPr>
        <w:rPr>
          <w:rFonts w:ascii="Calibri" w:hAnsi="Calibri"/>
          <w:rtl/>
        </w:rPr>
      </w:pPr>
      <w:r>
        <w:rPr>
          <w:rFonts w:ascii="Calibri" w:hAnsi="Calibri" w:hint="cs"/>
          <w:rtl/>
        </w:rPr>
        <w:t>את כלי הנשק החזיק הנאשם בביתו: האקדח הוחזק, ביחד עם שתי מחסניות ובכל אחת מהן 20 כדורים 9 מ"מ, בתוך גרב הנתונה בקופסת נעליים בארון בחדר השינה; תת המקלע הוחזק מכוסה במגבת, מתחת לארון בחדר השינה.</w:t>
      </w:r>
      <w:r>
        <w:rPr>
          <w:rFonts w:ascii="Calibri" w:hAnsi="Calibri"/>
          <w:rtl/>
        </w:rPr>
        <w:br/>
      </w:r>
    </w:p>
    <w:p w14:paraId="3B254D91" w14:textId="77777777" w:rsidR="00624D25" w:rsidRDefault="00624D25" w:rsidP="00624D25">
      <w:pPr>
        <w:rPr>
          <w:rFonts w:ascii="Calibri" w:hAnsi="Calibri"/>
          <w:rtl/>
        </w:rPr>
      </w:pPr>
      <w:r>
        <w:rPr>
          <w:rFonts w:ascii="Calibri" w:hAnsi="Calibri" w:hint="cs"/>
          <w:rtl/>
        </w:rPr>
        <w:t>כלי הנשק והתחמושת הוחזקו על ידי הנאשם שלא כדין.</w:t>
      </w:r>
    </w:p>
    <w:p w14:paraId="211D8786" w14:textId="77777777" w:rsidR="00624D25" w:rsidRDefault="00624D25" w:rsidP="00624D25">
      <w:pPr>
        <w:rPr>
          <w:rFonts w:ascii="Calibri" w:hAnsi="Calibri"/>
          <w:rtl/>
        </w:rPr>
      </w:pPr>
    </w:p>
    <w:p w14:paraId="04E4DCFA" w14:textId="77777777" w:rsidR="00624D25" w:rsidRDefault="00624D25" w:rsidP="00624D25">
      <w:pPr>
        <w:rPr>
          <w:rFonts w:ascii="Calibri" w:hAnsi="Calibri"/>
          <w:rtl/>
        </w:rPr>
      </w:pPr>
      <w:r>
        <w:rPr>
          <w:rFonts w:ascii="Calibri" w:hAnsi="Calibri" w:hint="cs"/>
          <w:rtl/>
        </w:rPr>
        <w:t>האקדח שהוחזק על ידו היה ללא הנוקר, כך שלא היה כשיר לירי.</w:t>
      </w:r>
    </w:p>
    <w:p w14:paraId="5AFE0643" w14:textId="77777777" w:rsidR="00624D25" w:rsidRDefault="00624D25" w:rsidP="00624D25">
      <w:pPr>
        <w:rPr>
          <w:rFonts w:ascii="Calibri" w:hAnsi="Calibri"/>
          <w:rtl/>
        </w:rPr>
      </w:pPr>
    </w:p>
    <w:p w14:paraId="5E430EF5" w14:textId="77777777" w:rsidR="00624D25" w:rsidRDefault="00624D25" w:rsidP="00624D25">
      <w:pPr>
        <w:rPr>
          <w:rFonts w:ascii="Calibri" w:hAnsi="Calibri"/>
          <w:rtl/>
        </w:rPr>
      </w:pPr>
      <w:r>
        <w:rPr>
          <w:rFonts w:ascii="Calibri" w:hAnsi="Calibri" w:hint="cs"/>
          <w:rtl/>
        </w:rPr>
        <w:t xml:space="preserve">מפאת העובדה שהאקדח נתפס ללא הנוקר </w:t>
      </w:r>
      <w:r>
        <w:rPr>
          <w:rFonts w:ascii="Calibri" w:hAnsi="Calibri"/>
          <w:rtl/>
        </w:rPr>
        <w:t>–</w:t>
      </w:r>
      <w:r>
        <w:rPr>
          <w:rFonts w:ascii="Calibri" w:hAnsi="Calibri" w:hint="cs"/>
          <w:rtl/>
        </w:rPr>
        <w:t xml:space="preserve"> תוקן כתב האישום כך שהנאשם הורשע בגין אחזקתו, בעבירת נסיון בלבד, ואילו בגין אחזקת תת המקלע והתחמושת </w:t>
      </w:r>
      <w:r>
        <w:rPr>
          <w:rFonts w:ascii="Calibri" w:hAnsi="Calibri"/>
          <w:rtl/>
        </w:rPr>
        <w:t>–</w:t>
      </w:r>
      <w:r>
        <w:rPr>
          <w:rFonts w:ascii="Calibri" w:hAnsi="Calibri" w:hint="cs"/>
          <w:rtl/>
        </w:rPr>
        <w:t xml:space="preserve"> בעבירה מוגמרת.</w:t>
      </w:r>
    </w:p>
    <w:p w14:paraId="4DA1A5F1" w14:textId="77777777" w:rsidR="00624D25" w:rsidRDefault="00624D25" w:rsidP="00624D25">
      <w:pPr>
        <w:rPr>
          <w:rFonts w:ascii="Calibri" w:hAnsi="Calibri"/>
          <w:rtl/>
        </w:rPr>
      </w:pPr>
    </w:p>
    <w:p w14:paraId="4D67FFB1" w14:textId="77777777" w:rsidR="00624D25" w:rsidRDefault="00624D25" w:rsidP="00624D25">
      <w:pPr>
        <w:rPr>
          <w:rFonts w:ascii="Calibri" w:hAnsi="Calibri"/>
          <w:rtl/>
        </w:rPr>
      </w:pPr>
      <w:r>
        <w:rPr>
          <w:rFonts w:ascii="Calibri" w:hAnsi="Calibri" w:hint="cs"/>
          <w:rtl/>
        </w:rPr>
        <w:t>בין הצדדים נקשר הסדר, במסגרתו תוקן כתב האישום כאמור לעיל והנאשם הופנה לחקירת שירות המבחן למבוגרים.</w:t>
      </w:r>
    </w:p>
    <w:p w14:paraId="29C90DC8" w14:textId="77777777" w:rsidR="00624D25" w:rsidRDefault="00624D25" w:rsidP="00624D25">
      <w:pPr>
        <w:rPr>
          <w:rFonts w:ascii="Calibri" w:hAnsi="Calibri"/>
          <w:rtl/>
        </w:rPr>
      </w:pPr>
    </w:p>
    <w:p w14:paraId="21227B63" w14:textId="77777777" w:rsidR="00624D25" w:rsidRDefault="00624D25" w:rsidP="00624D25">
      <w:pPr>
        <w:rPr>
          <w:rFonts w:ascii="Calibri" w:hAnsi="Calibri"/>
          <w:rtl/>
        </w:rPr>
      </w:pPr>
      <w:r>
        <w:rPr>
          <w:rFonts w:ascii="Calibri" w:hAnsi="Calibri" w:hint="cs"/>
          <w:rtl/>
        </w:rPr>
        <w:t>ההסדר לא כלל הסכמות ענשיות.</w:t>
      </w:r>
    </w:p>
    <w:p w14:paraId="42E4549D" w14:textId="77777777" w:rsidR="00624D25" w:rsidRDefault="00624D25" w:rsidP="00624D25">
      <w:pPr>
        <w:rPr>
          <w:rFonts w:ascii="Calibri" w:hAnsi="Calibri"/>
          <w:rtl/>
        </w:rPr>
      </w:pPr>
    </w:p>
    <w:p w14:paraId="4C8EE818" w14:textId="77777777" w:rsidR="00624D25" w:rsidRDefault="00624D25" w:rsidP="00624D25">
      <w:pPr>
        <w:rPr>
          <w:rFonts w:ascii="Calibri" w:hAnsi="Calibri"/>
          <w:rtl/>
        </w:rPr>
      </w:pPr>
    </w:p>
    <w:p w14:paraId="216AD17D" w14:textId="77777777" w:rsidR="00624D25" w:rsidRDefault="00624D25" w:rsidP="00624D25">
      <w:pPr>
        <w:rPr>
          <w:rFonts w:ascii="Calibri" w:hAnsi="Calibri"/>
          <w:b/>
          <w:bCs/>
          <w:rtl/>
        </w:rPr>
      </w:pPr>
      <w:r w:rsidRPr="00587397">
        <w:rPr>
          <w:rFonts w:ascii="Calibri" w:hAnsi="Calibri" w:hint="cs"/>
          <w:b/>
          <w:bCs/>
          <w:rtl/>
        </w:rPr>
        <w:t>ראיות לעונש</w:t>
      </w:r>
    </w:p>
    <w:p w14:paraId="19F36A0D" w14:textId="77777777" w:rsidR="00624D25" w:rsidRDefault="00624D25" w:rsidP="00624D25">
      <w:pPr>
        <w:rPr>
          <w:rFonts w:ascii="Calibri" w:hAnsi="Calibri"/>
          <w:b/>
          <w:bCs/>
          <w:rtl/>
        </w:rPr>
      </w:pPr>
    </w:p>
    <w:p w14:paraId="2A382CB2" w14:textId="77777777" w:rsidR="00624D25" w:rsidRDefault="00624D25" w:rsidP="00624D25">
      <w:pPr>
        <w:rPr>
          <w:rFonts w:ascii="Calibri" w:hAnsi="Calibri"/>
          <w:rtl/>
        </w:rPr>
      </w:pPr>
      <w:r>
        <w:rPr>
          <w:rFonts w:ascii="Calibri" w:hAnsi="Calibri" w:hint="cs"/>
          <w:rtl/>
        </w:rPr>
        <w:t>מי מהצדדים לא הגיש ראיות לעונש בתיק זה.</w:t>
      </w:r>
    </w:p>
    <w:p w14:paraId="48177671" w14:textId="77777777" w:rsidR="00624D25" w:rsidRDefault="00624D25" w:rsidP="00624D25">
      <w:pPr>
        <w:rPr>
          <w:rFonts w:ascii="Calibri" w:hAnsi="Calibri"/>
          <w:rtl/>
        </w:rPr>
      </w:pPr>
    </w:p>
    <w:p w14:paraId="4727955B" w14:textId="77777777" w:rsidR="00624D25" w:rsidRDefault="00624D25" w:rsidP="00624D25">
      <w:pPr>
        <w:rPr>
          <w:rFonts w:ascii="Calibri" w:hAnsi="Calibri"/>
          <w:b/>
          <w:bCs/>
          <w:rtl/>
        </w:rPr>
      </w:pPr>
    </w:p>
    <w:p w14:paraId="5499A8C3" w14:textId="77777777" w:rsidR="00624D25" w:rsidRDefault="00624D25" w:rsidP="00624D25">
      <w:pPr>
        <w:rPr>
          <w:rFonts w:ascii="Calibri" w:hAnsi="Calibri"/>
          <w:b/>
          <w:bCs/>
          <w:rtl/>
        </w:rPr>
      </w:pPr>
      <w:r>
        <w:rPr>
          <w:rFonts w:ascii="Calibri" w:hAnsi="Calibri" w:hint="cs"/>
          <w:b/>
          <w:bCs/>
          <w:rtl/>
        </w:rPr>
        <w:t>הערכת שירות המבחן למבוגרים</w:t>
      </w:r>
    </w:p>
    <w:p w14:paraId="25EC1F7A" w14:textId="77777777" w:rsidR="00624D25" w:rsidRDefault="00624D25" w:rsidP="00624D25">
      <w:pPr>
        <w:rPr>
          <w:rFonts w:ascii="Calibri" w:hAnsi="Calibri"/>
          <w:b/>
          <w:bCs/>
          <w:rtl/>
        </w:rPr>
      </w:pPr>
    </w:p>
    <w:p w14:paraId="6E804E9A" w14:textId="77777777" w:rsidR="00624D25" w:rsidRDefault="00624D25" w:rsidP="00624D25">
      <w:pPr>
        <w:rPr>
          <w:rFonts w:ascii="Calibri" w:hAnsi="Calibri"/>
          <w:rtl/>
        </w:rPr>
      </w:pPr>
      <w:r w:rsidRPr="00FC1C9C">
        <w:rPr>
          <w:rFonts w:ascii="Calibri" w:hAnsi="Calibri" w:hint="cs"/>
          <w:rtl/>
        </w:rPr>
        <w:t xml:space="preserve">בענינו של </w:t>
      </w:r>
      <w:r>
        <w:rPr>
          <w:rFonts w:ascii="Calibri" w:hAnsi="Calibri" w:hint="cs"/>
          <w:rtl/>
        </w:rPr>
        <w:t xml:space="preserve"> הנאשם הוגש תסקיר, המפרט את נסיבותיו האישיות, כבן 21, רווק.</w:t>
      </w:r>
    </w:p>
    <w:p w14:paraId="4B546E7E" w14:textId="77777777" w:rsidR="00624D25" w:rsidRDefault="00624D25" w:rsidP="00624D25">
      <w:pPr>
        <w:rPr>
          <w:rFonts w:ascii="Calibri" w:hAnsi="Calibri"/>
          <w:rtl/>
        </w:rPr>
      </w:pPr>
    </w:p>
    <w:p w14:paraId="011FBE0E" w14:textId="77777777" w:rsidR="00624D25" w:rsidRDefault="00624D25" w:rsidP="00624D25">
      <w:pPr>
        <w:rPr>
          <w:rFonts w:ascii="Calibri" w:hAnsi="Calibri"/>
          <w:rtl/>
        </w:rPr>
      </w:pPr>
      <w:r>
        <w:rPr>
          <w:rFonts w:ascii="Calibri" w:hAnsi="Calibri" w:hint="cs"/>
          <w:rtl/>
        </w:rPr>
        <w:t>סיים 12 שנות לימוד במגמת מכונאות רכב וטרם מעצרו עבד, לדבריו, בהתקנת מתקנים בגני שעשועים בעיר ראשל"צ.</w:t>
      </w:r>
    </w:p>
    <w:p w14:paraId="39CAD03D" w14:textId="77777777" w:rsidR="00624D25" w:rsidRDefault="00624D25" w:rsidP="00624D25">
      <w:pPr>
        <w:rPr>
          <w:rFonts w:ascii="Calibri" w:hAnsi="Calibri"/>
          <w:rtl/>
        </w:rPr>
      </w:pPr>
    </w:p>
    <w:p w14:paraId="34A393FF" w14:textId="77777777" w:rsidR="00624D25" w:rsidRDefault="00624D25" w:rsidP="00624D25">
      <w:pPr>
        <w:rPr>
          <w:rFonts w:ascii="Calibri" w:hAnsi="Calibri"/>
          <w:rtl/>
        </w:rPr>
      </w:pPr>
      <w:r>
        <w:rPr>
          <w:rFonts w:ascii="Calibri" w:hAnsi="Calibri" w:hint="cs"/>
          <w:rtl/>
        </w:rPr>
        <w:t>לדברי הנאשם, זכה לתמיכה משפחתית וחי ברווחה כלכלית.</w:t>
      </w:r>
    </w:p>
    <w:p w14:paraId="027168CB" w14:textId="77777777" w:rsidR="00624D25" w:rsidRDefault="00624D25" w:rsidP="00624D25">
      <w:pPr>
        <w:rPr>
          <w:rFonts w:ascii="Calibri" w:hAnsi="Calibri"/>
          <w:rtl/>
        </w:rPr>
      </w:pPr>
    </w:p>
    <w:p w14:paraId="53CDEE57" w14:textId="77777777" w:rsidR="00624D25" w:rsidRDefault="00624D25" w:rsidP="00624D25">
      <w:pPr>
        <w:rPr>
          <w:rFonts w:ascii="Calibri" w:hAnsi="Calibri"/>
          <w:rtl/>
        </w:rPr>
      </w:pPr>
      <w:r>
        <w:rPr>
          <w:rFonts w:ascii="Calibri" w:hAnsi="Calibri" w:hint="cs"/>
          <w:rtl/>
        </w:rPr>
        <w:t>הנאשם מסר לשירות המבחן, כי רכש את כלי הנשק "לשם חיזוק בטחונו וגבריותו מול חבריו" וכי לא תכנן להשתמש בו, אלא למכור אותו בחלוף זמן.</w:t>
      </w:r>
    </w:p>
    <w:p w14:paraId="1E3D5B19" w14:textId="77777777" w:rsidR="00624D25" w:rsidRDefault="00624D25" w:rsidP="00624D25">
      <w:pPr>
        <w:rPr>
          <w:rFonts w:ascii="Calibri" w:hAnsi="Calibri"/>
          <w:rtl/>
        </w:rPr>
      </w:pPr>
    </w:p>
    <w:p w14:paraId="32DC903F" w14:textId="77777777" w:rsidR="00624D25" w:rsidRDefault="00624D25" w:rsidP="00624D25">
      <w:pPr>
        <w:rPr>
          <w:rFonts w:ascii="Calibri" w:hAnsi="Calibri"/>
          <w:rtl/>
        </w:rPr>
      </w:pPr>
      <w:r>
        <w:rPr>
          <w:rFonts w:ascii="Calibri" w:hAnsi="Calibri" w:hint="cs"/>
          <w:rtl/>
        </w:rPr>
        <w:t>שירות המבחן התרשם, כי הנאשם עבר העבירות באופן מחושב, תוך תכנון מהליכיו והשקעת מאמצים להשגת הנשק.</w:t>
      </w:r>
    </w:p>
    <w:p w14:paraId="52968346" w14:textId="77777777" w:rsidR="00624D25" w:rsidRDefault="00624D25" w:rsidP="00624D25">
      <w:pPr>
        <w:rPr>
          <w:rFonts w:ascii="Calibri" w:hAnsi="Calibri"/>
          <w:rtl/>
        </w:rPr>
      </w:pPr>
    </w:p>
    <w:p w14:paraId="7336EBB8" w14:textId="77777777" w:rsidR="00624D25" w:rsidRDefault="00624D25" w:rsidP="00624D25">
      <w:pPr>
        <w:rPr>
          <w:rFonts w:ascii="Calibri" w:hAnsi="Calibri"/>
          <w:rtl/>
        </w:rPr>
      </w:pPr>
      <w:r>
        <w:rPr>
          <w:rFonts w:ascii="Calibri" w:hAnsi="Calibri" w:hint="cs"/>
          <w:rtl/>
        </w:rPr>
        <w:t>עוד התרשם שירות המבחן, כי הגם שהנאשם נתקל במחירים הנלווים למעצר ולמעצר הבית, אשר המחישו לו את חומרת מעשיו, עודנו נוטל אחריות באופן חלקי בלבד על העבירות, תוך שמצמצם ומטשטש את מעשיו. שירות המבחן התרשם, כי קיים פער בין התדמית הפסיבית אותה הציג אל מול יכולותיו בתכנון ובביצוע העבירות. הנאשם התקשה לשתף את שירות המבחן בעולמו הפנימי, רגשותיו ומחשבותיו, והתקשה לבחון באופן ביקורתי את התנהגותו.</w:t>
      </w:r>
    </w:p>
    <w:p w14:paraId="1CFDE323" w14:textId="77777777" w:rsidR="00624D25" w:rsidRDefault="00624D25" w:rsidP="00624D25">
      <w:pPr>
        <w:rPr>
          <w:rFonts w:ascii="Calibri" w:hAnsi="Calibri"/>
          <w:rtl/>
        </w:rPr>
      </w:pPr>
    </w:p>
    <w:p w14:paraId="52FF81C4" w14:textId="77777777" w:rsidR="00624D25" w:rsidRDefault="00624D25" w:rsidP="00624D25">
      <w:pPr>
        <w:rPr>
          <w:rFonts w:ascii="Calibri" w:hAnsi="Calibri"/>
          <w:rtl/>
        </w:rPr>
      </w:pPr>
      <w:r>
        <w:rPr>
          <w:rFonts w:ascii="Calibri" w:hAnsi="Calibri" w:hint="cs"/>
          <w:rtl/>
        </w:rPr>
        <w:t xml:space="preserve">לנוכח כך שהנאשם שלל בעיתיות כלשהי בחייו </w:t>
      </w:r>
      <w:r>
        <w:rPr>
          <w:rFonts w:ascii="Calibri" w:hAnsi="Calibri"/>
          <w:rtl/>
        </w:rPr>
        <w:t>–</w:t>
      </w:r>
      <w:r>
        <w:rPr>
          <w:rFonts w:ascii="Calibri" w:hAnsi="Calibri" w:hint="cs"/>
          <w:rtl/>
        </w:rPr>
        <w:t xml:space="preserve"> לא נמצא מקום לשלבו בהליך טיפולי.</w:t>
      </w:r>
    </w:p>
    <w:p w14:paraId="2F22240E" w14:textId="77777777" w:rsidR="00624D25" w:rsidRDefault="00624D25" w:rsidP="00624D25">
      <w:pPr>
        <w:rPr>
          <w:rFonts w:ascii="Calibri" w:hAnsi="Calibri"/>
          <w:rtl/>
        </w:rPr>
      </w:pPr>
    </w:p>
    <w:p w14:paraId="4BCDFD7C" w14:textId="77777777" w:rsidR="00624D25" w:rsidRDefault="00624D25" w:rsidP="00624D25">
      <w:pPr>
        <w:rPr>
          <w:rFonts w:ascii="Calibri" w:hAnsi="Calibri"/>
          <w:rtl/>
        </w:rPr>
      </w:pPr>
      <w:r>
        <w:rPr>
          <w:rFonts w:ascii="Calibri" w:hAnsi="Calibri" w:hint="cs"/>
          <w:rtl/>
        </w:rPr>
        <w:t>בסיומו של התסקיר, בא שירות המבחן בהמלצה להשית על הנאשם "עונש מוחשי" בדמות מאסר בפועל בדרך של עבודות שירות, בצד מאסר מותנה.</w:t>
      </w:r>
    </w:p>
    <w:p w14:paraId="38825411" w14:textId="77777777" w:rsidR="00624D25" w:rsidRDefault="00624D25" w:rsidP="00624D25">
      <w:pPr>
        <w:rPr>
          <w:rFonts w:ascii="Calibri" w:hAnsi="Calibri"/>
          <w:rtl/>
        </w:rPr>
      </w:pPr>
    </w:p>
    <w:p w14:paraId="7ADFD7BB" w14:textId="77777777" w:rsidR="00624D25" w:rsidRDefault="00624D25" w:rsidP="00624D25">
      <w:pPr>
        <w:rPr>
          <w:rFonts w:ascii="Calibri" w:hAnsi="Calibri"/>
          <w:rtl/>
        </w:rPr>
      </w:pPr>
    </w:p>
    <w:p w14:paraId="78640CAD" w14:textId="77777777" w:rsidR="00624D25" w:rsidRDefault="00624D25" w:rsidP="00624D25">
      <w:pPr>
        <w:rPr>
          <w:rFonts w:ascii="Calibri" w:hAnsi="Calibri"/>
          <w:b/>
          <w:bCs/>
          <w:rtl/>
        </w:rPr>
      </w:pPr>
      <w:r>
        <w:rPr>
          <w:rFonts w:ascii="Calibri" w:hAnsi="Calibri" w:hint="cs"/>
          <w:b/>
          <w:bCs/>
          <w:rtl/>
        </w:rPr>
        <w:t>טענות הצדדים</w:t>
      </w:r>
    </w:p>
    <w:p w14:paraId="314750D8" w14:textId="77777777" w:rsidR="00624D25" w:rsidRDefault="00624D25" w:rsidP="00624D25">
      <w:pPr>
        <w:rPr>
          <w:rFonts w:ascii="Calibri" w:hAnsi="Calibri"/>
          <w:b/>
          <w:bCs/>
          <w:rtl/>
        </w:rPr>
      </w:pPr>
    </w:p>
    <w:p w14:paraId="17F53C06" w14:textId="77777777" w:rsidR="00624D25" w:rsidRDefault="00624D25" w:rsidP="00624D25">
      <w:pPr>
        <w:rPr>
          <w:rFonts w:ascii="Calibri" w:hAnsi="Calibri"/>
          <w:rtl/>
        </w:rPr>
      </w:pPr>
      <w:r w:rsidRPr="007524CE">
        <w:rPr>
          <w:rFonts w:ascii="Calibri" w:hAnsi="Calibri" w:hint="cs"/>
          <w:u w:val="single"/>
          <w:rtl/>
        </w:rPr>
        <w:t>התביעה</w:t>
      </w:r>
      <w:r>
        <w:rPr>
          <w:rFonts w:ascii="Calibri" w:hAnsi="Calibri" w:hint="cs"/>
          <w:rtl/>
        </w:rPr>
        <w:t xml:space="preserve"> הגישה טענותיה לעונש בכתב (ת/1) והשלימה הטיעון על-פה. התביעה הדגישה הפוטנציאל הקטלני הקיים בעבירות של אחזקת נשק חם, שלא כדין, הן בפן הביטחוני; הן בפן הפלילי; והן כלפי בני הבית, לרבות הילדים הקטינים שהתגוררו עם הנאשם (אחיו ואחיותיו).</w:t>
      </w:r>
    </w:p>
    <w:p w14:paraId="360C6595" w14:textId="77777777" w:rsidR="00624D25" w:rsidRDefault="00624D25" w:rsidP="00624D25">
      <w:pPr>
        <w:rPr>
          <w:rFonts w:ascii="Calibri" w:hAnsi="Calibri"/>
          <w:rtl/>
        </w:rPr>
      </w:pPr>
    </w:p>
    <w:p w14:paraId="14A1CFD6" w14:textId="77777777" w:rsidR="00624D25" w:rsidRDefault="00624D25" w:rsidP="00624D25">
      <w:pPr>
        <w:rPr>
          <w:rFonts w:ascii="Calibri" w:hAnsi="Calibri"/>
          <w:rtl/>
        </w:rPr>
      </w:pPr>
      <w:r>
        <w:rPr>
          <w:rFonts w:ascii="Calibri" w:hAnsi="Calibri" w:hint="cs"/>
          <w:rtl/>
        </w:rPr>
        <w:t>התביעה הדגישה, כי הנאשם החזיק תת מקלע, נשק ארוך, המסוגל לירות מספר רב של כדורים למרחק רב יחסית, ולו פוטנציאל קטלני משמעותי.</w:t>
      </w:r>
    </w:p>
    <w:p w14:paraId="1EAEFBE4" w14:textId="77777777" w:rsidR="00624D25" w:rsidRDefault="00624D25" w:rsidP="00624D25">
      <w:pPr>
        <w:rPr>
          <w:rFonts w:ascii="Calibri" w:hAnsi="Calibri"/>
          <w:rtl/>
        </w:rPr>
      </w:pPr>
    </w:p>
    <w:p w14:paraId="3A0227AE" w14:textId="77777777" w:rsidR="00624D25" w:rsidRDefault="00624D25" w:rsidP="00624D25">
      <w:pPr>
        <w:rPr>
          <w:rFonts w:ascii="Calibri" w:hAnsi="Calibri"/>
          <w:rtl/>
        </w:rPr>
      </w:pPr>
      <w:r>
        <w:rPr>
          <w:rFonts w:ascii="Calibri" w:hAnsi="Calibri" w:hint="cs"/>
          <w:rtl/>
        </w:rPr>
        <w:t>התביעה ביקשה שלא ליחס משקל גבוה לעובדה, כי האקדח שנרכש על ידי הנאשם, לא הוחזק במצב כשיר לירי.</w:t>
      </w:r>
    </w:p>
    <w:p w14:paraId="7FB90D7B" w14:textId="77777777" w:rsidR="00624D25" w:rsidRDefault="00624D25" w:rsidP="00624D25">
      <w:pPr>
        <w:rPr>
          <w:rFonts w:ascii="Calibri" w:hAnsi="Calibri"/>
          <w:rtl/>
        </w:rPr>
      </w:pPr>
    </w:p>
    <w:p w14:paraId="79472EA0" w14:textId="77777777" w:rsidR="00624D25" w:rsidRDefault="00624D25" w:rsidP="00624D25">
      <w:pPr>
        <w:rPr>
          <w:rFonts w:ascii="Calibri" w:hAnsi="Calibri"/>
          <w:rtl/>
        </w:rPr>
      </w:pPr>
      <w:r>
        <w:rPr>
          <w:rFonts w:ascii="Calibri" w:hAnsi="Calibri" w:hint="cs"/>
          <w:rtl/>
        </w:rPr>
        <w:t>התביעה הדגישה, כי המדובר בעבירות מתוכננות וכי הנאשם שילם ממון רב לצורך השגת כלי הנשק.</w:t>
      </w:r>
    </w:p>
    <w:p w14:paraId="3AD4B593" w14:textId="77777777" w:rsidR="00624D25" w:rsidRDefault="00624D25" w:rsidP="00624D25">
      <w:pPr>
        <w:rPr>
          <w:rFonts w:ascii="Calibri" w:hAnsi="Calibri"/>
          <w:rtl/>
        </w:rPr>
      </w:pPr>
    </w:p>
    <w:p w14:paraId="0D468F37" w14:textId="77777777" w:rsidR="00624D25" w:rsidRDefault="00624D25" w:rsidP="00624D25">
      <w:pPr>
        <w:rPr>
          <w:rFonts w:ascii="Calibri" w:hAnsi="Calibri"/>
          <w:rtl/>
        </w:rPr>
      </w:pPr>
      <w:r>
        <w:rPr>
          <w:rFonts w:ascii="Calibri" w:hAnsi="Calibri" w:hint="cs"/>
          <w:rtl/>
        </w:rPr>
        <w:lastRenderedPageBreak/>
        <w:t>התביעה הדגישה, כי החזקת נשק בלתי חוקי מהווה בבחינת "מכת איזור", שהוכרה בפסיקה כמצדיקה החמרת הענישה.</w:t>
      </w:r>
    </w:p>
    <w:p w14:paraId="66F0D70B" w14:textId="77777777" w:rsidR="00624D25" w:rsidRDefault="00624D25" w:rsidP="00624D25">
      <w:pPr>
        <w:rPr>
          <w:rFonts w:ascii="Calibri" w:hAnsi="Calibri"/>
          <w:rtl/>
        </w:rPr>
      </w:pPr>
    </w:p>
    <w:p w14:paraId="4076A553" w14:textId="77777777" w:rsidR="00624D25" w:rsidRDefault="00624D25" w:rsidP="00624D25">
      <w:pPr>
        <w:rPr>
          <w:rFonts w:ascii="Calibri" w:hAnsi="Calibri"/>
          <w:rtl/>
        </w:rPr>
      </w:pPr>
      <w:r>
        <w:rPr>
          <w:rFonts w:ascii="Calibri" w:hAnsi="Calibri" w:hint="cs"/>
          <w:rtl/>
        </w:rPr>
        <w:t>התביעה הדגישה את מדיניות ההחמרה בענישה, בתקופה האחרונה, בנוגע לעבירות דנן ועותרת למתחם ענישה כולל שינוע בין שנתיים ומחצה ועד ארבע שנות מאסר בגין העבירות שעבר הנאשם, בצירוף מאסר מותנה מרתיע וקנס משמעותי.</w:t>
      </w:r>
    </w:p>
    <w:p w14:paraId="22B1434F" w14:textId="77777777" w:rsidR="00624D25" w:rsidRDefault="00624D25" w:rsidP="00624D25">
      <w:pPr>
        <w:rPr>
          <w:rFonts w:ascii="Calibri" w:hAnsi="Calibri"/>
          <w:rtl/>
        </w:rPr>
      </w:pPr>
    </w:p>
    <w:p w14:paraId="05700598" w14:textId="77777777" w:rsidR="00624D25" w:rsidRDefault="00624D25" w:rsidP="00624D25">
      <w:pPr>
        <w:rPr>
          <w:rFonts w:ascii="Calibri" w:hAnsi="Calibri"/>
          <w:rtl/>
        </w:rPr>
      </w:pPr>
      <w:r>
        <w:rPr>
          <w:rFonts w:ascii="Calibri" w:hAnsi="Calibri" w:hint="cs"/>
          <w:rtl/>
        </w:rPr>
        <w:t xml:space="preserve">בענינו של הנאשם דנן, בהיעדר עבר פלילי מחד, ומאידך </w:t>
      </w:r>
      <w:r>
        <w:rPr>
          <w:rFonts w:ascii="Calibri" w:hAnsi="Calibri"/>
          <w:rtl/>
        </w:rPr>
        <w:t>–</w:t>
      </w:r>
      <w:r>
        <w:rPr>
          <w:rFonts w:ascii="Calibri" w:hAnsi="Calibri" w:hint="cs"/>
          <w:rtl/>
        </w:rPr>
        <w:t xml:space="preserve"> כאשר הנאשם נמנע מליטול אחריות מלאה למעשיו ושירות המבחן לא בא בהמלצה טיפולית </w:t>
      </w:r>
      <w:r>
        <w:rPr>
          <w:rFonts w:ascii="Calibri" w:hAnsi="Calibri"/>
          <w:rtl/>
        </w:rPr>
        <w:t>–</w:t>
      </w:r>
      <w:r>
        <w:rPr>
          <w:rFonts w:ascii="Calibri" w:hAnsi="Calibri" w:hint="cs"/>
          <w:rtl/>
        </w:rPr>
        <w:t xml:space="preserve"> עותרת התביעה למקם את ענשו בשליש </w:t>
      </w:r>
    </w:p>
    <w:p w14:paraId="35934E2B" w14:textId="77777777" w:rsidR="00624D25" w:rsidRDefault="00624D25" w:rsidP="00624D25">
      <w:pPr>
        <w:rPr>
          <w:rFonts w:ascii="Calibri" w:hAnsi="Calibri"/>
          <w:rtl/>
        </w:rPr>
      </w:pPr>
      <w:r>
        <w:rPr>
          <w:rFonts w:ascii="Calibri" w:hAnsi="Calibri" w:hint="cs"/>
          <w:rtl/>
        </w:rPr>
        <w:t xml:space="preserve">התחתון של המתחם, אם כי לא ברצפתו. </w:t>
      </w:r>
    </w:p>
    <w:p w14:paraId="6F2A9911" w14:textId="77777777" w:rsidR="00624D25" w:rsidRDefault="00624D25" w:rsidP="00624D25">
      <w:pPr>
        <w:rPr>
          <w:rFonts w:ascii="Calibri" w:hAnsi="Calibri"/>
          <w:rtl/>
        </w:rPr>
      </w:pPr>
    </w:p>
    <w:p w14:paraId="503F0C06" w14:textId="77777777" w:rsidR="00624D25" w:rsidRDefault="00624D25" w:rsidP="00624D25">
      <w:pPr>
        <w:rPr>
          <w:rFonts w:ascii="Calibri" w:hAnsi="Calibri"/>
          <w:rtl/>
        </w:rPr>
      </w:pPr>
      <w:r>
        <w:rPr>
          <w:rFonts w:ascii="Calibri" w:hAnsi="Calibri" w:hint="cs"/>
          <w:rtl/>
        </w:rPr>
        <w:t xml:space="preserve">לענין זה, הוסיפה התביעה והדגישה את כוונת הנאשם למכור את כלי הנשק בעתיד </w:t>
      </w:r>
      <w:r>
        <w:rPr>
          <w:rFonts w:ascii="Calibri" w:hAnsi="Calibri"/>
          <w:rtl/>
        </w:rPr>
        <w:t>–</w:t>
      </w:r>
      <w:r>
        <w:rPr>
          <w:rFonts w:ascii="Calibri" w:hAnsi="Calibri" w:hint="cs"/>
          <w:rtl/>
        </w:rPr>
        <w:t xml:space="preserve"> כפי שעולה מדבריו בשירות המבחן.</w:t>
      </w:r>
    </w:p>
    <w:p w14:paraId="1DBD1CEC" w14:textId="77777777" w:rsidR="00624D25" w:rsidRDefault="00624D25" w:rsidP="00624D25">
      <w:pPr>
        <w:rPr>
          <w:rFonts w:ascii="Calibri" w:hAnsi="Calibri"/>
          <w:rtl/>
        </w:rPr>
      </w:pPr>
    </w:p>
    <w:p w14:paraId="7B0B3BEF" w14:textId="77777777" w:rsidR="00624D25" w:rsidRDefault="00624D25" w:rsidP="00624D25">
      <w:pPr>
        <w:rPr>
          <w:rFonts w:ascii="Calibri" w:hAnsi="Calibri"/>
          <w:rtl/>
        </w:rPr>
      </w:pPr>
      <w:r>
        <w:rPr>
          <w:rFonts w:ascii="Calibri" w:hAnsi="Calibri" w:hint="cs"/>
          <w:u w:val="single"/>
          <w:rtl/>
        </w:rPr>
        <w:t>ההגנה</w:t>
      </w:r>
      <w:r>
        <w:rPr>
          <w:rFonts w:ascii="Calibri" w:hAnsi="Calibri" w:hint="cs"/>
          <w:rtl/>
        </w:rPr>
        <w:t xml:space="preserve"> עותרת לאמץ המלצת שירות המבחן, תוך עיבויה בעיצום כספי מרתיע.</w:t>
      </w:r>
    </w:p>
    <w:p w14:paraId="7907347C" w14:textId="77777777" w:rsidR="00624D25" w:rsidRDefault="00624D25" w:rsidP="00624D25">
      <w:pPr>
        <w:rPr>
          <w:rFonts w:ascii="Calibri" w:hAnsi="Calibri"/>
          <w:rtl/>
        </w:rPr>
      </w:pPr>
    </w:p>
    <w:p w14:paraId="24757235" w14:textId="77777777" w:rsidR="00624D25" w:rsidRDefault="00624D25" w:rsidP="00624D25">
      <w:pPr>
        <w:rPr>
          <w:rFonts w:ascii="Calibri" w:hAnsi="Calibri"/>
          <w:rtl/>
        </w:rPr>
      </w:pPr>
      <w:r>
        <w:rPr>
          <w:rFonts w:ascii="Calibri" w:hAnsi="Calibri" w:hint="cs"/>
          <w:rtl/>
        </w:rPr>
        <w:t>ההגנה טענה, כי מתחם הענישה נמוך מזה הנטען על ידי התביעה.</w:t>
      </w:r>
    </w:p>
    <w:p w14:paraId="48AB2A27" w14:textId="77777777" w:rsidR="00624D25" w:rsidRDefault="00624D25" w:rsidP="00624D25">
      <w:pPr>
        <w:rPr>
          <w:rFonts w:ascii="Calibri" w:hAnsi="Calibri"/>
          <w:rtl/>
        </w:rPr>
      </w:pPr>
    </w:p>
    <w:p w14:paraId="697CFE45" w14:textId="77777777" w:rsidR="00624D25" w:rsidRDefault="00624D25" w:rsidP="00624D25">
      <w:pPr>
        <w:rPr>
          <w:rFonts w:ascii="Calibri" w:hAnsi="Calibri"/>
          <w:rtl/>
        </w:rPr>
      </w:pPr>
      <w:r>
        <w:rPr>
          <w:rFonts w:ascii="Calibri" w:hAnsi="Calibri" w:hint="cs"/>
          <w:rtl/>
        </w:rPr>
        <w:t>ההגנה הדגישה, כי הנאשם הודה בעבירות עוד בחקירתו במשטרה ואף הודה בבית המשפט כבר בהליך הדיון המוקדם.</w:t>
      </w:r>
    </w:p>
    <w:p w14:paraId="7B3390AD" w14:textId="77777777" w:rsidR="00624D25" w:rsidRDefault="00624D25" w:rsidP="00624D25">
      <w:pPr>
        <w:rPr>
          <w:rFonts w:ascii="Calibri" w:hAnsi="Calibri"/>
          <w:rtl/>
        </w:rPr>
      </w:pPr>
    </w:p>
    <w:p w14:paraId="04424778" w14:textId="77777777" w:rsidR="00624D25" w:rsidRDefault="00624D25" w:rsidP="00624D25">
      <w:pPr>
        <w:rPr>
          <w:rFonts w:ascii="Calibri" w:hAnsi="Calibri"/>
          <w:rtl/>
        </w:rPr>
      </w:pPr>
      <w:r>
        <w:rPr>
          <w:rFonts w:ascii="Calibri" w:hAnsi="Calibri" w:hint="cs"/>
          <w:rtl/>
        </w:rPr>
        <w:t xml:space="preserve">ההגנה טענה, כי הנאשם מנהל חיים נורמטיביים וכי מטרת אחזקת הנשק, במקרה דנן </w:t>
      </w:r>
      <w:r>
        <w:rPr>
          <w:rFonts w:ascii="Calibri" w:hAnsi="Calibri"/>
          <w:rtl/>
        </w:rPr>
        <w:t>–</w:t>
      </w:r>
      <w:r>
        <w:rPr>
          <w:rFonts w:ascii="Calibri" w:hAnsi="Calibri" w:hint="cs"/>
          <w:rtl/>
        </w:rPr>
        <w:t xml:space="preserve"> לא היתה פלילית או כנגד בטחון המדינה.</w:t>
      </w:r>
    </w:p>
    <w:p w14:paraId="7DBC7B91" w14:textId="77777777" w:rsidR="00624D25" w:rsidRDefault="00624D25" w:rsidP="00624D25">
      <w:pPr>
        <w:rPr>
          <w:rFonts w:ascii="Calibri" w:hAnsi="Calibri"/>
          <w:rtl/>
        </w:rPr>
      </w:pPr>
    </w:p>
    <w:p w14:paraId="42DD53A0" w14:textId="77777777" w:rsidR="00624D25" w:rsidRDefault="00624D25" w:rsidP="00624D25">
      <w:pPr>
        <w:rPr>
          <w:rFonts w:ascii="Calibri" w:hAnsi="Calibri"/>
          <w:rtl/>
        </w:rPr>
      </w:pPr>
      <w:r>
        <w:rPr>
          <w:rFonts w:ascii="Calibri" w:hAnsi="Calibri" w:hint="cs"/>
          <w:u w:val="single"/>
          <w:rtl/>
        </w:rPr>
        <w:t>בדברו האחרון</w:t>
      </w:r>
      <w:r>
        <w:rPr>
          <w:rFonts w:ascii="Calibri" w:hAnsi="Calibri" w:hint="cs"/>
          <w:rtl/>
        </w:rPr>
        <w:t>, מסר הנאשם, כי עשה את טעות חייו; כי כעת אינו עובד וכי הוא רווק.</w:t>
      </w:r>
    </w:p>
    <w:p w14:paraId="3FDDF4F8" w14:textId="77777777" w:rsidR="00624D25" w:rsidRDefault="00624D25" w:rsidP="00624D25">
      <w:pPr>
        <w:rPr>
          <w:rFonts w:ascii="Calibri" w:hAnsi="Calibri"/>
          <w:rtl/>
        </w:rPr>
      </w:pPr>
    </w:p>
    <w:p w14:paraId="410BB1C0" w14:textId="77777777" w:rsidR="00624D25" w:rsidRDefault="00624D25" w:rsidP="00624D25">
      <w:pPr>
        <w:rPr>
          <w:rFonts w:ascii="Calibri" w:hAnsi="Calibri"/>
          <w:rtl/>
        </w:rPr>
      </w:pPr>
    </w:p>
    <w:p w14:paraId="78AEDC8D" w14:textId="77777777" w:rsidR="00624D25" w:rsidRDefault="00624D25" w:rsidP="00624D25">
      <w:pPr>
        <w:rPr>
          <w:rFonts w:ascii="Calibri" w:hAnsi="Calibri"/>
          <w:rtl/>
        </w:rPr>
      </w:pPr>
      <w:r>
        <w:rPr>
          <w:rFonts w:ascii="Calibri" w:hAnsi="Calibri" w:hint="cs"/>
          <w:b/>
          <w:bCs/>
          <w:rtl/>
        </w:rPr>
        <w:t>דיון והכרעה</w:t>
      </w:r>
    </w:p>
    <w:p w14:paraId="67500A33" w14:textId="77777777" w:rsidR="00624D25" w:rsidRDefault="00624D25" w:rsidP="00624D25">
      <w:pPr>
        <w:rPr>
          <w:rFonts w:ascii="Calibri" w:hAnsi="Calibri"/>
          <w:rtl/>
        </w:rPr>
      </w:pPr>
    </w:p>
    <w:p w14:paraId="04A445D6" w14:textId="77777777" w:rsidR="00624D25" w:rsidRDefault="00624D25" w:rsidP="00624D25">
      <w:pPr>
        <w:rPr>
          <w:rFonts w:ascii="Calibri" w:hAnsi="Calibri"/>
          <w:rtl/>
        </w:rPr>
      </w:pPr>
      <w:r>
        <w:rPr>
          <w:rFonts w:ascii="Calibri" w:hAnsi="Calibri" w:hint="cs"/>
          <w:rtl/>
        </w:rPr>
        <w:t>אין צורך להכביר מילים על פוטנציאל הסיכון הנובע מאחזקת נשק חם קטלני ותחמושת חיה, שלא כדין.</w:t>
      </w:r>
    </w:p>
    <w:p w14:paraId="2D17C729" w14:textId="77777777" w:rsidR="00624D25" w:rsidRDefault="00624D25" w:rsidP="00624D25">
      <w:pPr>
        <w:rPr>
          <w:rFonts w:ascii="Calibri" w:hAnsi="Calibri"/>
          <w:rtl/>
        </w:rPr>
      </w:pPr>
    </w:p>
    <w:p w14:paraId="04402E04" w14:textId="77777777" w:rsidR="00624D25" w:rsidRDefault="00624D25" w:rsidP="00624D25">
      <w:pPr>
        <w:rPr>
          <w:rFonts w:ascii="Calibri" w:hAnsi="Calibri"/>
          <w:rtl/>
        </w:rPr>
      </w:pPr>
      <w:r>
        <w:rPr>
          <w:rFonts w:ascii="Calibri" w:hAnsi="Calibri" w:hint="cs"/>
          <w:rtl/>
        </w:rPr>
        <w:t>הנשק והתחמושת עלולים למצוא דרכם לפעילות שלילית, אם פלילית ואם כנגד בטחון המדינה.</w:t>
      </w:r>
    </w:p>
    <w:p w14:paraId="2D31F2D2" w14:textId="77777777" w:rsidR="00624D25" w:rsidRDefault="00624D25" w:rsidP="00624D25">
      <w:pPr>
        <w:rPr>
          <w:rFonts w:ascii="Calibri" w:hAnsi="Calibri"/>
          <w:rtl/>
        </w:rPr>
      </w:pPr>
    </w:p>
    <w:p w14:paraId="703D31EF" w14:textId="77777777" w:rsidR="00624D25" w:rsidRDefault="00624D25" w:rsidP="00624D25">
      <w:pPr>
        <w:rPr>
          <w:rFonts w:ascii="Calibri" w:hAnsi="Calibri"/>
          <w:rtl/>
        </w:rPr>
      </w:pPr>
      <w:r>
        <w:rPr>
          <w:rFonts w:ascii="Calibri" w:hAnsi="Calibri" w:hint="cs"/>
          <w:rtl/>
        </w:rPr>
        <w:t>אחזקת נשק ותחמושת על ידי מי שלא נבדק, לא נמצא מתאים ולא הוכשר לכך, בתנאים שאינם מבטיחים בידודו של הנשק מהסביבה (כיום מי שמחזיק נשק ברשיון נדרש לאחסנו בכספת מאובטחת, מאחורי שני מנעולים), עלולה להביא לסיכון שלום הציבור, גם אם אין ראיות שהוחזק לצורך פעילות שלילית, כמפורט לעיל.</w:t>
      </w:r>
    </w:p>
    <w:p w14:paraId="76B1A13F" w14:textId="77777777" w:rsidR="00624D25" w:rsidRDefault="00624D25" w:rsidP="00624D25">
      <w:pPr>
        <w:rPr>
          <w:rFonts w:ascii="Calibri" w:hAnsi="Calibri"/>
          <w:rtl/>
        </w:rPr>
      </w:pPr>
    </w:p>
    <w:p w14:paraId="1783DECE" w14:textId="77777777" w:rsidR="00624D25" w:rsidRDefault="00624D25" w:rsidP="00624D25">
      <w:pPr>
        <w:rPr>
          <w:rFonts w:ascii="Calibri" w:hAnsi="Calibri"/>
          <w:rtl/>
        </w:rPr>
      </w:pPr>
      <w:r>
        <w:rPr>
          <w:rFonts w:ascii="Calibri" w:hAnsi="Calibri" w:hint="cs"/>
          <w:rtl/>
        </w:rPr>
        <w:t>בנוסף, אחזקת נשק כאמור עלולה להביא לפגיעה בשלטון החוק ובנושאי שלטון החוק, המבצעים את תפקידם.</w:t>
      </w:r>
    </w:p>
    <w:p w14:paraId="3907547C" w14:textId="77777777" w:rsidR="00624D25" w:rsidRDefault="00624D25" w:rsidP="00624D25">
      <w:pPr>
        <w:rPr>
          <w:rFonts w:ascii="Calibri" w:hAnsi="Calibri"/>
          <w:rtl/>
        </w:rPr>
      </w:pPr>
    </w:p>
    <w:p w14:paraId="6940F61B" w14:textId="77777777" w:rsidR="00624D25" w:rsidRDefault="00624D25" w:rsidP="00624D25">
      <w:pPr>
        <w:rPr>
          <w:rFonts w:ascii="Calibri" w:hAnsi="Calibri"/>
          <w:rtl/>
        </w:rPr>
      </w:pPr>
      <w:r>
        <w:rPr>
          <w:rFonts w:ascii="Calibri" w:hAnsi="Calibri" w:hint="cs"/>
          <w:rtl/>
        </w:rPr>
        <w:t xml:space="preserve">בפסק הדין </w:t>
      </w:r>
      <w:hyperlink r:id="rId20" w:history="1">
        <w:r w:rsidR="006F1EB3" w:rsidRPr="006F1EB3">
          <w:rPr>
            <w:rFonts w:ascii="Calibri" w:hAnsi="Calibri" w:hint="eastAsia"/>
            <w:color w:val="0000FF"/>
            <w:u w:val="single"/>
            <w:rtl/>
          </w:rPr>
          <w:t>ע</w:t>
        </w:r>
        <w:r w:rsidR="006F1EB3" w:rsidRPr="006F1EB3">
          <w:rPr>
            <w:rFonts w:ascii="Calibri" w:hAnsi="Calibri"/>
            <w:color w:val="0000FF"/>
            <w:u w:val="single"/>
            <w:rtl/>
          </w:rPr>
          <w:t>.</w:t>
        </w:r>
        <w:r w:rsidR="006F1EB3" w:rsidRPr="006F1EB3">
          <w:rPr>
            <w:rFonts w:ascii="Calibri" w:hAnsi="Calibri" w:hint="eastAsia"/>
            <w:color w:val="0000FF"/>
            <w:u w:val="single"/>
            <w:rtl/>
          </w:rPr>
          <w:t>פ</w:t>
        </w:r>
        <w:r w:rsidR="006F1EB3" w:rsidRPr="006F1EB3">
          <w:rPr>
            <w:rFonts w:ascii="Calibri" w:hAnsi="Calibri"/>
            <w:color w:val="0000FF"/>
            <w:u w:val="single"/>
            <w:rtl/>
          </w:rPr>
          <w:t>. 3288/14</w:t>
        </w:r>
      </w:hyperlink>
      <w:r>
        <w:rPr>
          <w:rFonts w:ascii="Calibri" w:hAnsi="Calibri" w:hint="cs"/>
          <w:rtl/>
        </w:rPr>
        <w:t xml:space="preserve"> </w:t>
      </w:r>
      <w:r>
        <w:rPr>
          <w:rFonts w:ascii="Calibri" w:hAnsi="Calibri" w:hint="cs"/>
          <w:b/>
          <w:bCs/>
          <w:rtl/>
        </w:rPr>
        <w:t>מדינת ישראל נ' קריספל</w:t>
      </w:r>
      <w:r>
        <w:rPr>
          <w:rFonts w:ascii="Calibri" w:hAnsi="Calibri" w:hint="cs"/>
          <w:rtl/>
        </w:rPr>
        <w:t xml:space="preserve"> (פורסם במאגרים) נאמר: </w:t>
      </w:r>
    </w:p>
    <w:p w14:paraId="7C2E5A93" w14:textId="77777777" w:rsidR="00624D25" w:rsidRDefault="00624D25" w:rsidP="00624D25">
      <w:pPr>
        <w:rPr>
          <w:rFonts w:ascii="Calibri" w:hAnsi="Calibri"/>
          <w:rtl/>
        </w:rPr>
      </w:pPr>
    </w:p>
    <w:p w14:paraId="1955A168" w14:textId="77777777" w:rsidR="00624D25" w:rsidRPr="005F6AF1" w:rsidRDefault="00624D25" w:rsidP="00624D25">
      <w:pPr>
        <w:rPr>
          <w:rFonts w:ascii="Calibri" w:hAnsi="Calibri" w:cs="Aharoni"/>
          <w:rtl/>
        </w:rPr>
      </w:pPr>
      <w:r w:rsidRPr="005F6AF1">
        <w:rPr>
          <w:rFonts w:ascii="Calibri" w:hAnsi="Calibri" w:cs="Aharoni" w:hint="cs"/>
          <w:rtl/>
        </w:rPr>
        <w:t>בשל פוטנציאל ההרס הטמון בכלי נשק, הכולל גם אפשרות לפגיעה עיוורת באנשים מן הישוב, מתפקידו של בית המשפט להרתיע אף מפני עבירת החזקת נשק שלא כדין. זאת, כדי לבלום את שרשרת העבירות בשלב ראשוני.</w:t>
      </w:r>
    </w:p>
    <w:p w14:paraId="051DCAC2" w14:textId="77777777" w:rsidR="00624D25" w:rsidRDefault="00624D25" w:rsidP="00624D25">
      <w:pPr>
        <w:rPr>
          <w:rFonts w:ascii="Calibri" w:hAnsi="Calibri"/>
          <w:rtl/>
        </w:rPr>
      </w:pPr>
    </w:p>
    <w:p w14:paraId="62F81BE3" w14:textId="77777777" w:rsidR="00624D25" w:rsidRDefault="00624D25" w:rsidP="00624D25">
      <w:pPr>
        <w:rPr>
          <w:rFonts w:ascii="Calibri" w:hAnsi="Calibri"/>
          <w:rtl/>
        </w:rPr>
      </w:pPr>
      <w:r>
        <w:rPr>
          <w:rFonts w:ascii="Calibri" w:hAnsi="Calibri" w:hint="cs"/>
          <w:rtl/>
        </w:rPr>
        <w:t xml:space="preserve">בפסק הדין </w:t>
      </w:r>
      <w:hyperlink r:id="rId21" w:history="1">
        <w:r w:rsidR="006F1EB3" w:rsidRPr="006F1EB3">
          <w:rPr>
            <w:rFonts w:ascii="Calibri" w:hAnsi="Calibri" w:hint="eastAsia"/>
            <w:color w:val="0000FF"/>
            <w:u w:val="single"/>
            <w:rtl/>
          </w:rPr>
          <w:t>ע</w:t>
        </w:r>
        <w:r w:rsidR="006F1EB3" w:rsidRPr="006F1EB3">
          <w:rPr>
            <w:rFonts w:ascii="Calibri" w:hAnsi="Calibri"/>
            <w:color w:val="0000FF"/>
            <w:u w:val="single"/>
            <w:rtl/>
          </w:rPr>
          <w:t>.</w:t>
        </w:r>
        <w:r w:rsidR="006F1EB3" w:rsidRPr="006F1EB3">
          <w:rPr>
            <w:rFonts w:ascii="Calibri" w:hAnsi="Calibri" w:hint="eastAsia"/>
            <w:color w:val="0000FF"/>
            <w:u w:val="single"/>
            <w:rtl/>
          </w:rPr>
          <w:t>פ</w:t>
        </w:r>
        <w:r w:rsidR="006F1EB3" w:rsidRPr="006F1EB3">
          <w:rPr>
            <w:rFonts w:ascii="Calibri" w:hAnsi="Calibri"/>
            <w:color w:val="0000FF"/>
            <w:u w:val="single"/>
            <w:rtl/>
          </w:rPr>
          <w:t>. 4945/13</w:t>
        </w:r>
      </w:hyperlink>
      <w:r>
        <w:rPr>
          <w:rFonts w:ascii="Calibri" w:hAnsi="Calibri" w:hint="cs"/>
          <w:rtl/>
        </w:rPr>
        <w:t xml:space="preserve"> </w:t>
      </w:r>
      <w:r>
        <w:rPr>
          <w:rFonts w:ascii="Calibri" w:hAnsi="Calibri" w:hint="cs"/>
          <w:b/>
          <w:bCs/>
          <w:rtl/>
        </w:rPr>
        <w:t>סלימאן, נ' מדינת ישראל</w:t>
      </w:r>
      <w:r>
        <w:rPr>
          <w:rFonts w:ascii="Calibri" w:hAnsi="Calibri" w:hint="cs"/>
          <w:rtl/>
        </w:rPr>
        <w:t xml:space="preserve"> (פורסם במאגרים) נאמר:</w:t>
      </w:r>
    </w:p>
    <w:p w14:paraId="6352C222" w14:textId="77777777" w:rsidR="00624D25" w:rsidRDefault="00624D25" w:rsidP="00624D25">
      <w:pPr>
        <w:rPr>
          <w:rFonts w:ascii="Calibri" w:hAnsi="Calibri"/>
          <w:rtl/>
        </w:rPr>
      </w:pPr>
    </w:p>
    <w:p w14:paraId="78EE770D" w14:textId="77777777" w:rsidR="00624D25" w:rsidRPr="005F6AF1" w:rsidRDefault="00624D25" w:rsidP="00624D25">
      <w:pPr>
        <w:rPr>
          <w:rFonts w:ascii="Calibri" w:hAnsi="Calibri" w:cs="Aharoni"/>
          <w:rtl/>
        </w:rPr>
      </w:pPr>
      <w:r w:rsidRPr="005F6AF1">
        <w:rPr>
          <w:rFonts w:ascii="Calibri" w:hAnsi="Calibri" w:cs="Aharoni" w:hint="cs"/>
          <w:rtl/>
        </w:rPr>
        <w:t>... התגלגלותם של כלי נשק מיד ליד ללא פיקוח עלולה להוביל להגעתם בדרך לא דרך לגורמים פליליים ועוינים. אין לדעת מה יעלה בגורלם של  ולאלו תוצאות הרסניות יובילו. ודוק: הסיכון שנשקף לשלום הציבור צריך להילקח בחשבון על ידי כל מי שמחזיק בידו נשק שלא כדין,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6F5A32B8" w14:textId="77777777" w:rsidR="00624D25" w:rsidRDefault="00624D25" w:rsidP="00624D25">
      <w:pPr>
        <w:rPr>
          <w:rFonts w:ascii="Calibri" w:hAnsi="Calibri"/>
          <w:rtl/>
        </w:rPr>
      </w:pPr>
    </w:p>
    <w:p w14:paraId="7258A691" w14:textId="77777777" w:rsidR="00624D25" w:rsidRDefault="00624D25" w:rsidP="00624D25">
      <w:pPr>
        <w:rPr>
          <w:rFonts w:ascii="Calibri" w:hAnsi="Calibri"/>
          <w:rtl/>
        </w:rPr>
      </w:pPr>
      <w:r>
        <w:rPr>
          <w:rFonts w:ascii="Calibri" w:hAnsi="Calibri" w:hint="cs"/>
          <w:rtl/>
        </w:rPr>
        <w:t xml:space="preserve">בשורה של פסקי דין נקבע, כי </w:t>
      </w:r>
      <w:r w:rsidRPr="005F6AF1">
        <w:rPr>
          <w:rFonts w:ascii="Calibri" w:hAnsi="Calibri" w:hint="cs"/>
          <w:u w:val="single"/>
          <w:rtl/>
        </w:rPr>
        <w:t>חומר</w:t>
      </w:r>
      <w:r>
        <w:rPr>
          <w:rFonts w:ascii="Calibri" w:hAnsi="Calibri" w:hint="cs"/>
          <w:u w:val="single"/>
          <w:rtl/>
        </w:rPr>
        <w:t>ת הסיכון הנשקף מעבירות אלה, מחיי</w:t>
      </w:r>
      <w:r w:rsidRPr="005F6AF1">
        <w:rPr>
          <w:rFonts w:ascii="Calibri" w:hAnsi="Calibri" w:hint="cs"/>
          <w:u w:val="single"/>
          <w:rtl/>
        </w:rPr>
        <w:t>בת השתת עונשי מאסר בפועל בגין עבירות אלה וזאת גם כאשר המדובר, לכאורה, במי שמנהל אורח חיים נורמטיבי ואין לחובתו הרשעות קודמות</w:t>
      </w:r>
      <w:r>
        <w:rPr>
          <w:rFonts w:ascii="Calibri" w:hAnsi="Calibri" w:hint="cs"/>
          <w:rtl/>
        </w:rPr>
        <w:t xml:space="preserve">. ראו </w:t>
      </w:r>
      <w:hyperlink r:id="rId22" w:history="1">
        <w:r w:rsidR="006F1EB3" w:rsidRPr="006F1EB3">
          <w:rPr>
            <w:rFonts w:ascii="Calibri" w:hAnsi="Calibri" w:hint="eastAsia"/>
            <w:color w:val="0000FF"/>
            <w:u w:val="single"/>
            <w:rtl/>
          </w:rPr>
          <w:t>רע</w:t>
        </w:r>
        <w:r w:rsidR="006F1EB3" w:rsidRPr="006F1EB3">
          <w:rPr>
            <w:rFonts w:ascii="Calibri" w:hAnsi="Calibri"/>
            <w:color w:val="0000FF"/>
            <w:u w:val="single"/>
            <w:rtl/>
          </w:rPr>
          <w:t>"</w:t>
        </w:r>
        <w:r w:rsidR="006F1EB3" w:rsidRPr="006F1EB3">
          <w:rPr>
            <w:rFonts w:ascii="Calibri" w:hAnsi="Calibri" w:hint="eastAsia"/>
            <w:color w:val="0000FF"/>
            <w:u w:val="single"/>
            <w:rtl/>
          </w:rPr>
          <w:t>פ</w:t>
        </w:r>
        <w:r w:rsidR="006F1EB3" w:rsidRPr="006F1EB3">
          <w:rPr>
            <w:rFonts w:ascii="Calibri" w:hAnsi="Calibri"/>
            <w:color w:val="0000FF"/>
            <w:u w:val="single"/>
            <w:rtl/>
          </w:rPr>
          <w:t xml:space="preserve"> 2718/04</w:t>
        </w:r>
      </w:hyperlink>
      <w:r>
        <w:rPr>
          <w:rFonts w:ascii="Calibri" w:hAnsi="Calibri" w:hint="cs"/>
          <w:rtl/>
        </w:rPr>
        <w:t xml:space="preserve"> </w:t>
      </w:r>
      <w:r>
        <w:rPr>
          <w:rFonts w:ascii="Calibri" w:hAnsi="Calibri" w:hint="cs"/>
          <w:b/>
          <w:bCs/>
          <w:rtl/>
        </w:rPr>
        <w:t>אבו דאחל נ' מדינת ישראל</w:t>
      </w:r>
      <w:r>
        <w:rPr>
          <w:rFonts w:ascii="Calibri" w:hAnsi="Calibri" w:hint="cs"/>
          <w:rtl/>
        </w:rPr>
        <w:t xml:space="preserve"> (פורסם במאגרים):</w:t>
      </w:r>
    </w:p>
    <w:p w14:paraId="4DFAEDE7" w14:textId="77777777" w:rsidR="00624D25" w:rsidRDefault="00624D25" w:rsidP="00624D25">
      <w:pPr>
        <w:rPr>
          <w:rFonts w:ascii="Calibri" w:hAnsi="Calibri"/>
          <w:rtl/>
        </w:rPr>
      </w:pPr>
    </w:p>
    <w:p w14:paraId="2E85A00B" w14:textId="77777777" w:rsidR="00624D25" w:rsidRPr="005F6AF1" w:rsidRDefault="00624D25" w:rsidP="00624D25">
      <w:pPr>
        <w:rPr>
          <w:rFonts w:ascii="Calibri" w:hAnsi="Calibri" w:cs="Aharoni"/>
          <w:rtl/>
        </w:rPr>
      </w:pPr>
      <w:r w:rsidRPr="005F6AF1">
        <w:rPr>
          <w:rFonts w:ascii="Calibri" w:hAnsi="Calibri" w:cs="Aharoni" w:hint="cs"/>
          <w:rtl/>
        </w:rPr>
        <w:t>יוער כי 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p>
    <w:p w14:paraId="575999C4" w14:textId="77777777" w:rsidR="00624D25" w:rsidRPr="005F6AF1" w:rsidRDefault="00624D25" w:rsidP="00624D25">
      <w:pPr>
        <w:rPr>
          <w:rFonts w:ascii="Calibri" w:hAnsi="Calibri" w:cs="Aharoni"/>
          <w:rtl/>
        </w:rPr>
      </w:pPr>
    </w:p>
    <w:p w14:paraId="236CD0E4" w14:textId="77777777" w:rsidR="00624D25" w:rsidRDefault="00624D25" w:rsidP="00624D25">
      <w:pPr>
        <w:rPr>
          <w:rFonts w:ascii="Calibri" w:hAnsi="Calibri"/>
          <w:rtl/>
        </w:rPr>
      </w:pPr>
      <w:r>
        <w:rPr>
          <w:rFonts w:ascii="Calibri" w:hAnsi="Calibri" w:hint="cs"/>
          <w:rtl/>
        </w:rPr>
        <w:t xml:space="preserve">עוד ראו </w:t>
      </w:r>
      <w:hyperlink r:id="rId23" w:history="1">
        <w:r w:rsidR="006F1EB3" w:rsidRPr="006F1EB3">
          <w:rPr>
            <w:rFonts w:ascii="Calibri" w:hAnsi="Calibri" w:hint="eastAsia"/>
            <w:color w:val="0000FF"/>
            <w:u w:val="single"/>
            <w:rtl/>
          </w:rPr>
          <w:t>ע</w:t>
        </w:r>
        <w:r w:rsidR="006F1EB3" w:rsidRPr="006F1EB3">
          <w:rPr>
            <w:rFonts w:ascii="Calibri" w:hAnsi="Calibri"/>
            <w:color w:val="0000FF"/>
            <w:u w:val="single"/>
            <w:rtl/>
          </w:rPr>
          <w:t>.</w:t>
        </w:r>
        <w:r w:rsidR="006F1EB3" w:rsidRPr="006F1EB3">
          <w:rPr>
            <w:rFonts w:ascii="Calibri" w:hAnsi="Calibri" w:hint="eastAsia"/>
            <w:color w:val="0000FF"/>
            <w:u w:val="single"/>
            <w:rtl/>
          </w:rPr>
          <w:t>פ</w:t>
        </w:r>
        <w:r w:rsidR="006F1EB3" w:rsidRPr="006F1EB3">
          <w:rPr>
            <w:rFonts w:ascii="Calibri" w:hAnsi="Calibri"/>
            <w:color w:val="0000FF"/>
            <w:u w:val="single"/>
            <w:rtl/>
          </w:rPr>
          <w:t>. 5220/09</w:t>
        </w:r>
      </w:hyperlink>
      <w:r>
        <w:rPr>
          <w:rFonts w:ascii="Calibri" w:hAnsi="Calibri" w:hint="cs"/>
          <w:rtl/>
        </w:rPr>
        <w:t xml:space="preserve"> </w:t>
      </w:r>
      <w:r>
        <w:rPr>
          <w:rFonts w:ascii="Calibri" w:hAnsi="Calibri" w:hint="cs"/>
          <w:b/>
          <w:bCs/>
          <w:rtl/>
        </w:rPr>
        <w:t xml:space="preserve">עוואודה נ' מדינת ישראל </w:t>
      </w:r>
      <w:r>
        <w:rPr>
          <w:rFonts w:ascii="Calibri" w:hAnsi="Calibri" w:hint="cs"/>
          <w:rtl/>
        </w:rPr>
        <w:t>(פורסם במאגרים):</w:t>
      </w:r>
    </w:p>
    <w:p w14:paraId="209688C1" w14:textId="77777777" w:rsidR="00624D25" w:rsidRDefault="00624D25" w:rsidP="00624D25">
      <w:pPr>
        <w:rPr>
          <w:rFonts w:ascii="Calibri" w:hAnsi="Calibri"/>
          <w:rtl/>
        </w:rPr>
      </w:pPr>
    </w:p>
    <w:p w14:paraId="4A092A5B" w14:textId="77777777" w:rsidR="00624D25" w:rsidRPr="005F6AF1" w:rsidRDefault="00624D25" w:rsidP="00624D25">
      <w:pPr>
        <w:rPr>
          <w:rFonts w:ascii="Calibri" w:hAnsi="Calibri" w:cs="Aharoni"/>
          <w:rtl/>
        </w:rPr>
      </w:pPr>
      <w:r w:rsidRPr="005F6AF1">
        <w:rPr>
          <w:rFonts w:ascii="Calibri" w:hAnsi="Calibri" w:cs="Aharoni" w:hint="cs"/>
          <w:rtl/>
        </w:rPr>
        <w:t>אשר על כן משכבר נקבע הכלל לפיו ככלל יש לאסור את המבצעים עבירה זו, גם אם מדובר בעבירה ראשונה, מאחורי סורג ובריח, ואילו אורך התקופה כלול בנסיבות הספציפיות של העושה והמעשה.</w:t>
      </w:r>
    </w:p>
    <w:p w14:paraId="5CAAC185" w14:textId="77777777" w:rsidR="00624D25" w:rsidRDefault="00624D25" w:rsidP="00624D25">
      <w:pPr>
        <w:rPr>
          <w:rFonts w:ascii="Calibri" w:hAnsi="Calibri"/>
          <w:rtl/>
        </w:rPr>
      </w:pPr>
    </w:p>
    <w:p w14:paraId="1DCEEAB4" w14:textId="77777777" w:rsidR="00624D25" w:rsidRDefault="00624D25" w:rsidP="00624D25">
      <w:pPr>
        <w:rPr>
          <w:rFonts w:ascii="Calibri" w:hAnsi="Calibri"/>
          <w:rtl/>
        </w:rPr>
      </w:pPr>
      <w:r>
        <w:rPr>
          <w:rFonts w:ascii="Calibri" w:hAnsi="Calibri" w:hint="cs"/>
          <w:rtl/>
        </w:rPr>
        <w:t xml:space="preserve">אשר למתחם הענישה, בפסק הדין </w:t>
      </w:r>
      <w:hyperlink r:id="rId24" w:history="1">
        <w:r w:rsidR="006F1EB3" w:rsidRPr="006F1EB3">
          <w:rPr>
            <w:rFonts w:ascii="Calibri" w:hAnsi="Calibri" w:hint="eastAsia"/>
            <w:color w:val="0000FF"/>
            <w:u w:val="single"/>
            <w:rtl/>
          </w:rPr>
          <w:t>עפ</w:t>
        </w:r>
        <w:r w:rsidR="006F1EB3" w:rsidRPr="006F1EB3">
          <w:rPr>
            <w:rFonts w:ascii="Calibri" w:hAnsi="Calibri"/>
            <w:color w:val="0000FF"/>
            <w:u w:val="single"/>
            <w:rtl/>
          </w:rPr>
          <w:t>"</w:t>
        </w:r>
        <w:r w:rsidR="006F1EB3" w:rsidRPr="006F1EB3">
          <w:rPr>
            <w:rFonts w:ascii="Calibri" w:hAnsi="Calibri" w:hint="eastAsia"/>
            <w:color w:val="0000FF"/>
            <w:u w:val="single"/>
            <w:rtl/>
          </w:rPr>
          <w:t>ג</w:t>
        </w:r>
        <w:r w:rsidR="006F1EB3" w:rsidRPr="006F1EB3">
          <w:rPr>
            <w:rFonts w:ascii="Calibri" w:hAnsi="Calibri"/>
            <w:color w:val="0000FF"/>
            <w:u w:val="single"/>
            <w:rtl/>
          </w:rPr>
          <w:t xml:space="preserve"> 23419-01-17</w:t>
        </w:r>
      </w:hyperlink>
      <w:r w:rsidRPr="00C759FD">
        <w:rPr>
          <w:rFonts w:ascii="Calibri" w:hAnsi="Calibri" w:hint="cs"/>
          <w:b/>
          <w:bCs/>
          <w:rtl/>
        </w:rPr>
        <w:t xml:space="preserve"> מדינת ישראל נ' זנ</w:t>
      </w:r>
      <w:r>
        <w:rPr>
          <w:rFonts w:ascii="Calibri" w:hAnsi="Calibri" w:hint="cs"/>
          <w:b/>
          <w:bCs/>
          <w:rtl/>
        </w:rPr>
        <w:t>י</w:t>
      </w:r>
      <w:r w:rsidRPr="00C759FD">
        <w:rPr>
          <w:rFonts w:ascii="Calibri" w:hAnsi="Calibri" w:hint="cs"/>
          <w:b/>
          <w:bCs/>
          <w:rtl/>
        </w:rPr>
        <w:t>ד ואח'</w:t>
      </w:r>
      <w:r>
        <w:rPr>
          <w:rFonts w:ascii="Calibri" w:hAnsi="Calibri" w:hint="cs"/>
          <w:rtl/>
        </w:rPr>
        <w:t xml:space="preserve"> (פורסם במאגרים), נדון ערעור המדינה בענינם של שני משיבים, האחד נתפס מחזיק אקדח בקוטר 9 מ"מ ביחד עם מחסנית ובה 17  כדורים; וכן רובה סער מאולתר דמוי </w:t>
      </w:r>
      <w:r>
        <w:rPr>
          <w:rFonts w:ascii="Calibri" w:hAnsi="Calibri" w:hint="cs"/>
        </w:rPr>
        <w:t>M16</w:t>
      </w:r>
      <w:r>
        <w:rPr>
          <w:rFonts w:ascii="Calibri" w:hAnsi="Calibri" w:hint="cs"/>
          <w:rtl/>
        </w:rPr>
        <w:t xml:space="preserve"> עם מחסנית ובה 28 כדורים; השני נתפס מחזיק בשני אקדחים, גם כן בצירוף תחמושת. בית משפט קמא קבע מתחם ענישה שינוע בין 13 עד 30 חדשי מאסר בפועל בנוגע למשיב שהחזיק את שני האקדחים ומתחם שינוע בין 16 עד 36 חדשי מאסר בפועל בנוגע למשיב שהחזיק אקדח ורובה סער מאולתר. </w:t>
      </w:r>
    </w:p>
    <w:p w14:paraId="260EB7A3" w14:textId="77777777" w:rsidR="00624D25" w:rsidRDefault="00624D25" w:rsidP="00624D25">
      <w:pPr>
        <w:rPr>
          <w:rFonts w:ascii="Calibri" w:hAnsi="Calibri"/>
          <w:rtl/>
        </w:rPr>
      </w:pPr>
      <w:r>
        <w:rPr>
          <w:rFonts w:ascii="Calibri" w:hAnsi="Calibri" w:hint="cs"/>
          <w:rtl/>
        </w:rPr>
        <w:t xml:space="preserve">ערעור המדינה התקבל בהסכמת הצדדים, תוך שהוחמרו עונשי המאסר שהושתו על המשיבים ל-26 ו-31 חדשי מאסר בפועל (בהתאמה). בית המשפט המחוזי, בשבתו כבית משפט לערעורים פליליים, אף מצא לציין, כי </w:t>
      </w:r>
      <w:r w:rsidRPr="005F6AF1">
        <w:rPr>
          <w:rFonts w:ascii="Calibri" w:hAnsi="Calibri" w:hint="cs"/>
          <w:u w:val="single"/>
          <w:rtl/>
        </w:rPr>
        <w:t>המתחמים שנקבעו על ידי בית משפט השלום נמוכים יתר על המידה</w:t>
      </w:r>
      <w:r>
        <w:rPr>
          <w:rFonts w:ascii="Calibri" w:hAnsi="Calibri" w:hint="cs"/>
          <w:rtl/>
        </w:rPr>
        <w:t xml:space="preserve">. </w:t>
      </w:r>
    </w:p>
    <w:p w14:paraId="1DA79D31" w14:textId="77777777" w:rsidR="00624D25" w:rsidRDefault="00624D25" w:rsidP="00624D25">
      <w:pPr>
        <w:rPr>
          <w:rFonts w:ascii="Calibri" w:hAnsi="Calibri"/>
          <w:rtl/>
        </w:rPr>
      </w:pPr>
    </w:p>
    <w:p w14:paraId="42462463" w14:textId="77777777" w:rsidR="00624D25" w:rsidRDefault="00624D25" w:rsidP="00624D25">
      <w:pPr>
        <w:rPr>
          <w:rFonts w:ascii="Calibri" w:hAnsi="Calibri"/>
          <w:rtl/>
        </w:rPr>
      </w:pPr>
      <w:r>
        <w:rPr>
          <w:rFonts w:ascii="Calibri" w:hAnsi="Calibri" w:hint="cs"/>
          <w:rtl/>
        </w:rPr>
        <w:t xml:space="preserve">בעקבות החלטת בית המשפט המחוזי בערעור זה, במקרה נוסף שנדון בסמוך לאחר מכן, קבע בית משפט השלום מתחם ענישה שינוע בין 13 עד 36 חדשי מאסר בפועל בגין אחזקת כלי נשק מאולתר אחד מסוג תת מקלע בצירוף מחסנית ובה 10 כדורים. ראו </w:t>
      </w:r>
      <w:hyperlink r:id="rId25" w:history="1">
        <w:r w:rsidR="006F1EB3" w:rsidRPr="006F1EB3">
          <w:rPr>
            <w:rFonts w:ascii="Calibri" w:hAnsi="Calibri" w:hint="eastAsia"/>
            <w:color w:val="0000FF"/>
            <w:u w:val="single"/>
            <w:rtl/>
          </w:rPr>
          <w:t>ת</w:t>
        </w:r>
        <w:r w:rsidR="006F1EB3" w:rsidRPr="006F1EB3">
          <w:rPr>
            <w:rFonts w:ascii="Calibri" w:hAnsi="Calibri"/>
            <w:color w:val="0000FF"/>
            <w:u w:val="single"/>
            <w:rtl/>
          </w:rPr>
          <w:t>.</w:t>
        </w:r>
        <w:r w:rsidR="006F1EB3" w:rsidRPr="006F1EB3">
          <w:rPr>
            <w:rFonts w:ascii="Calibri" w:hAnsi="Calibri" w:hint="eastAsia"/>
            <w:color w:val="0000FF"/>
            <w:u w:val="single"/>
            <w:rtl/>
          </w:rPr>
          <w:t>פ</w:t>
        </w:r>
        <w:r w:rsidR="006F1EB3" w:rsidRPr="006F1EB3">
          <w:rPr>
            <w:rFonts w:ascii="Calibri" w:hAnsi="Calibri"/>
            <w:color w:val="0000FF"/>
            <w:u w:val="single"/>
            <w:rtl/>
          </w:rPr>
          <w:t xml:space="preserve"> 7544-11-16</w:t>
        </w:r>
      </w:hyperlink>
      <w:r>
        <w:rPr>
          <w:rFonts w:ascii="Calibri" w:hAnsi="Calibri" w:hint="cs"/>
          <w:rtl/>
        </w:rPr>
        <w:t xml:space="preserve"> </w:t>
      </w:r>
      <w:r>
        <w:rPr>
          <w:rFonts w:ascii="Calibri" w:hAnsi="Calibri" w:hint="cs"/>
          <w:b/>
          <w:bCs/>
          <w:rtl/>
        </w:rPr>
        <w:t xml:space="preserve">מדינת ישראל נ' אלאסד </w:t>
      </w:r>
      <w:r>
        <w:rPr>
          <w:rFonts w:ascii="Calibri" w:hAnsi="Calibri" w:hint="cs"/>
          <w:rtl/>
        </w:rPr>
        <w:t xml:space="preserve">(פורסם במאגרים). באותו מקרה, הושת על הנאשם, בעל עבר פלילי שאינו מכביד, עונש מאסר בפועל בן 21 חדשים. ערעור שהוגש על גזר הדין </w:t>
      </w:r>
      <w:r>
        <w:rPr>
          <w:rFonts w:ascii="Calibri" w:hAnsi="Calibri"/>
          <w:rtl/>
        </w:rPr>
        <w:t>–</w:t>
      </w:r>
      <w:r>
        <w:rPr>
          <w:rFonts w:ascii="Calibri" w:hAnsi="Calibri" w:hint="cs"/>
          <w:rtl/>
        </w:rPr>
        <w:t xml:space="preserve"> נדחה; ואף נקבע על ידי בית המשפט המחוזי, בשבתו כבית משפט לערעורים פליליים, כי העונש עומד במתחם ענישה ראוי. ראו </w:t>
      </w:r>
      <w:hyperlink r:id="rId26" w:history="1">
        <w:r w:rsidR="006F1EB3" w:rsidRPr="006F1EB3">
          <w:rPr>
            <w:rFonts w:ascii="Calibri" w:hAnsi="Calibri" w:hint="eastAsia"/>
            <w:color w:val="0000FF"/>
            <w:u w:val="single"/>
            <w:rtl/>
          </w:rPr>
          <w:t>עפ</w:t>
        </w:r>
        <w:r w:rsidR="006F1EB3" w:rsidRPr="006F1EB3">
          <w:rPr>
            <w:rFonts w:ascii="Calibri" w:hAnsi="Calibri"/>
            <w:color w:val="0000FF"/>
            <w:u w:val="single"/>
            <w:rtl/>
          </w:rPr>
          <w:t>"</w:t>
        </w:r>
        <w:r w:rsidR="006F1EB3" w:rsidRPr="006F1EB3">
          <w:rPr>
            <w:rFonts w:ascii="Calibri" w:hAnsi="Calibri" w:hint="eastAsia"/>
            <w:color w:val="0000FF"/>
            <w:u w:val="single"/>
            <w:rtl/>
          </w:rPr>
          <w:t>ג</w:t>
        </w:r>
        <w:r w:rsidR="006F1EB3" w:rsidRPr="006F1EB3">
          <w:rPr>
            <w:rFonts w:ascii="Calibri" w:hAnsi="Calibri"/>
            <w:color w:val="0000FF"/>
            <w:u w:val="single"/>
            <w:rtl/>
          </w:rPr>
          <w:t xml:space="preserve"> 22885-05-17</w:t>
        </w:r>
      </w:hyperlink>
      <w:r>
        <w:rPr>
          <w:rFonts w:ascii="Calibri" w:hAnsi="Calibri" w:hint="cs"/>
          <w:rtl/>
        </w:rPr>
        <w:t xml:space="preserve"> </w:t>
      </w:r>
      <w:r>
        <w:rPr>
          <w:rFonts w:ascii="Calibri" w:hAnsi="Calibri" w:hint="cs"/>
          <w:b/>
          <w:bCs/>
          <w:rtl/>
        </w:rPr>
        <w:t>אלאסד נ' מדינת ישראל</w:t>
      </w:r>
      <w:r>
        <w:rPr>
          <w:rFonts w:ascii="Calibri" w:hAnsi="Calibri" w:hint="cs"/>
          <w:rtl/>
        </w:rPr>
        <w:t xml:space="preserve"> (פורסם במאגרים).</w:t>
      </w:r>
    </w:p>
    <w:p w14:paraId="17EEBDAA" w14:textId="77777777" w:rsidR="00624D25" w:rsidRDefault="00624D25" w:rsidP="00624D25">
      <w:pPr>
        <w:rPr>
          <w:rFonts w:ascii="Calibri" w:hAnsi="Calibri"/>
          <w:rtl/>
        </w:rPr>
      </w:pPr>
    </w:p>
    <w:p w14:paraId="3CEED21D" w14:textId="77777777" w:rsidR="00624D25" w:rsidRDefault="00624D25" w:rsidP="00624D25">
      <w:pPr>
        <w:rPr>
          <w:rFonts w:ascii="Calibri" w:hAnsi="Calibri"/>
          <w:rtl/>
        </w:rPr>
      </w:pPr>
      <w:r>
        <w:rPr>
          <w:rFonts w:ascii="Calibri" w:hAnsi="Calibri" w:hint="cs"/>
          <w:rtl/>
        </w:rPr>
        <w:t xml:space="preserve">בפסק הדין </w:t>
      </w:r>
      <w:hyperlink r:id="rId27" w:history="1">
        <w:r w:rsidR="006F1EB3" w:rsidRPr="006F1EB3">
          <w:rPr>
            <w:rFonts w:ascii="Calibri" w:hAnsi="Calibri" w:hint="eastAsia"/>
            <w:color w:val="0000FF"/>
            <w:u w:val="single"/>
            <w:rtl/>
          </w:rPr>
          <w:t>ע</w:t>
        </w:r>
        <w:r w:rsidR="006F1EB3" w:rsidRPr="006F1EB3">
          <w:rPr>
            <w:rFonts w:ascii="Calibri" w:hAnsi="Calibri"/>
            <w:color w:val="0000FF"/>
            <w:u w:val="single"/>
            <w:rtl/>
          </w:rPr>
          <w:t>.</w:t>
        </w:r>
        <w:r w:rsidR="006F1EB3" w:rsidRPr="006F1EB3">
          <w:rPr>
            <w:rFonts w:ascii="Calibri" w:hAnsi="Calibri" w:hint="eastAsia"/>
            <w:color w:val="0000FF"/>
            <w:u w:val="single"/>
            <w:rtl/>
          </w:rPr>
          <w:t>פ</w:t>
        </w:r>
        <w:r w:rsidR="006F1EB3" w:rsidRPr="006F1EB3">
          <w:rPr>
            <w:rFonts w:ascii="Calibri" w:hAnsi="Calibri"/>
            <w:color w:val="0000FF"/>
            <w:u w:val="single"/>
            <w:rtl/>
          </w:rPr>
          <w:t>. 4945/13</w:t>
        </w:r>
      </w:hyperlink>
      <w:r>
        <w:rPr>
          <w:rFonts w:ascii="Calibri" w:hAnsi="Calibri" w:hint="cs"/>
          <w:rtl/>
        </w:rPr>
        <w:t xml:space="preserve"> </w:t>
      </w:r>
      <w:r>
        <w:rPr>
          <w:rFonts w:ascii="Calibri" w:hAnsi="Calibri" w:hint="cs"/>
          <w:b/>
          <w:bCs/>
          <w:rtl/>
        </w:rPr>
        <w:t>מדינת ישראל נ' סלימאן</w:t>
      </w:r>
      <w:r>
        <w:rPr>
          <w:rFonts w:ascii="Calibri" w:hAnsi="Calibri" w:hint="cs"/>
          <w:rtl/>
        </w:rPr>
        <w:t xml:space="preserve"> (פורסם במאגרים), אושר מתחם ענישה שינוע בין שנה ועד 3 שנות מאסר, בגין אחזקת כלי נשק  בודד מסוג קרל גוסטב וכן מחסנית וכדורים. אף באותו מקרה, המדובר היה בצעיר, אשר ניהל אורח חיים נורמטיבי, כולל לימודים אקדמאיים בפקולטה לאדריכלות, ללא עבר פלילי. גם באותו מקרה, המליץ שירות המבחן להסתפק בעונש מאסר בפועל לריצוי בדרך של עבודות שירות. </w:t>
      </w:r>
    </w:p>
    <w:p w14:paraId="30FF7495" w14:textId="77777777" w:rsidR="00624D25" w:rsidRDefault="00624D25" w:rsidP="00624D25">
      <w:pPr>
        <w:rPr>
          <w:rFonts w:ascii="Calibri" w:hAnsi="Calibri"/>
          <w:rtl/>
        </w:rPr>
      </w:pPr>
    </w:p>
    <w:p w14:paraId="53284DFF" w14:textId="77777777" w:rsidR="00624D25" w:rsidRDefault="00624D25" w:rsidP="00624D25">
      <w:pPr>
        <w:rPr>
          <w:rFonts w:ascii="Calibri" w:hAnsi="Calibri"/>
          <w:rtl/>
        </w:rPr>
      </w:pPr>
      <w:r>
        <w:rPr>
          <w:rFonts w:ascii="Calibri" w:hAnsi="Calibri" w:hint="cs"/>
          <w:rtl/>
        </w:rPr>
        <w:t xml:space="preserve">בית המשפט העליון ציין, כי ראוי לקבוע ענשים מרתיעים בגין עבירות אלה והעמיד המתחם שם בין 12 ועד 36 חדשי מאסר בפועל. אמנם, באותו מקרה הורשע המשיב גם בעבירה חמורה יותר, של נשיאת נשק, בניגוד </w:t>
      </w:r>
      <w:hyperlink r:id="rId28" w:history="1">
        <w:r w:rsidR="000F0715" w:rsidRPr="000F0715">
          <w:rPr>
            <w:rFonts w:ascii="Calibri" w:hAnsi="Calibri" w:hint="eastAsia"/>
            <w:color w:val="0000FF"/>
            <w:u w:val="single"/>
            <w:rtl/>
          </w:rPr>
          <w:t>לסעיף</w:t>
        </w:r>
        <w:r w:rsidR="000F0715" w:rsidRPr="000F0715">
          <w:rPr>
            <w:rFonts w:ascii="Calibri" w:hAnsi="Calibri"/>
            <w:color w:val="0000FF"/>
            <w:u w:val="single"/>
            <w:rtl/>
          </w:rPr>
          <w:t xml:space="preserve"> 144(</w:t>
        </w:r>
        <w:r w:rsidR="000F0715" w:rsidRPr="000F0715">
          <w:rPr>
            <w:rFonts w:ascii="Calibri" w:hAnsi="Calibri" w:hint="eastAsia"/>
            <w:color w:val="0000FF"/>
            <w:u w:val="single"/>
            <w:rtl/>
          </w:rPr>
          <w:t>ב</w:t>
        </w:r>
        <w:r w:rsidR="000F0715" w:rsidRPr="000F0715">
          <w:rPr>
            <w:rFonts w:ascii="Calibri" w:hAnsi="Calibri"/>
            <w:color w:val="0000FF"/>
            <w:u w:val="single"/>
            <w:rtl/>
          </w:rPr>
          <w:t>)</w:t>
        </w:r>
      </w:hyperlink>
      <w:r>
        <w:rPr>
          <w:rFonts w:ascii="Calibri" w:hAnsi="Calibri" w:hint="cs"/>
          <w:rtl/>
        </w:rPr>
        <w:t xml:space="preserve"> ל</w:t>
      </w:r>
      <w:hyperlink r:id="rId29" w:history="1">
        <w:r w:rsidR="006F1EB3" w:rsidRPr="006F1EB3">
          <w:rPr>
            <w:rFonts w:ascii="Calibri" w:hAnsi="Calibri" w:hint="eastAsia"/>
            <w:color w:val="0000FF"/>
            <w:u w:val="single"/>
            <w:rtl/>
          </w:rPr>
          <w:t>חוק</w:t>
        </w:r>
        <w:r w:rsidR="006F1EB3" w:rsidRPr="006F1EB3">
          <w:rPr>
            <w:rFonts w:ascii="Calibri" w:hAnsi="Calibri"/>
            <w:color w:val="0000FF"/>
            <w:u w:val="single"/>
            <w:rtl/>
          </w:rPr>
          <w:t xml:space="preserve"> </w:t>
        </w:r>
        <w:r w:rsidR="006F1EB3" w:rsidRPr="006F1EB3">
          <w:rPr>
            <w:rFonts w:ascii="Calibri" w:hAnsi="Calibri" w:hint="eastAsia"/>
            <w:color w:val="0000FF"/>
            <w:u w:val="single"/>
            <w:rtl/>
          </w:rPr>
          <w:t>העונשין</w:t>
        </w:r>
      </w:hyperlink>
      <w:r w:rsidRPr="00527DA7">
        <w:rPr>
          <w:rFonts w:ascii="Calibri" w:hAnsi="Calibri"/>
          <w:rtl/>
        </w:rPr>
        <w:t xml:space="preserve">, </w:t>
      </w:r>
      <w:r w:rsidRPr="00527DA7">
        <w:rPr>
          <w:rFonts w:ascii="Calibri" w:hAnsi="Calibri" w:hint="eastAsia"/>
          <w:rtl/>
        </w:rPr>
        <w:t>תשל</w:t>
      </w:r>
      <w:r w:rsidRPr="00527DA7">
        <w:rPr>
          <w:rFonts w:ascii="Calibri" w:hAnsi="Calibri"/>
          <w:rtl/>
        </w:rPr>
        <w:t>"</w:t>
      </w:r>
      <w:r w:rsidRPr="00527DA7">
        <w:rPr>
          <w:rFonts w:ascii="Calibri" w:hAnsi="Calibri" w:hint="eastAsia"/>
          <w:rtl/>
        </w:rPr>
        <w:t>ז</w:t>
      </w:r>
      <w:r>
        <w:rPr>
          <w:rFonts w:ascii="Calibri" w:hAnsi="Calibri" w:hint="cs"/>
          <w:rtl/>
        </w:rPr>
        <w:t>-</w:t>
      </w:r>
      <w:r w:rsidRPr="00527DA7">
        <w:rPr>
          <w:rFonts w:ascii="Calibri" w:hAnsi="Calibri"/>
          <w:rtl/>
        </w:rPr>
        <w:t>19</w:t>
      </w:r>
      <w:r>
        <w:rPr>
          <w:rFonts w:ascii="Calibri" w:hAnsi="Calibri"/>
          <w:rtl/>
        </w:rPr>
        <w:t>77</w:t>
      </w:r>
      <w:r>
        <w:rPr>
          <w:rFonts w:ascii="Calibri" w:hAnsi="Calibri" w:hint="cs"/>
          <w:rtl/>
        </w:rPr>
        <w:t>.</w:t>
      </w:r>
    </w:p>
    <w:p w14:paraId="4C450F9F" w14:textId="77777777" w:rsidR="00624D25" w:rsidRDefault="00624D25" w:rsidP="00624D25">
      <w:pPr>
        <w:rPr>
          <w:rFonts w:ascii="Calibri" w:hAnsi="Calibri"/>
          <w:rtl/>
        </w:rPr>
      </w:pPr>
    </w:p>
    <w:p w14:paraId="10751464" w14:textId="77777777" w:rsidR="00624D25" w:rsidRDefault="00624D25" w:rsidP="00624D25">
      <w:pPr>
        <w:rPr>
          <w:rtl/>
        </w:rPr>
      </w:pPr>
      <w:r>
        <w:rPr>
          <w:rFonts w:hint="cs"/>
          <w:rtl/>
        </w:rPr>
        <w:t xml:space="preserve">לאחרונה, פורסמה הנחית פרקליט המדינה מס'  9.16 (מיום ג' אב תשע"ו </w:t>
      </w:r>
      <w:r>
        <w:rPr>
          <w:rtl/>
        </w:rPr>
        <w:t>–</w:t>
      </w:r>
      <w:r>
        <w:rPr>
          <w:rFonts w:hint="cs"/>
          <w:rtl/>
        </w:rPr>
        <w:t xml:space="preserve"> 07/08/16) בנוגע למדיניות הענישה בעבירות נשק, במסגרתה הונחתה התביעה הכללית לפעול לכיוון החמרת הענישה בעבירות אלה, לנוכח הסיכון הרב הנשקף מהן והאינטרס הציבורי במיגורן. התביעה הכללית הונחתה לדרוש מאסר בפועל לתקופה ממשית, גם כאשר המדובר בעבירה ראשונה. מבחינת מדרג החומרה, הוצבה אחזקה של אקדח במדרג בינוני ואילו רובה סער או תת מקלע </w:t>
      </w:r>
      <w:r>
        <w:rPr>
          <w:rtl/>
        </w:rPr>
        <w:t>–</w:t>
      </w:r>
      <w:r>
        <w:rPr>
          <w:rFonts w:hint="cs"/>
          <w:rtl/>
        </w:rPr>
        <w:t xml:space="preserve"> ברמה אחת לפני הרמה החמורה ביותר. לנוכח פסיקה שנזכרה באותה הנחיה, הונחתה התביעה הכללית לטעון למתחם שינוע בין שנה ועד 3 שנות מאסר בפועל בגין עבירה של אחזקת נשק מסוג אקדח; שנתיים עד 4 שנות מאסר בפועל בגין אחזקת רובה או תת מקלע. </w:t>
      </w:r>
    </w:p>
    <w:p w14:paraId="769BFAB2" w14:textId="77777777" w:rsidR="00624D25" w:rsidRDefault="00624D25" w:rsidP="00624D25">
      <w:pPr>
        <w:rPr>
          <w:rtl/>
        </w:rPr>
      </w:pPr>
    </w:p>
    <w:p w14:paraId="58ED6B9C" w14:textId="77777777" w:rsidR="00624D25" w:rsidRDefault="00624D25" w:rsidP="00624D25">
      <w:pPr>
        <w:rPr>
          <w:rtl/>
        </w:rPr>
      </w:pPr>
      <w:r>
        <w:rPr>
          <w:rFonts w:hint="cs"/>
          <w:rtl/>
        </w:rPr>
        <w:t xml:space="preserve">אשר לעבירה של אחזקת תחמושת </w:t>
      </w:r>
      <w:r>
        <w:rPr>
          <w:rtl/>
        </w:rPr>
        <w:t>–</w:t>
      </w:r>
      <w:r>
        <w:rPr>
          <w:rFonts w:hint="cs"/>
          <w:rtl/>
        </w:rPr>
        <w:t xml:space="preserve"> הונחתה התביעה לטעון למתחם שיחל ב-6 חדשי מאסר בפועל, אשר יכול שירוצו בדרך של עבודות שירות.</w:t>
      </w:r>
    </w:p>
    <w:p w14:paraId="27461DB5" w14:textId="77777777" w:rsidR="00624D25" w:rsidRDefault="00624D25" w:rsidP="00624D25">
      <w:pPr>
        <w:rPr>
          <w:rtl/>
        </w:rPr>
      </w:pPr>
    </w:p>
    <w:p w14:paraId="47EE8105" w14:textId="77777777" w:rsidR="00624D25" w:rsidRDefault="00624D25" w:rsidP="00624D25">
      <w:pPr>
        <w:rPr>
          <w:rtl/>
        </w:rPr>
      </w:pPr>
      <w:r>
        <w:rPr>
          <w:rFonts w:hint="cs"/>
          <w:rtl/>
        </w:rPr>
        <w:t xml:space="preserve">הצורך בהחמרת הענישה נומק במספר הרב של עבירות, פליליות וכאלה נגד בטחון המדינה, שנעברו לאחרונה, באמצעות כלי נשק, ואף הביאו, לעיתים מזומנות, לפגיעה באזרחים בלתי מעורבים. לשם המחשה, כפי המפורט בנתונים שהובאו במסגרת ההנחיה, בשנת 2013, אירעו בישראל 563 אירועים של פיגועים </w:t>
      </w:r>
      <w:r w:rsidRPr="006542FE">
        <w:rPr>
          <w:rFonts w:hint="cs"/>
          <w:u w:val="single"/>
          <w:rtl/>
        </w:rPr>
        <w:t>פליליים</w:t>
      </w:r>
      <w:r>
        <w:rPr>
          <w:rFonts w:hint="cs"/>
          <w:rtl/>
        </w:rPr>
        <w:t xml:space="preserve"> באמצעות נשק חם.</w:t>
      </w:r>
    </w:p>
    <w:p w14:paraId="23D8759C" w14:textId="77777777" w:rsidR="00624D25" w:rsidRDefault="00624D25" w:rsidP="00624D25">
      <w:pPr>
        <w:rPr>
          <w:rtl/>
        </w:rPr>
      </w:pPr>
    </w:p>
    <w:p w14:paraId="42249E84" w14:textId="77777777" w:rsidR="00624D25" w:rsidRDefault="00624D25" w:rsidP="00624D25">
      <w:pPr>
        <w:rPr>
          <w:rtl/>
        </w:rPr>
      </w:pPr>
      <w:r>
        <w:rPr>
          <w:rFonts w:hint="cs"/>
          <w:rtl/>
        </w:rPr>
        <w:t xml:space="preserve">בית המשפט אינו מוצא לייחס משקל משמעותי לעובדה, כי אחד מכלי הנשק - האקדח שנתפס ברשות הנאשם </w:t>
      </w:r>
      <w:r>
        <w:rPr>
          <w:rtl/>
        </w:rPr>
        <w:t>–</w:t>
      </w:r>
      <w:r>
        <w:rPr>
          <w:rFonts w:hint="cs"/>
          <w:rtl/>
        </w:rPr>
        <w:t xml:space="preserve"> לא הכיל נוקר ומשכך לא היה תקין לירי.</w:t>
      </w:r>
    </w:p>
    <w:p w14:paraId="11E1F450" w14:textId="77777777" w:rsidR="00624D25" w:rsidRDefault="00624D25" w:rsidP="00624D25">
      <w:pPr>
        <w:rPr>
          <w:rtl/>
        </w:rPr>
      </w:pPr>
    </w:p>
    <w:p w14:paraId="24666A0B" w14:textId="77777777" w:rsidR="00624D25" w:rsidRDefault="00624D25" w:rsidP="00624D25">
      <w:pPr>
        <w:rPr>
          <w:rtl/>
        </w:rPr>
      </w:pPr>
      <w:r>
        <w:rPr>
          <w:rFonts w:hint="cs"/>
          <w:rtl/>
        </w:rPr>
        <w:t>כאמור לעיל, הורשע הנאשם בעבירה של נסיון לאחזקת נשק חם בכל הנוגע לכלי נשק זה, כלומר, מבחינת המחשבה הפלילית אצל הנאשם, סבר כי מדובר בכלי נשק תקין.</w:t>
      </w:r>
    </w:p>
    <w:p w14:paraId="07FEFEB1" w14:textId="77777777" w:rsidR="00624D25" w:rsidRDefault="00624D25" w:rsidP="00624D25">
      <w:pPr>
        <w:rPr>
          <w:rtl/>
        </w:rPr>
      </w:pPr>
    </w:p>
    <w:p w14:paraId="5C7D85D8" w14:textId="77777777" w:rsidR="00624D25" w:rsidRDefault="00624D25" w:rsidP="00624D25">
      <w:pPr>
        <w:rPr>
          <w:rFonts w:ascii="Calibri" w:hAnsi="Calibri"/>
          <w:rtl/>
        </w:rPr>
      </w:pPr>
      <w:r>
        <w:rPr>
          <w:rFonts w:hint="cs"/>
          <w:rtl/>
        </w:rPr>
        <w:t xml:space="preserve">במסגרת </w:t>
      </w:r>
      <w:hyperlink r:id="rId30" w:history="1">
        <w:r w:rsidR="000F0715" w:rsidRPr="000F0715">
          <w:rPr>
            <w:color w:val="0000FF"/>
            <w:u w:val="single"/>
            <w:rtl/>
          </w:rPr>
          <w:t>סעיף 34 ד'</w:t>
        </w:r>
      </w:hyperlink>
      <w:r>
        <w:rPr>
          <w:rFonts w:hint="cs"/>
          <w:rtl/>
        </w:rPr>
        <w:t xml:space="preserve"> </w:t>
      </w:r>
      <w:r>
        <w:rPr>
          <w:rFonts w:ascii="Calibri" w:hAnsi="Calibri" w:hint="cs"/>
          <w:rtl/>
        </w:rPr>
        <w:t>ל</w:t>
      </w:r>
      <w:hyperlink r:id="rId31" w:history="1">
        <w:r w:rsidR="006F1EB3" w:rsidRPr="006F1EB3">
          <w:rPr>
            <w:rFonts w:ascii="Calibri" w:hAnsi="Calibri" w:hint="eastAsia"/>
            <w:color w:val="0000FF"/>
            <w:u w:val="single"/>
            <w:rtl/>
          </w:rPr>
          <w:t>חוק</w:t>
        </w:r>
        <w:r w:rsidR="006F1EB3" w:rsidRPr="006F1EB3">
          <w:rPr>
            <w:rFonts w:ascii="Calibri" w:hAnsi="Calibri"/>
            <w:color w:val="0000FF"/>
            <w:u w:val="single"/>
            <w:rtl/>
          </w:rPr>
          <w:t xml:space="preserve"> </w:t>
        </w:r>
        <w:r w:rsidR="006F1EB3" w:rsidRPr="006F1EB3">
          <w:rPr>
            <w:rFonts w:ascii="Calibri" w:hAnsi="Calibri" w:hint="eastAsia"/>
            <w:color w:val="0000FF"/>
            <w:u w:val="single"/>
            <w:rtl/>
          </w:rPr>
          <w:t>העונשין</w:t>
        </w:r>
      </w:hyperlink>
      <w:r w:rsidRPr="00527DA7">
        <w:rPr>
          <w:rFonts w:ascii="Calibri" w:hAnsi="Calibri"/>
          <w:rtl/>
        </w:rPr>
        <w:t xml:space="preserve">, </w:t>
      </w:r>
      <w:r w:rsidRPr="00527DA7">
        <w:rPr>
          <w:rFonts w:ascii="Calibri" w:hAnsi="Calibri" w:hint="eastAsia"/>
          <w:rtl/>
        </w:rPr>
        <w:t>תשל</w:t>
      </w:r>
      <w:r w:rsidRPr="00527DA7">
        <w:rPr>
          <w:rFonts w:ascii="Calibri" w:hAnsi="Calibri"/>
          <w:rtl/>
        </w:rPr>
        <w:t>"</w:t>
      </w:r>
      <w:r w:rsidRPr="00527DA7">
        <w:rPr>
          <w:rFonts w:ascii="Calibri" w:hAnsi="Calibri" w:hint="eastAsia"/>
          <w:rtl/>
        </w:rPr>
        <w:t>ז</w:t>
      </w:r>
      <w:r>
        <w:rPr>
          <w:rFonts w:ascii="Calibri" w:hAnsi="Calibri" w:hint="cs"/>
          <w:rtl/>
        </w:rPr>
        <w:t xml:space="preserve"> - </w:t>
      </w:r>
      <w:r w:rsidRPr="00527DA7">
        <w:rPr>
          <w:rFonts w:ascii="Calibri" w:hAnsi="Calibri"/>
          <w:rtl/>
        </w:rPr>
        <w:t>19</w:t>
      </w:r>
      <w:r>
        <w:rPr>
          <w:rFonts w:ascii="Calibri" w:hAnsi="Calibri"/>
          <w:rtl/>
        </w:rPr>
        <w:t>77</w:t>
      </w:r>
      <w:r>
        <w:rPr>
          <w:rFonts w:ascii="Calibri" w:hAnsi="Calibri" w:hint="cs"/>
          <w:rtl/>
        </w:rPr>
        <w:t xml:space="preserve">, אשר התקבל כחלק מתיקון מס' 39 לאותו חוק משנת תשנ"ד </w:t>
      </w:r>
      <w:r>
        <w:rPr>
          <w:rFonts w:ascii="Calibri" w:hAnsi="Calibri"/>
          <w:rtl/>
        </w:rPr>
        <w:t>–</w:t>
      </w:r>
      <w:r>
        <w:rPr>
          <w:rFonts w:ascii="Calibri" w:hAnsi="Calibri" w:hint="cs"/>
          <w:rtl/>
        </w:rPr>
        <w:t xml:space="preserve"> 1994, הושווה ענשו של המנסה לעבור עבירה לעונש שיוטל על מי שעבר העבירה המוגמרת, למעט אם נקבע אחרת בחיקוק. בכך, חיווה המחוקק דעתו, כי אין מקום להקלה בעונש, כאשר העבירה לא הושלמה, כשמבחינת הנאשם עצמו, הכוונה היתה לעבור עבירה מושלמת.</w:t>
      </w:r>
    </w:p>
    <w:p w14:paraId="56849C7D" w14:textId="77777777" w:rsidR="00624D25" w:rsidRDefault="00624D25" w:rsidP="00624D25">
      <w:pPr>
        <w:rPr>
          <w:rFonts w:ascii="Calibri" w:hAnsi="Calibri"/>
          <w:rtl/>
        </w:rPr>
      </w:pPr>
    </w:p>
    <w:p w14:paraId="38744C44" w14:textId="77777777" w:rsidR="00624D25" w:rsidRDefault="00624D25" w:rsidP="00624D25">
      <w:pPr>
        <w:rPr>
          <w:rtl/>
        </w:rPr>
      </w:pPr>
      <w:r>
        <w:rPr>
          <w:rFonts w:hint="cs"/>
          <w:rtl/>
        </w:rPr>
        <w:t>הוסף לאמור, האפשרות לשים היד על אותו חלק חסר - הנוקר, או אף לייצר חלק כזה, ובכך להפוך הנשק לכלי נשק תקין בעל פוטנציאל קטלני, אינה כזו הכרוכה בהכרח במאמצים מיוחדים.</w:t>
      </w:r>
    </w:p>
    <w:p w14:paraId="609E92E9" w14:textId="77777777" w:rsidR="00624D25" w:rsidRDefault="00624D25" w:rsidP="00624D25">
      <w:pPr>
        <w:rPr>
          <w:rtl/>
        </w:rPr>
      </w:pPr>
    </w:p>
    <w:p w14:paraId="3E76D60D" w14:textId="77777777" w:rsidR="00624D25" w:rsidRDefault="00624D25" w:rsidP="00624D25">
      <w:pPr>
        <w:rPr>
          <w:rtl/>
        </w:rPr>
      </w:pPr>
      <w:r>
        <w:rPr>
          <w:rFonts w:hint="cs"/>
          <w:rtl/>
        </w:rPr>
        <w:t>עם זאת, בכל הנוגע לפוטנציאל הסיכון הנובע מכלי נשק זה, ינתן משקל מסוים לכך, שהמדובר בנשק החסר את רכיב  הנוקר, בקביעת מתחם הענישה.</w:t>
      </w:r>
    </w:p>
    <w:p w14:paraId="6FFE8FA7" w14:textId="77777777" w:rsidR="00624D25" w:rsidRDefault="00624D25" w:rsidP="00624D25">
      <w:pPr>
        <w:rPr>
          <w:rtl/>
        </w:rPr>
      </w:pPr>
    </w:p>
    <w:p w14:paraId="13D9FF31" w14:textId="77777777" w:rsidR="00624D25" w:rsidRDefault="00624D25" w:rsidP="00624D25">
      <w:pPr>
        <w:rPr>
          <w:rtl/>
        </w:rPr>
      </w:pPr>
      <w:r>
        <w:rPr>
          <w:rFonts w:hint="cs"/>
          <w:rtl/>
        </w:rPr>
        <w:t xml:space="preserve">לאור כל האמור, מוצא בית המשפט לקבוע מתחמי ענישה כדלקמן: </w:t>
      </w:r>
    </w:p>
    <w:p w14:paraId="2D1FC8A7" w14:textId="77777777" w:rsidR="00624D25" w:rsidRDefault="00624D25" w:rsidP="00624D25">
      <w:pPr>
        <w:rPr>
          <w:rtl/>
        </w:rPr>
      </w:pPr>
    </w:p>
    <w:p w14:paraId="37617DF1" w14:textId="77777777" w:rsidR="00624D25" w:rsidRDefault="00624D25" w:rsidP="00624D25">
      <w:pPr>
        <w:pStyle w:val="a9"/>
        <w:numPr>
          <w:ilvl w:val="0"/>
          <w:numId w:val="1"/>
        </w:numPr>
        <w:rPr>
          <w:rtl/>
        </w:rPr>
      </w:pPr>
      <w:r>
        <w:rPr>
          <w:rFonts w:hint="cs"/>
          <w:rtl/>
        </w:rPr>
        <w:t xml:space="preserve">בכל הנוגע לאחזקת נשק אוטומטי מסוג רובה סער או תת מקלע </w:t>
      </w:r>
      <w:r>
        <w:rPr>
          <w:rtl/>
        </w:rPr>
        <w:t>–</w:t>
      </w:r>
      <w:r>
        <w:rPr>
          <w:rFonts w:hint="cs"/>
          <w:rtl/>
        </w:rPr>
        <w:t xml:space="preserve"> בין שנה ועד שלוש שנות מאסר בפועל;</w:t>
      </w:r>
    </w:p>
    <w:p w14:paraId="32296722" w14:textId="77777777" w:rsidR="00624D25" w:rsidRDefault="00624D25" w:rsidP="00624D25">
      <w:pPr>
        <w:rPr>
          <w:rtl/>
        </w:rPr>
      </w:pPr>
    </w:p>
    <w:p w14:paraId="7966625C" w14:textId="77777777" w:rsidR="00624D25" w:rsidRDefault="00624D25" w:rsidP="00624D25">
      <w:pPr>
        <w:pStyle w:val="a9"/>
        <w:numPr>
          <w:ilvl w:val="0"/>
          <w:numId w:val="1"/>
        </w:numPr>
        <w:rPr>
          <w:rtl/>
        </w:rPr>
      </w:pPr>
      <w:r>
        <w:rPr>
          <w:rFonts w:hint="cs"/>
          <w:rtl/>
        </w:rPr>
        <w:t xml:space="preserve">בכל הנוגע לאחזקת נשק קצר מסוג אקדח, כאשר אינו תקין לירי </w:t>
      </w:r>
      <w:r>
        <w:rPr>
          <w:rtl/>
        </w:rPr>
        <w:t>–</w:t>
      </w:r>
      <w:r>
        <w:rPr>
          <w:rFonts w:hint="cs"/>
          <w:rtl/>
        </w:rPr>
        <w:t xml:space="preserve"> בין 10 חדשים ועד שנתיים מאסר בפועל;</w:t>
      </w:r>
    </w:p>
    <w:p w14:paraId="67D8498C" w14:textId="77777777" w:rsidR="00624D25" w:rsidRDefault="00624D25" w:rsidP="00624D25">
      <w:pPr>
        <w:rPr>
          <w:rtl/>
        </w:rPr>
      </w:pPr>
    </w:p>
    <w:p w14:paraId="6F8A6FE0" w14:textId="77777777" w:rsidR="00624D25" w:rsidRDefault="00624D25" w:rsidP="00624D25">
      <w:pPr>
        <w:pStyle w:val="a9"/>
        <w:numPr>
          <w:ilvl w:val="0"/>
          <w:numId w:val="1"/>
        </w:numPr>
      </w:pPr>
      <w:r>
        <w:rPr>
          <w:rFonts w:hint="cs"/>
          <w:rtl/>
        </w:rPr>
        <w:t xml:space="preserve">בכל הנוגע לאחזקת תחמושת בכמות של קליעים בודדים או עשרות קליעים </w:t>
      </w:r>
      <w:r>
        <w:rPr>
          <w:rtl/>
        </w:rPr>
        <w:t>–</w:t>
      </w:r>
      <w:r>
        <w:rPr>
          <w:rFonts w:hint="cs"/>
          <w:rtl/>
        </w:rPr>
        <w:t xml:space="preserve"> עד 6 חדשי מאסר בפועל.</w:t>
      </w:r>
    </w:p>
    <w:p w14:paraId="2CF2D36C" w14:textId="77777777" w:rsidR="00624D25" w:rsidRDefault="00624D25" w:rsidP="00624D25">
      <w:pPr>
        <w:pStyle w:val="a9"/>
        <w:rPr>
          <w:rtl/>
        </w:rPr>
      </w:pPr>
    </w:p>
    <w:p w14:paraId="7AA59133" w14:textId="77777777" w:rsidR="00624D25" w:rsidRDefault="00624D25" w:rsidP="00624D25">
      <w:pPr>
        <w:rPr>
          <w:rtl/>
        </w:rPr>
      </w:pPr>
      <w:r>
        <w:rPr>
          <w:rFonts w:hint="cs"/>
          <w:rtl/>
        </w:rPr>
        <w:t>אשר למתחם הענישה הכולל בתיק זה, תוך חפיפה מסוימת בין המתחמים שנקבעו, יועמד בין 18 ועד 42 חדשי מאסר בפועל.</w:t>
      </w:r>
    </w:p>
    <w:p w14:paraId="3CC04FDB" w14:textId="77777777" w:rsidR="00624D25" w:rsidRDefault="00624D25" w:rsidP="00624D25">
      <w:pPr>
        <w:rPr>
          <w:rtl/>
        </w:rPr>
      </w:pPr>
    </w:p>
    <w:p w14:paraId="38C467FD" w14:textId="77777777" w:rsidR="00624D25" w:rsidRDefault="00624D25" w:rsidP="00624D25">
      <w:pPr>
        <w:rPr>
          <w:rtl/>
        </w:rPr>
      </w:pPr>
    </w:p>
    <w:p w14:paraId="61D6302C" w14:textId="77777777" w:rsidR="00624D25" w:rsidRPr="006542FE" w:rsidRDefault="00624D25" w:rsidP="00624D25">
      <w:pPr>
        <w:rPr>
          <w:b/>
          <w:bCs/>
          <w:rtl/>
        </w:rPr>
      </w:pPr>
      <w:r w:rsidRPr="006542FE">
        <w:rPr>
          <w:rFonts w:hint="cs"/>
          <w:b/>
          <w:bCs/>
          <w:rtl/>
        </w:rPr>
        <w:t xml:space="preserve">אשר לקביעת הענישה הספציפית במסגרת המתחם: </w:t>
      </w:r>
    </w:p>
    <w:p w14:paraId="7102EAF6" w14:textId="77777777" w:rsidR="00624D25" w:rsidRDefault="00624D25" w:rsidP="00624D25">
      <w:pPr>
        <w:rPr>
          <w:rtl/>
        </w:rPr>
      </w:pPr>
    </w:p>
    <w:p w14:paraId="17FCDD8D" w14:textId="77777777" w:rsidR="00624D25" w:rsidRDefault="00624D25" w:rsidP="00624D25">
      <w:pPr>
        <w:rPr>
          <w:rtl/>
        </w:rPr>
      </w:pPr>
      <w:r>
        <w:rPr>
          <w:rFonts w:hint="cs"/>
          <w:rtl/>
        </w:rPr>
        <w:t>הנאשם רכש שני כלי נשק שונים, בצירוף תחמושת, לאחר תכנון מראש ותוך השקעת טבין ותקילין בסכום משמעותי. עובדות אלה מצביעות, כפי שהתרשם גם שירות המבחן, על נחישות של ממש להשגת מטרתו.</w:t>
      </w:r>
    </w:p>
    <w:p w14:paraId="5ACC1934" w14:textId="77777777" w:rsidR="00624D25" w:rsidRDefault="00624D25" w:rsidP="00624D25">
      <w:pPr>
        <w:rPr>
          <w:rtl/>
        </w:rPr>
      </w:pPr>
    </w:p>
    <w:p w14:paraId="62EFB575" w14:textId="77777777" w:rsidR="00624D25" w:rsidRDefault="00624D25" w:rsidP="00624D25">
      <w:pPr>
        <w:rPr>
          <w:rtl/>
        </w:rPr>
      </w:pPr>
      <w:r>
        <w:rPr>
          <w:rFonts w:hint="cs"/>
          <w:rtl/>
        </w:rPr>
        <w:t xml:space="preserve">הנימוקים שמסר הנאשם בפני שירות המבחן לאחזקת הנשק ("גבריותו ודימויו העצמי"), ספק אם  יש ליתן להם משקל, באשר אינם נתמכים בראיות כלשהן. יתר על כן, קשה להסביר רכישה של </w:t>
      </w:r>
      <w:r w:rsidRPr="006542FE">
        <w:rPr>
          <w:rFonts w:hint="cs"/>
          <w:u w:val="single"/>
          <w:rtl/>
        </w:rPr>
        <w:t>שני</w:t>
      </w:r>
      <w:r>
        <w:rPr>
          <w:rFonts w:hint="cs"/>
          <w:rtl/>
        </w:rPr>
        <w:t xml:space="preserve"> כלי נשק, אחד מהם </w:t>
      </w:r>
      <w:r>
        <w:rPr>
          <w:rtl/>
        </w:rPr>
        <w:t>–</w:t>
      </w:r>
      <w:r>
        <w:rPr>
          <w:rFonts w:hint="cs"/>
          <w:rtl/>
        </w:rPr>
        <w:t xml:space="preserve"> נשק ארוך אוטומטי, רק לצורך זה. ואף שירות המבחן למבוגרים התרשם, כי הנאשם </w:t>
      </w:r>
      <w:r w:rsidRPr="006542FE">
        <w:rPr>
          <w:rFonts w:hint="cs"/>
          <w:u w:val="single"/>
          <w:rtl/>
        </w:rPr>
        <w:t>נוקט בעמדה מצמצמת ומטשטשת ונמנע מלשתף במחשבותיו ובשיקוליו</w:t>
      </w:r>
      <w:r>
        <w:rPr>
          <w:rFonts w:hint="cs"/>
          <w:rtl/>
        </w:rPr>
        <w:t>.</w:t>
      </w:r>
    </w:p>
    <w:p w14:paraId="211133FB" w14:textId="77777777" w:rsidR="00624D25" w:rsidRDefault="00624D25" w:rsidP="00624D25">
      <w:pPr>
        <w:rPr>
          <w:rtl/>
        </w:rPr>
      </w:pPr>
    </w:p>
    <w:p w14:paraId="2C03DBEF" w14:textId="77777777" w:rsidR="00624D25" w:rsidRDefault="00624D25" w:rsidP="00624D25">
      <w:pPr>
        <w:rPr>
          <w:rtl/>
        </w:rPr>
      </w:pPr>
      <w:r>
        <w:rPr>
          <w:rFonts w:hint="cs"/>
          <w:rtl/>
        </w:rPr>
        <w:t xml:space="preserve">הנשק שהוחזק הוסלק בבית הנאשם ומעצם האופן בו הוחזק </w:t>
      </w:r>
      <w:r>
        <w:rPr>
          <w:rtl/>
        </w:rPr>
        <w:t>–</w:t>
      </w:r>
      <w:r>
        <w:rPr>
          <w:rFonts w:hint="cs"/>
          <w:rtl/>
        </w:rPr>
        <w:t xml:space="preserve"> האחד בתוך גרב, והשני </w:t>
      </w:r>
      <w:r>
        <w:rPr>
          <w:rtl/>
        </w:rPr>
        <w:t>–</w:t>
      </w:r>
      <w:r>
        <w:rPr>
          <w:rFonts w:hint="cs"/>
          <w:rtl/>
        </w:rPr>
        <w:t xml:space="preserve"> בתוך מגבת, חבואים בארון, ניתן ללמוד על העובדה, כי הנאשם היה מודע לכך, שהמדובר באחזקת נשק בלתי חוקית וכי אחזקתו לא היתה תמימה.</w:t>
      </w:r>
    </w:p>
    <w:p w14:paraId="2B1918B2" w14:textId="77777777" w:rsidR="00624D25" w:rsidRDefault="00624D25" w:rsidP="00624D25">
      <w:pPr>
        <w:rPr>
          <w:rtl/>
        </w:rPr>
      </w:pPr>
    </w:p>
    <w:p w14:paraId="7CD53954" w14:textId="77777777" w:rsidR="00624D25" w:rsidRDefault="00624D25" w:rsidP="00624D25">
      <w:pPr>
        <w:rPr>
          <w:rtl/>
        </w:rPr>
      </w:pPr>
      <w:r>
        <w:rPr>
          <w:rFonts w:hint="cs"/>
          <w:rtl/>
        </w:rPr>
        <w:t>נשק המוחזק לצורך הוכחת ה"גבריות" והדימוי העצמי, כפי דברי הנאשם, היה מוצג לראווה ולא מוסלק וחבוי.</w:t>
      </w:r>
    </w:p>
    <w:p w14:paraId="1B055576" w14:textId="77777777" w:rsidR="00624D25" w:rsidRDefault="00624D25" w:rsidP="00624D25">
      <w:pPr>
        <w:rPr>
          <w:rtl/>
        </w:rPr>
      </w:pPr>
    </w:p>
    <w:p w14:paraId="36AC52C7" w14:textId="77777777" w:rsidR="00624D25" w:rsidRDefault="00624D25" w:rsidP="00624D25">
      <w:pPr>
        <w:rPr>
          <w:rtl/>
        </w:rPr>
      </w:pPr>
      <w:r>
        <w:rPr>
          <w:rFonts w:hint="cs"/>
          <w:rtl/>
        </w:rPr>
        <w:t>כל אלה מצביעים לכיוון החמרה במסגרת מתחם הענישה.</w:t>
      </w:r>
    </w:p>
    <w:p w14:paraId="0BF07E01" w14:textId="77777777" w:rsidR="00624D25" w:rsidRDefault="00624D25" w:rsidP="00624D25">
      <w:pPr>
        <w:rPr>
          <w:rtl/>
        </w:rPr>
      </w:pPr>
    </w:p>
    <w:p w14:paraId="241E9A72" w14:textId="77777777" w:rsidR="00624D25" w:rsidRDefault="00624D25" w:rsidP="00624D25">
      <w:pPr>
        <w:rPr>
          <w:rtl/>
        </w:rPr>
      </w:pPr>
      <w:r>
        <w:rPr>
          <w:rFonts w:hint="cs"/>
          <w:rtl/>
        </w:rPr>
        <w:t xml:space="preserve">מנגד, הודה הנאשם בעבירות בהזדמנות הראשונה; </w:t>
      </w:r>
    </w:p>
    <w:p w14:paraId="4517D617" w14:textId="77777777" w:rsidR="00624D25" w:rsidRDefault="00624D25" w:rsidP="00624D25">
      <w:pPr>
        <w:rPr>
          <w:rtl/>
        </w:rPr>
      </w:pPr>
    </w:p>
    <w:p w14:paraId="3E7CFF8E" w14:textId="77777777" w:rsidR="00624D25" w:rsidRDefault="00624D25" w:rsidP="00624D25">
      <w:pPr>
        <w:rPr>
          <w:rtl/>
        </w:rPr>
      </w:pPr>
      <w:r>
        <w:rPr>
          <w:rFonts w:hint="cs"/>
          <w:rtl/>
        </w:rPr>
        <w:t xml:space="preserve">לא הוצגו ראיות או אינדיקציות על כוונה לשימוש שלילי בנשק שנתפס; </w:t>
      </w:r>
    </w:p>
    <w:p w14:paraId="5C64C433" w14:textId="77777777" w:rsidR="00624D25" w:rsidRDefault="00624D25" w:rsidP="00624D25">
      <w:pPr>
        <w:rPr>
          <w:rtl/>
        </w:rPr>
      </w:pPr>
    </w:p>
    <w:p w14:paraId="20C7BBA9" w14:textId="77777777" w:rsidR="00624D25" w:rsidRDefault="00624D25" w:rsidP="00624D25">
      <w:pPr>
        <w:rPr>
          <w:rtl/>
        </w:rPr>
      </w:pPr>
      <w:r>
        <w:rPr>
          <w:rFonts w:hint="cs"/>
          <w:rtl/>
        </w:rPr>
        <w:t xml:space="preserve">עד למעצרו, לא נתפס הנאשם מסתבך הנאשם עם החוק </w:t>
      </w:r>
      <w:r>
        <w:rPr>
          <w:rtl/>
        </w:rPr>
        <w:t>–</w:t>
      </w:r>
      <w:r>
        <w:rPr>
          <w:rFonts w:hint="cs"/>
          <w:rtl/>
        </w:rPr>
        <w:t xml:space="preserve"> </w:t>
      </w:r>
    </w:p>
    <w:p w14:paraId="297701C9" w14:textId="77777777" w:rsidR="00624D25" w:rsidRDefault="00624D25" w:rsidP="00624D25">
      <w:pPr>
        <w:rPr>
          <w:rtl/>
        </w:rPr>
      </w:pPr>
    </w:p>
    <w:p w14:paraId="558C491F" w14:textId="77777777" w:rsidR="00624D25" w:rsidRDefault="00624D25" w:rsidP="00624D25">
      <w:pPr>
        <w:rPr>
          <w:rtl/>
        </w:rPr>
      </w:pPr>
      <w:r>
        <w:rPr>
          <w:rFonts w:hint="cs"/>
          <w:rtl/>
        </w:rPr>
        <w:t>כל אלה מצביעים לכיוון הקלה במסגרת מתחם הענישה.</w:t>
      </w:r>
    </w:p>
    <w:p w14:paraId="01DE0095" w14:textId="77777777" w:rsidR="00624D25" w:rsidRDefault="00624D25" w:rsidP="00624D25">
      <w:pPr>
        <w:rPr>
          <w:rtl/>
        </w:rPr>
      </w:pPr>
    </w:p>
    <w:p w14:paraId="3CC91132" w14:textId="77777777" w:rsidR="00624D25" w:rsidRDefault="00624D25" w:rsidP="00624D25">
      <w:pPr>
        <w:rPr>
          <w:rtl/>
        </w:rPr>
      </w:pPr>
      <w:r>
        <w:rPr>
          <w:rFonts w:hint="cs"/>
          <w:rtl/>
        </w:rPr>
        <w:t xml:space="preserve">אשר להמלצתו הענשית של שירות המבחן בסיפא לתסקיר </w:t>
      </w:r>
      <w:r>
        <w:rPr>
          <w:rtl/>
        </w:rPr>
        <w:t>–</w:t>
      </w:r>
      <w:r>
        <w:rPr>
          <w:rFonts w:hint="cs"/>
          <w:rtl/>
        </w:rPr>
        <w:t xml:space="preserve"> מוצא בית המשפט, כי זו אינה עומדת כלל במסגרת מתחם הענישה הנוהג בדין. </w:t>
      </w:r>
    </w:p>
    <w:p w14:paraId="08A5866F" w14:textId="77777777" w:rsidR="00624D25" w:rsidRDefault="00624D25" w:rsidP="00624D25">
      <w:pPr>
        <w:rPr>
          <w:rtl/>
        </w:rPr>
      </w:pPr>
    </w:p>
    <w:p w14:paraId="5122FD95" w14:textId="77777777" w:rsidR="00624D25" w:rsidRDefault="00624D25" w:rsidP="00624D25">
      <w:pPr>
        <w:rPr>
          <w:rtl/>
        </w:rPr>
      </w:pPr>
      <w:r>
        <w:rPr>
          <w:rFonts w:hint="cs"/>
          <w:rtl/>
        </w:rPr>
        <w:t>חריגה ממתחם הענישה אפשרית מטעמי שיקום בלבד. דא עקא, במקרה דנן, אין עולה כל מצוקה חריגה ממנה סובל הנאשם, המצדיקה שיקומו. ההיפך הוא הנכון, כאמור, מסר הנאשם לעורכת התסקיר, כי גדל במשפחה נורמטיבית, ברווחה יחסית  ואין עולה מדבריו, כי נקלע לעבור העבירות כתוצאה מצורך או מהתמכרות כשלהי.</w:t>
      </w:r>
    </w:p>
    <w:p w14:paraId="46670BE1" w14:textId="77777777" w:rsidR="00624D25" w:rsidRDefault="00624D25" w:rsidP="00624D25">
      <w:pPr>
        <w:rPr>
          <w:rtl/>
        </w:rPr>
      </w:pPr>
    </w:p>
    <w:p w14:paraId="7A3F8CE7" w14:textId="77777777" w:rsidR="00624D25" w:rsidRDefault="00624D25" w:rsidP="00624D25">
      <w:pPr>
        <w:rPr>
          <w:rtl/>
        </w:rPr>
      </w:pPr>
      <w:r>
        <w:rPr>
          <w:rFonts w:hint="cs"/>
          <w:rtl/>
        </w:rPr>
        <w:t>הוסף לאמור, נמנע הנאשם מליטול אחריות מלאה למעשיו או לשתף את שירות המבחן במחשבותיו או בשיקוליו, ועל כן גם - נמנע שירות המבחן מלבוא בהמלצה טיפולית.</w:t>
      </w:r>
    </w:p>
    <w:p w14:paraId="730D75C6" w14:textId="77777777" w:rsidR="00624D25" w:rsidRDefault="00624D25" w:rsidP="00624D25">
      <w:pPr>
        <w:rPr>
          <w:rtl/>
        </w:rPr>
      </w:pPr>
    </w:p>
    <w:p w14:paraId="666C1082" w14:textId="77777777" w:rsidR="00624D25" w:rsidRDefault="00624D25" w:rsidP="00624D25">
      <w:pPr>
        <w:rPr>
          <w:rtl/>
        </w:rPr>
      </w:pPr>
      <w:r>
        <w:rPr>
          <w:rFonts w:hint="cs"/>
          <w:rtl/>
        </w:rPr>
        <w:t>בנסיבות אלה, אין בנמצא כל עילה לחרוג ממתחם הענישה, במקרה דנן, לצרכי שיקום.</w:t>
      </w:r>
    </w:p>
    <w:p w14:paraId="5AC23480" w14:textId="77777777" w:rsidR="00624D25" w:rsidRDefault="00624D25" w:rsidP="00624D25">
      <w:pPr>
        <w:rPr>
          <w:rtl/>
        </w:rPr>
      </w:pPr>
    </w:p>
    <w:p w14:paraId="6764F434" w14:textId="77777777" w:rsidR="00624D25" w:rsidRDefault="00624D25" w:rsidP="00624D25">
      <w:pPr>
        <w:rPr>
          <w:rtl/>
        </w:rPr>
      </w:pPr>
      <w:r>
        <w:rPr>
          <w:rFonts w:hint="cs"/>
          <w:rtl/>
        </w:rPr>
        <w:t>באיזון בין השיקולים השונים לחומרה ולקולא, בהיעדר הסתבכויות קודמות, מוצא בית המשפט להשית על הנאשם עונש מאסר בפועל על הצד הנמוך של מתחם הענישה, אם גם לא ברף הנמוך ממש, וזאת לנוכח מאפיני החומרה שפורטו לעיל.</w:t>
      </w:r>
    </w:p>
    <w:p w14:paraId="26F969B3" w14:textId="77777777" w:rsidR="00624D25" w:rsidRDefault="00624D25" w:rsidP="00624D25">
      <w:pPr>
        <w:rPr>
          <w:rtl/>
        </w:rPr>
      </w:pPr>
    </w:p>
    <w:p w14:paraId="4958C6B4" w14:textId="77777777" w:rsidR="00624D25" w:rsidRDefault="00624D25" w:rsidP="00624D25">
      <w:pPr>
        <w:rPr>
          <w:rtl/>
        </w:rPr>
      </w:pPr>
      <w:r>
        <w:rPr>
          <w:rFonts w:hint="cs"/>
          <w:rtl/>
        </w:rPr>
        <w:t xml:space="preserve">לנוכח כך שהמדובר בעבירות במסגרתן הועבר סכום כסף ממשי לרכישת כלי הנשק, ולדברי הנאשם בשירות המבחן, אף התכוון לסחור בכלי הנשק בעתיד </w:t>
      </w:r>
      <w:r>
        <w:rPr>
          <w:rtl/>
        </w:rPr>
        <w:t>–</w:t>
      </w:r>
      <w:r>
        <w:rPr>
          <w:rFonts w:hint="cs"/>
          <w:rtl/>
        </w:rPr>
        <w:t xml:space="preserve"> מוצא בית המשפט להשית עיצום כספי, שלא יפחת משווי כלי הנשק כפי רכישתם כמפורט בכתב האישום.</w:t>
      </w:r>
    </w:p>
    <w:p w14:paraId="6DCBB696" w14:textId="77777777" w:rsidR="00624D25" w:rsidRDefault="00624D25" w:rsidP="00624D25">
      <w:pPr>
        <w:rPr>
          <w:rtl/>
        </w:rPr>
      </w:pPr>
    </w:p>
    <w:p w14:paraId="3B289878" w14:textId="77777777" w:rsidR="00624D25" w:rsidRDefault="00624D25" w:rsidP="00624D25">
      <w:pPr>
        <w:rPr>
          <w:rtl/>
        </w:rPr>
      </w:pPr>
      <w:r>
        <w:rPr>
          <w:rFonts w:hint="cs"/>
          <w:rtl/>
        </w:rPr>
        <w:t xml:space="preserve">משלא הובררו עד תום מניעי הנאשם להחזקת שני כלי הנשק והתחמושת </w:t>
      </w:r>
      <w:r>
        <w:rPr>
          <w:rtl/>
        </w:rPr>
        <w:t>–</w:t>
      </w:r>
      <w:r>
        <w:rPr>
          <w:rFonts w:hint="cs"/>
          <w:rtl/>
        </w:rPr>
        <w:t xml:space="preserve"> מוצא בית המשפט גם להשית מאסר מותנה מרתיע.</w:t>
      </w:r>
    </w:p>
    <w:p w14:paraId="1F6E16BA" w14:textId="77777777" w:rsidR="00624D25" w:rsidRDefault="00624D25" w:rsidP="00624D25">
      <w:pPr>
        <w:rPr>
          <w:rtl/>
        </w:rPr>
      </w:pPr>
    </w:p>
    <w:p w14:paraId="5D6A9CF5" w14:textId="77777777" w:rsidR="00624D25" w:rsidRDefault="00624D25" w:rsidP="00624D25">
      <w:pPr>
        <w:rPr>
          <w:rtl/>
        </w:rPr>
      </w:pPr>
      <w:r>
        <w:rPr>
          <w:rFonts w:hint="cs"/>
          <w:rtl/>
        </w:rPr>
        <w:t>בית המשפט דן את הנאשם לענשים כדלקמן:</w:t>
      </w:r>
    </w:p>
    <w:p w14:paraId="5E145678" w14:textId="77777777" w:rsidR="00624D25" w:rsidRDefault="00624D25" w:rsidP="00624D25">
      <w:pPr>
        <w:rPr>
          <w:rtl/>
        </w:rPr>
      </w:pPr>
    </w:p>
    <w:p w14:paraId="4D460FE9" w14:textId="77777777" w:rsidR="00624D25" w:rsidRDefault="00624D25" w:rsidP="00624D25">
      <w:pPr>
        <w:pStyle w:val="a9"/>
        <w:numPr>
          <w:ilvl w:val="0"/>
          <w:numId w:val="2"/>
        </w:numPr>
        <w:rPr>
          <w:rtl/>
        </w:rPr>
      </w:pPr>
      <w:r>
        <w:rPr>
          <w:rFonts w:hint="cs"/>
          <w:rtl/>
        </w:rPr>
        <w:t>20 חדשי מאסר בפועל, בניכוי ימי מעצרו, ככל שקיימים, בהתאם לרישומי שב"ס;</w:t>
      </w:r>
    </w:p>
    <w:p w14:paraId="13DD4114" w14:textId="77777777" w:rsidR="00624D25" w:rsidRDefault="00624D25" w:rsidP="00624D25">
      <w:pPr>
        <w:rPr>
          <w:rtl/>
        </w:rPr>
      </w:pPr>
    </w:p>
    <w:p w14:paraId="2A16512B" w14:textId="77777777" w:rsidR="00624D25" w:rsidRDefault="00624D25" w:rsidP="00624D25">
      <w:pPr>
        <w:pStyle w:val="a9"/>
        <w:numPr>
          <w:ilvl w:val="0"/>
          <w:numId w:val="2"/>
        </w:numPr>
        <w:rPr>
          <w:rtl/>
        </w:rPr>
      </w:pPr>
      <w:r>
        <w:rPr>
          <w:rFonts w:hint="cs"/>
          <w:rtl/>
        </w:rPr>
        <w:t xml:space="preserve">12 חדשי מאסר על תנאי למשך 3 שנים מיום שחרורו של הנאשם ממאסרו, שהנאשם לא יעבור עבירה בניגוד </w:t>
      </w:r>
      <w:r w:rsidRPr="00195F2F">
        <w:rPr>
          <w:rFonts w:ascii="Calibri" w:hAnsi="Calibri" w:hint="cs"/>
          <w:rtl/>
        </w:rPr>
        <w:t>ל</w:t>
      </w:r>
      <w:hyperlink r:id="rId32" w:history="1">
        <w:r w:rsidR="006F1EB3" w:rsidRPr="006F1EB3">
          <w:rPr>
            <w:rFonts w:ascii="Calibri" w:hAnsi="Calibri" w:hint="eastAsia"/>
            <w:color w:val="0000FF"/>
            <w:u w:val="single"/>
            <w:rtl/>
          </w:rPr>
          <w:t>חוק</w:t>
        </w:r>
        <w:r w:rsidR="006F1EB3" w:rsidRPr="006F1EB3">
          <w:rPr>
            <w:rFonts w:ascii="Calibri" w:hAnsi="Calibri"/>
            <w:color w:val="0000FF"/>
            <w:u w:val="single"/>
            <w:rtl/>
          </w:rPr>
          <w:t xml:space="preserve"> </w:t>
        </w:r>
        <w:r w:rsidR="006F1EB3" w:rsidRPr="006F1EB3">
          <w:rPr>
            <w:rFonts w:ascii="Calibri" w:hAnsi="Calibri" w:hint="eastAsia"/>
            <w:color w:val="0000FF"/>
            <w:u w:val="single"/>
            <w:rtl/>
          </w:rPr>
          <w:t>העונשין</w:t>
        </w:r>
      </w:hyperlink>
      <w:r w:rsidRPr="00195F2F">
        <w:rPr>
          <w:rFonts w:ascii="Calibri" w:hAnsi="Calibri"/>
          <w:rtl/>
        </w:rPr>
        <w:t xml:space="preserve">, </w:t>
      </w:r>
      <w:r w:rsidRPr="00195F2F">
        <w:rPr>
          <w:rFonts w:ascii="Calibri" w:hAnsi="Calibri" w:hint="eastAsia"/>
          <w:rtl/>
        </w:rPr>
        <w:t>תשל</w:t>
      </w:r>
      <w:r w:rsidRPr="00195F2F">
        <w:rPr>
          <w:rFonts w:ascii="Calibri" w:hAnsi="Calibri"/>
          <w:rtl/>
        </w:rPr>
        <w:t>"</w:t>
      </w:r>
      <w:r w:rsidRPr="00195F2F">
        <w:rPr>
          <w:rFonts w:ascii="Calibri" w:hAnsi="Calibri" w:hint="eastAsia"/>
          <w:rtl/>
        </w:rPr>
        <w:t>ז</w:t>
      </w:r>
      <w:r w:rsidRPr="00195F2F">
        <w:rPr>
          <w:rFonts w:ascii="Calibri" w:hAnsi="Calibri" w:hint="cs"/>
          <w:rtl/>
        </w:rPr>
        <w:t>-</w:t>
      </w:r>
      <w:r w:rsidRPr="00195F2F">
        <w:rPr>
          <w:rFonts w:ascii="Calibri" w:hAnsi="Calibri"/>
          <w:rtl/>
        </w:rPr>
        <w:t>1977</w:t>
      </w:r>
      <w:r w:rsidRPr="00195F2F">
        <w:rPr>
          <w:rFonts w:ascii="Calibri" w:hAnsi="Calibri" w:hint="cs"/>
          <w:rtl/>
        </w:rPr>
        <w:t xml:space="preserve">, </w:t>
      </w:r>
      <w:hyperlink r:id="rId33" w:history="1">
        <w:r w:rsidR="000F0715" w:rsidRPr="000F0715">
          <w:rPr>
            <w:rFonts w:ascii="Calibri" w:hAnsi="Calibri" w:hint="eastAsia"/>
            <w:color w:val="0000FF"/>
            <w:u w:val="single"/>
            <w:rtl/>
          </w:rPr>
          <w:t>פרק</w:t>
        </w:r>
        <w:r w:rsidR="000F0715" w:rsidRPr="000F0715">
          <w:rPr>
            <w:rFonts w:ascii="Calibri" w:hAnsi="Calibri"/>
            <w:color w:val="0000FF"/>
            <w:u w:val="single"/>
            <w:rtl/>
          </w:rPr>
          <w:t xml:space="preserve"> </w:t>
        </w:r>
        <w:r w:rsidR="000F0715" w:rsidRPr="000F0715">
          <w:rPr>
            <w:rFonts w:ascii="Calibri" w:hAnsi="Calibri" w:hint="eastAsia"/>
            <w:color w:val="0000FF"/>
            <w:u w:val="single"/>
            <w:rtl/>
          </w:rPr>
          <w:t>ח</w:t>
        </w:r>
        <w:r w:rsidR="000F0715" w:rsidRPr="000F0715">
          <w:rPr>
            <w:rFonts w:ascii="Calibri" w:hAnsi="Calibri"/>
            <w:color w:val="0000FF"/>
            <w:u w:val="single"/>
            <w:rtl/>
          </w:rPr>
          <w:t>'</w:t>
        </w:r>
      </w:hyperlink>
      <w:r w:rsidRPr="00195F2F">
        <w:rPr>
          <w:rFonts w:ascii="Calibri" w:hAnsi="Calibri" w:hint="cs"/>
          <w:rtl/>
        </w:rPr>
        <w:t xml:space="preserve"> </w:t>
      </w:r>
      <w:hyperlink r:id="rId34" w:history="1">
        <w:r w:rsidR="000F0715" w:rsidRPr="000F0715">
          <w:rPr>
            <w:rFonts w:ascii="Calibri" w:hAnsi="Calibri" w:hint="eastAsia"/>
            <w:color w:val="0000FF"/>
            <w:u w:val="single"/>
            <w:rtl/>
          </w:rPr>
          <w:t>סימן</w:t>
        </w:r>
        <w:r w:rsidR="000F0715" w:rsidRPr="000F0715">
          <w:rPr>
            <w:rFonts w:ascii="Calibri" w:hAnsi="Calibri"/>
            <w:color w:val="0000FF"/>
            <w:u w:val="single"/>
            <w:rtl/>
          </w:rPr>
          <w:t xml:space="preserve"> </w:t>
        </w:r>
        <w:r w:rsidR="000F0715" w:rsidRPr="000F0715">
          <w:rPr>
            <w:rFonts w:ascii="Calibri" w:hAnsi="Calibri" w:hint="eastAsia"/>
            <w:color w:val="0000FF"/>
            <w:u w:val="single"/>
            <w:rtl/>
          </w:rPr>
          <w:t>א</w:t>
        </w:r>
        <w:r w:rsidR="000F0715" w:rsidRPr="000F0715">
          <w:rPr>
            <w:rFonts w:ascii="Calibri" w:hAnsi="Calibri"/>
            <w:color w:val="0000FF"/>
            <w:u w:val="single"/>
            <w:rtl/>
          </w:rPr>
          <w:t>'</w:t>
        </w:r>
      </w:hyperlink>
      <w:r w:rsidRPr="00195F2F">
        <w:rPr>
          <w:rFonts w:ascii="Calibri" w:hAnsi="Calibri" w:hint="cs"/>
          <w:rtl/>
        </w:rPr>
        <w:t xml:space="preserve">, למעט עבירה בניגוד </w:t>
      </w:r>
      <w:hyperlink r:id="rId35" w:history="1">
        <w:r w:rsidR="000F0715" w:rsidRPr="000F0715">
          <w:rPr>
            <w:rFonts w:ascii="Calibri" w:hAnsi="Calibri" w:hint="eastAsia"/>
            <w:color w:val="0000FF"/>
            <w:u w:val="single"/>
            <w:rtl/>
          </w:rPr>
          <w:t>לסעיף</w:t>
        </w:r>
        <w:r w:rsidR="000F0715" w:rsidRPr="000F0715">
          <w:rPr>
            <w:rFonts w:ascii="Calibri" w:hAnsi="Calibri"/>
            <w:color w:val="0000FF"/>
            <w:u w:val="single"/>
            <w:rtl/>
          </w:rPr>
          <w:t xml:space="preserve"> 144(</w:t>
        </w:r>
        <w:r w:rsidR="000F0715" w:rsidRPr="000F0715">
          <w:rPr>
            <w:rFonts w:ascii="Calibri" w:hAnsi="Calibri" w:hint="eastAsia"/>
            <w:color w:val="0000FF"/>
            <w:u w:val="single"/>
            <w:rtl/>
          </w:rPr>
          <w:t>א</w:t>
        </w:r>
        <w:r w:rsidR="000F0715" w:rsidRPr="000F0715">
          <w:rPr>
            <w:rFonts w:ascii="Calibri" w:hAnsi="Calibri"/>
            <w:color w:val="0000FF"/>
            <w:u w:val="single"/>
            <w:rtl/>
          </w:rPr>
          <w:t>)</w:t>
        </w:r>
      </w:hyperlink>
      <w:r w:rsidRPr="00195F2F">
        <w:rPr>
          <w:rFonts w:ascii="Calibri" w:hAnsi="Calibri" w:hint="cs"/>
          <w:rtl/>
        </w:rPr>
        <w:t xml:space="preserve"> סיפא לאותו חוק;</w:t>
      </w:r>
    </w:p>
    <w:p w14:paraId="35349B3D" w14:textId="77777777" w:rsidR="00624D25" w:rsidRPr="00571D50" w:rsidRDefault="00624D25" w:rsidP="00624D25">
      <w:pPr>
        <w:rPr>
          <w:rtl/>
        </w:rPr>
      </w:pPr>
    </w:p>
    <w:p w14:paraId="3E344AFA" w14:textId="77777777" w:rsidR="00624D25" w:rsidRPr="00195F2F" w:rsidRDefault="00624D25" w:rsidP="00624D25">
      <w:pPr>
        <w:pStyle w:val="a9"/>
        <w:numPr>
          <w:ilvl w:val="0"/>
          <w:numId w:val="2"/>
        </w:numPr>
        <w:rPr>
          <w:rFonts w:ascii="Calibri" w:hAnsi="Calibri"/>
          <w:rtl/>
        </w:rPr>
      </w:pPr>
      <w:r w:rsidRPr="00195F2F">
        <w:rPr>
          <w:rFonts w:ascii="Calibri" w:hAnsi="Calibri" w:hint="cs"/>
          <w:rtl/>
        </w:rPr>
        <w:t>7 חדשי מאסר על תנאי למשך 3 שנים מיום שחרורו של הנאשם ממאסרו, שהנאשם לא יעבור עבירה בניגוד ל</w:t>
      </w:r>
      <w:hyperlink r:id="rId36" w:history="1">
        <w:r w:rsidR="006F1EB3" w:rsidRPr="006F1EB3">
          <w:rPr>
            <w:rFonts w:ascii="Calibri" w:hAnsi="Calibri" w:hint="eastAsia"/>
            <w:color w:val="0000FF"/>
            <w:u w:val="single"/>
            <w:rtl/>
          </w:rPr>
          <w:t>חוק</w:t>
        </w:r>
        <w:r w:rsidR="006F1EB3" w:rsidRPr="006F1EB3">
          <w:rPr>
            <w:rFonts w:ascii="Calibri" w:hAnsi="Calibri"/>
            <w:color w:val="0000FF"/>
            <w:u w:val="single"/>
            <w:rtl/>
          </w:rPr>
          <w:t xml:space="preserve"> </w:t>
        </w:r>
        <w:r w:rsidR="006F1EB3" w:rsidRPr="006F1EB3">
          <w:rPr>
            <w:rFonts w:ascii="Calibri" w:hAnsi="Calibri" w:hint="eastAsia"/>
            <w:color w:val="0000FF"/>
            <w:u w:val="single"/>
            <w:rtl/>
          </w:rPr>
          <w:t>העונשין</w:t>
        </w:r>
      </w:hyperlink>
      <w:r w:rsidRPr="00195F2F">
        <w:rPr>
          <w:rFonts w:ascii="Calibri" w:hAnsi="Calibri"/>
          <w:rtl/>
        </w:rPr>
        <w:t xml:space="preserve">, </w:t>
      </w:r>
      <w:r w:rsidRPr="00195F2F">
        <w:rPr>
          <w:rFonts w:ascii="Calibri" w:hAnsi="Calibri" w:hint="eastAsia"/>
          <w:rtl/>
        </w:rPr>
        <w:t>תשל</w:t>
      </w:r>
      <w:r w:rsidRPr="00195F2F">
        <w:rPr>
          <w:rFonts w:ascii="Calibri" w:hAnsi="Calibri"/>
          <w:rtl/>
        </w:rPr>
        <w:t>"</w:t>
      </w:r>
      <w:r w:rsidRPr="00195F2F">
        <w:rPr>
          <w:rFonts w:ascii="Calibri" w:hAnsi="Calibri" w:hint="eastAsia"/>
          <w:rtl/>
        </w:rPr>
        <w:t>ז</w:t>
      </w:r>
      <w:r w:rsidRPr="00195F2F">
        <w:rPr>
          <w:rFonts w:ascii="Calibri" w:hAnsi="Calibri" w:hint="cs"/>
          <w:rtl/>
        </w:rPr>
        <w:t>-</w:t>
      </w:r>
      <w:r w:rsidRPr="00195F2F">
        <w:rPr>
          <w:rFonts w:ascii="Calibri" w:hAnsi="Calibri"/>
          <w:rtl/>
        </w:rPr>
        <w:t>1977</w:t>
      </w:r>
      <w:r w:rsidRPr="00195F2F">
        <w:rPr>
          <w:rFonts w:ascii="Calibri" w:hAnsi="Calibri" w:hint="cs"/>
          <w:rtl/>
        </w:rPr>
        <w:t xml:space="preserve">, </w:t>
      </w:r>
      <w:hyperlink r:id="rId37" w:history="1">
        <w:r w:rsidR="000F0715" w:rsidRPr="000F0715">
          <w:rPr>
            <w:rFonts w:ascii="Calibri" w:hAnsi="Calibri" w:hint="eastAsia"/>
            <w:color w:val="0000FF"/>
            <w:u w:val="single"/>
            <w:rtl/>
          </w:rPr>
          <w:t>סעיף</w:t>
        </w:r>
        <w:r w:rsidR="000F0715" w:rsidRPr="000F0715">
          <w:rPr>
            <w:rFonts w:ascii="Calibri" w:hAnsi="Calibri"/>
            <w:color w:val="0000FF"/>
            <w:u w:val="single"/>
            <w:rtl/>
          </w:rPr>
          <w:t xml:space="preserve"> 144(</w:t>
        </w:r>
        <w:r w:rsidR="000F0715" w:rsidRPr="000F0715">
          <w:rPr>
            <w:rFonts w:ascii="Calibri" w:hAnsi="Calibri" w:hint="eastAsia"/>
            <w:color w:val="0000FF"/>
            <w:u w:val="single"/>
            <w:rtl/>
          </w:rPr>
          <w:t>א</w:t>
        </w:r>
        <w:r w:rsidR="000F0715" w:rsidRPr="000F0715">
          <w:rPr>
            <w:rFonts w:ascii="Calibri" w:hAnsi="Calibri"/>
            <w:color w:val="0000FF"/>
            <w:u w:val="single"/>
            <w:rtl/>
          </w:rPr>
          <w:t>)</w:t>
        </w:r>
      </w:hyperlink>
      <w:r w:rsidRPr="00195F2F">
        <w:rPr>
          <w:rFonts w:ascii="Calibri" w:hAnsi="Calibri" w:hint="cs"/>
          <w:rtl/>
        </w:rPr>
        <w:t xml:space="preserve"> סיפא או </w:t>
      </w:r>
      <w:hyperlink r:id="rId38" w:history="1">
        <w:r w:rsidR="000F0715" w:rsidRPr="000F0715">
          <w:rPr>
            <w:rFonts w:ascii="Calibri" w:hAnsi="Calibri" w:hint="eastAsia"/>
            <w:color w:val="0000FF"/>
            <w:u w:val="single"/>
            <w:rtl/>
          </w:rPr>
          <w:t>סעיף</w:t>
        </w:r>
        <w:r w:rsidR="000F0715" w:rsidRPr="000F0715">
          <w:rPr>
            <w:rFonts w:ascii="Calibri" w:hAnsi="Calibri"/>
            <w:color w:val="0000FF"/>
            <w:u w:val="single"/>
            <w:rtl/>
          </w:rPr>
          <w:t xml:space="preserve"> 186</w:t>
        </w:r>
      </w:hyperlink>
      <w:r w:rsidRPr="00195F2F">
        <w:rPr>
          <w:rFonts w:ascii="Calibri" w:hAnsi="Calibri" w:hint="cs"/>
          <w:rtl/>
        </w:rPr>
        <w:t>;</w:t>
      </w:r>
    </w:p>
    <w:p w14:paraId="772D2E29" w14:textId="77777777" w:rsidR="00624D25" w:rsidRDefault="00624D25" w:rsidP="00624D25">
      <w:pPr>
        <w:rPr>
          <w:rFonts w:ascii="Calibri" w:hAnsi="Calibri"/>
          <w:rtl/>
        </w:rPr>
      </w:pPr>
    </w:p>
    <w:p w14:paraId="1B50D6D4" w14:textId="77777777" w:rsidR="00624D25" w:rsidRPr="00195F2F" w:rsidRDefault="00624D25" w:rsidP="00624D25">
      <w:pPr>
        <w:pStyle w:val="a9"/>
        <w:numPr>
          <w:ilvl w:val="0"/>
          <w:numId w:val="2"/>
        </w:numPr>
        <w:rPr>
          <w:rFonts w:ascii="Calibri" w:hAnsi="Calibri"/>
          <w:rtl/>
        </w:rPr>
      </w:pPr>
      <w:r w:rsidRPr="00195F2F">
        <w:rPr>
          <w:rFonts w:ascii="Calibri" w:hAnsi="Calibri" w:hint="cs"/>
          <w:rtl/>
        </w:rPr>
        <w:t xml:space="preserve">קנס בסך 12,000 </w:t>
      </w:r>
      <w:r w:rsidRPr="00195F2F">
        <w:rPr>
          <w:rFonts w:ascii="Calibri" w:hAnsi="Calibri" w:hint="eastAsia"/>
          <w:rtl/>
        </w:rPr>
        <w:t>₪</w:t>
      </w:r>
      <w:r w:rsidRPr="00195F2F">
        <w:rPr>
          <w:rFonts w:ascii="Calibri" w:hAnsi="Calibri" w:hint="cs"/>
          <w:rtl/>
        </w:rPr>
        <w:t xml:space="preserve"> או 75 ימי מאסר תמורתו. הקנס ישולם עד ליום 11/12/17.</w:t>
      </w:r>
    </w:p>
    <w:p w14:paraId="074E4747" w14:textId="77777777" w:rsidR="00624D25" w:rsidRDefault="00624D25" w:rsidP="00624D25">
      <w:pPr>
        <w:rPr>
          <w:rFonts w:ascii="Calibri" w:hAnsi="Calibri"/>
          <w:rtl/>
        </w:rPr>
      </w:pPr>
    </w:p>
    <w:p w14:paraId="61113479" w14:textId="77777777" w:rsidR="00624D25" w:rsidRDefault="00624D25" w:rsidP="00624D25">
      <w:pPr>
        <w:rPr>
          <w:rFonts w:ascii="Calibri" w:hAnsi="Calibri"/>
          <w:rtl/>
        </w:rPr>
      </w:pPr>
    </w:p>
    <w:p w14:paraId="6C17034F" w14:textId="77777777" w:rsidR="00624D25" w:rsidRDefault="00624D25" w:rsidP="00624D25">
      <w:pPr>
        <w:rPr>
          <w:rFonts w:ascii="Calibri" w:hAnsi="Calibri"/>
          <w:rtl/>
        </w:rPr>
      </w:pPr>
      <w:r>
        <w:rPr>
          <w:rFonts w:ascii="Calibri" w:hAnsi="Calibri" w:hint="cs"/>
          <w:rtl/>
        </w:rPr>
        <w:t>הנאשם יתיצב לריצוי ענשו כעת.</w:t>
      </w:r>
    </w:p>
    <w:p w14:paraId="49E6E97B" w14:textId="77777777" w:rsidR="00624D25" w:rsidRDefault="00624D25" w:rsidP="00624D25">
      <w:pPr>
        <w:rPr>
          <w:rFonts w:ascii="Calibri" w:hAnsi="Calibri"/>
          <w:rtl/>
        </w:rPr>
      </w:pPr>
    </w:p>
    <w:p w14:paraId="3A97F038" w14:textId="77777777" w:rsidR="00624D25" w:rsidRPr="00FD0AD8" w:rsidRDefault="006F1EB3" w:rsidP="00624D25">
      <w:pPr>
        <w:spacing w:after="160" w:line="276" w:lineRule="auto"/>
        <w:rPr>
          <w:rFonts w:ascii="Calibri" w:hAnsi="Calibri"/>
          <w:rtl/>
        </w:rPr>
      </w:pPr>
      <w:r w:rsidRPr="006F1EB3">
        <w:rPr>
          <w:rFonts w:ascii="Calibri" w:hAnsi="Calibri"/>
          <w:color w:val="FFFFFF"/>
          <w:sz w:val="2"/>
          <w:szCs w:val="2"/>
          <w:rtl/>
        </w:rPr>
        <w:t>5129371</w:t>
      </w:r>
      <w:r w:rsidR="00624D25" w:rsidRPr="00FD0AD8">
        <w:rPr>
          <w:rFonts w:ascii="Calibri" w:hAnsi="Calibri" w:hint="eastAsia"/>
          <w:rtl/>
        </w:rPr>
        <w:t>עותק</w:t>
      </w:r>
      <w:r w:rsidR="00624D25" w:rsidRPr="00FD0AD8">
        <w:rPr>
          <w:rFonts w:ascii="Calibri" w:hAnsi="Calibri"/>
          <w:rtl/>
        </w:rPr>
        <w:t xml:space="preserve"> </w:t>
      </w:r>
      <w:r w:rsidR="00624D25" w:rsidRPr="00FD0AD8">
        <w:rPr>
          <w:rFonts w:ascii="Calibri" w:hAnsi="Calibri" w:hint="eastAsia"/>
          <w:rtl/>
        </w:rPr>
        <w:t>גזר</w:t>
      </w:r>
      <w:r w:rsidR="00624D25" w:rsidRPr="00FD0AD8">
        <w:rPr>
          <w:rFonts w:ascii="Calibri" w:hAnsi="Calibri"/>
          <w:rtl/>
        </w:rPr>
        <w:t xml:space="preserve"> </w:t>
      </w:r>
      <w:r w:rsidR="00624D25" w:rsidRPr="00FD0AD8">
        <w:rPr>
          <w:rFonts w:ascii="Calibri" w:hAnsi="Calibri" w:hint="eastAsia"/>
          <w:rtl/>
        </w:rPr>
        <w:t>הדין</w:t>
      </w:r>
      <w:r w:rsidR="00624D25" w:rsidRPr="00FD0AD8">
        <w:rPr>
          <w:rFonts w:ascii="Calibri" w:hAnsi="Calibri"/>
          <w:rtl/>
        </w:rPr>
        <w:t xml:space="preserve"> </w:t>
      </w:r>
      <w:r w:rsidR="00624D25" w:rsidRPr="00FD0AD8">
        <w:rPr>
          <w:rFonts w:ascii="Calibri" w:hAnsi="Calibri" w:hint="eastAsia"/>
          <w:rtl/>
        </w:rPr>
        <w:t>יועבר</w:t>
      </w:r>
      <w:r w:rsidR="00624D25" w:rsidRPr="00FD0AD8">
        <w:rPr>
          <w:rFonts w:ascii="Calibri" w:hAnsi="Calibri"/>
          <w:rtl/>
        </w:rPr>
        <w:t xml:space="preserve"> </w:t>
      </w:r>
      <w:r w:rsidR="00624D25" w:rsidRPr="00FD0AD8">
        <w:rPr>
          <w:rFonts w:ascii="Calibri" w:hAnsi="Calibri" w:hint="eastAsia"/>
          <w:rtl/>
        </w:rPr>
        <w:t>לשירות</w:t>
      </w:r>
      <w:r w:rsidR="00624D25" w:rsidRPr="00FD0AD8">
        <w:rPr>
          <w:rFonts w:ascii="Calibri" w:hAnsi="Calibri"/>
          <w:rtl/>
        </w:rPr>
        <w:t xml:space="preserve"> </w:t>
      </w:r>
      <w:r w:rsidR="00624D25" w:rsidRPr="00FD0AD8">
        <w:rPr>
          <w:rFonts w:ascii="Calibri" w:hAnsi="Calibri" w:hint="eastAsia"/>
          <w:rtl/>
        </w:rPr>
        <w:t>המבחן</w:t>
      </w:r>
      <w:r w:rsidR="00624D25" w:rsidRPr="00FD0AD8">
        <w:rPr>
          <w:rFonts w:ascii="Calibri" w:hAnsi="Calibri"/>
          <w:rtl/>
        </w:rPr>
        <w:t xml:space="preserve"> </w:t>
      </w:r>
      <w:r w:rsidR="00624D25" w:rsidRPr="00FD0AD8">
        <w:rPr>
          <w:rFonts w:ascii="Calibri" w:hAnsi="Calibri" w:hint="eastAsia"/>
          <w:rtl/>
        </w:rPr>
        <w:t>למבוגרים</w:t>
      </w:r>
      <w:r w:rsidR="00624D25" w:rsidRPr="00FD0AD8">
        <w:rPr>
          <w:rFonts w:ascii="Calibri" w:hAnsi="Calibri"/>
          <w:rtl/>
        </w:rPr>
        <w:t>.</w:t>
      </w:r>
    </w:p>
    <w:p w14:paraId="71E77AB1" w14:textId="77777777" w:rsidR="00624D25" w:rsidRPr="001F3F60" w:rsidRDefault="006F1EB3" w:rsidP="00624D25">
      <w:pPr>
        <w:spacing w:after="160" w:line="276" w:lineRule="auto"/>
        <w:rPr>
          <w:rFonts w:ascii="Calibri" w:hAnsi="Calibri"/>
          <w:rtl/>
        </w:rPr>
      </w:pPr>
      <w:r w:rsidRPr="006F1EB3">
        <w:rPr>
          <w:rFonts w:ascii="Calibri" w:hAnsi="Calibri"/>
          <w:color w:val="FFFFFF"/>
          <w:sz w:val="2"/>
          <w:szCs w:val="2"/>
          <w:rtl/>
        </w:rPr>
        <w:t>54678313</w:t>
      </w:r>
      <w:r w:rsidR="00624D25" w:rsidRPr="00FD0AD8">
        <w:rPr>
          <w:rFonts w:ascii="Calibri" w:hAnsi="Calibri" w:hint="eastAsia"/>
          <w:rtl/>
        </w:rPr>
        <w:t>הודעה</w:t>
      </w:r>
      <w:r w:rsidR="00624D25" w:rsidRPr="00FD0AD8">
        <w:rPr>
          <w:rFonts w:ascii="Calibri" w:hAnsi="Calibri"/>
          <w:rtl/>
        </w:rPr>
        <w:t xml:space="preserve"> </w:t>
      </w:r>
      <w:r w:rsidR="00624D25" w:rsidRPr="00FD0AD8">
        <w:rPr>
          <w:rFonts w:ascii="Calibri" w:hAnsi="Calibri" w:hint="eastAsia"/>
          <w:rtl/>
        </w:rPr>
        <w:t>זכות</w:t>
      </w:r>
      <w:r w:rsidR="00624D25" w:rsidRPr="00FD0AD8">
        <w:rPr>
          <w:rFonts w:ascii="Calibri" w:hAnsi="Calibri"/>
          <w:rtl/>
        </w:rPr>
        <w:t xml:space="preserve"> </w:t>
      </w:r>
      <w:r w:rsidR="00624D25" w:rsidRPr="00FD0AD8">
        <w:rPr>
          <w:rFonts w:ascii="Calibri" w:hAnsi="Calibri" w:hint="eastAsia"/>
          <w:rtl/>
        </w:rPr>
        <w:t>הערעור</w:t>
      </w:r>
      <w:r w:rsidR="00624D25" w:rsidRPr="00FD0AD8">
        <w:rPr>
          <w:rFonts w:ascii="Calibri" w:hAnsi="Calibri"/>
          <w:rtl/>
        </w:rPr>
        <w:t>.</w:t>
      </w:r>
    </w:p>
    <w:p w14:paraId="585ADD26" w14:textId="77777777" w:rsidR="00624D25" w:rsidRDefault="00624D25" w:rsidP="00624D25">
      <w:pPr>
        <w:spacing w:line="360" w:lineRule="auto"/>
        <w:rPr>
          <w:rFonts w:ascii="Arial" w:hAnsi="Arial"/>
          <w:rtl/>
        </w:rPr>
      </w:pPr>
    </w:p>
    <w:p w14:paraId="30E2D698" w14:textId="77777777" w:rsidR="00624D25" w:rsidRDefault="006F1EB3" w:rsidP="00624D25">
      <w:pPr>
        <w:spacing w:line="360" w:lineRule="auto"/>
        <w:rPr>
          <w:rFonts w:ascii="Arial" w:hAnsi="Arial"/>
          <w:rtl/>
        </w:rPr>
      </w:pPr>
      <w:r>
        <w:rPr>
          <w:rFonts w:ascii="Arial" w:hAnsi="Arial"/>
          <w:rtl/>
        </w:rPr>
        <w:t xml:space="preserve">ניתנה היום, כ' אלול תשע"ז, 11 ספטמבר 2017, במעמד הצדדים. </w:t>
      </w:r>
    </w:p>
    <w:p w14:paraId="094F4C41" w14:textId="77777777" w:rsidR="00624D25" w:rsidRDefault="00624D25" w:rsidP="00624D25">
      <w:pPr>
        <w:spacing w:line="360" w:lineRule="auto"/>
        <w:ind w:left="3600" w:firstLine="720"/>
      </w:pPr>
      <w:r>
        <w:rPr>
          <w:rtl/>
        </w:rPr>
        <w:t xml:space="preserve">     </w:t>
      </w:r>
    </w:p>
    <w:p w14:paraId="422D1495" w14:textId="77777777" w:rsidR="00624D25" w:rsidRPr="000F0715" w:rsidRDefault="000F0715" w:rsidP="00624D25">
      <w:pPr>
        <w:spacing w:line="360" w:lineRule="auto"/>
        <w:ind w:left="3600" w:firstLine="720"/>
        <w:rPr>
          <w:rFonts w:ascii="Arial" w:hAnsi="Arial"/>
          <w:color w:val="FFFFFF"/>
          <w:sz w:val="2"/>
          <w:szCs w:val="2"/>
          <w:rtl/>
        </w:rPr>
      </w:pPr>
      <w:r w:rsidRPr="000F0715">
        <w:rPr>
          <w:rFonts w:ascii="Arial" w:hAnsi="Arial"/>
          <w:color w:val="FFFFFF"/>
          <w:sz w:val="2"/>
          <w:szCs w:val="2"/>
          <w:rtl/>
        </w:rPr>
        <w:t>5129371</w:t>
      </w:r>
    </w:p>
    <w:p w14:paraId="567B7018" w14:textId="77777777" w:rsidR="002D7B2F" w:rsidRPr="000F0715" w:rsidRDefault="000F0715" w:rsidP="006F1EB3">
      <w:pPr>
        <w:keepNext/>
        <w:rPr>
          <w:rFonts w:ascii="David" w:hAnsi="David" w:hint="cs"/>
          <w:color w:val="FFFFFF"/>
          <w:sz w:val="2"/>
          <w:szCs w:val="2"/>
          <w:rtl/>
        </w:rPr>
      </w:pPr>
      <w:r w:rsidRPr="000F0715">
        <w:rPr>
          <w:rFonts w:ascii="David" w:hAnsi="David"/>
          <w:color w:val="FFFFFF"/>
          <w:sz w:val="2"/>
          <w:szCs w:val="2"/>
          <w:rtl/>
        </w:rPr>
        <w:t>54678313</w:t>
      </w:r>
    </w:p>
    <w:p w14:paraId="58882BFF" w14:textId="77777777" w:rsidR="006F1EB3" w:rsidRPr="006F1EB3" w:rsidRDefault="006F1EB3" w:rsidP="006F1EB3">
      <w:pPr>
        <w:keepNext/>
        <w:rPr>
          <w:rFonts w:ascii="David" w:hAnsi="David"/>
          <w:color w:val="000000"/>
          <w:sz w:val="22"/>
          <w:szCs w:val="22"/>
          <w:rtl/>
        </w:rPr>
      </w:pPr>
      <w:r w:rsidRPr="006F1EB3">
        <w:rPr>
          <w:rFonts w:ascii="David" w:hAnsi="David"/>
          <w:color w:val="000000"/>
          <w:sz w:val="22"/>
          <w:szCs w:val="22"/>
          <w:rtl/>
        </w:rPr>
        <w:t>רון סולקין 54678313</w:t>
      </w:r>
    </w:p>
    <w:p w14:paraId="7B0CC953" w14:textId="77777777" w:rsidR="006F1EB3" w:rsidRDefault="006F1EB3" w:rsidP="006F1EB3">
      <w:r w:rsidRPr="006F1EB3">
        <w:rPr>
          <w:color w:val="000000"/>
          <w:rtl/>
        </w:rPr>
        <w:t>נוסח מסמך זה כפוף לשינויי ניסוח ועריכה</w:t>
      </w:r>
    </w:p>
    <w:p w14:paraId="34946060" w14:textId="77777777" w:rsidR="006F1EB3" w:rsidRDefault="006F1EB3" w:rsidP="006F1EB3">
      <w:pPr>
        <w:rPr>
          <w:rtl/>
        </w:rPr>
      </w:pPr>
    </w:p>
    <w:p w14:paraId="3B421A04" w14:textId="77777777" w:rsidR="006F1EB3" w:rsidRDefault="006F1EB3" w:rsidP="006F1EB3">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71ECEECE" w14:textId="77777777" w:rsidR="006F1EB3" w:rsidRPr="006F1EB3" w:rsidRDefault="006F1EB3" w:rsidP="000F0715">
      <w:pPr>
        <w:rPr>
          <w:rFonts w:hint="cs"/>
          <w:color w:val="0000FF"/>
          <w:u w:val="single"/>
        </w:rPr>
      </w:pPr>
    </w:p>
    <w:sectPr w:rsidR="006F1EB3" w:rsidRPr="006F1EB3" w:rsidSect="000F0715">
      <w:headerReference w:type="even" r:id="rId40"/>
      <w:headerReference w:type="default" r:id="rId41"/>
      <w:footerReference w:type="even" r:id="rId42"/>
      <w:footerReference w:type="default" r:id="rId43"/>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25878F" w14:textId="77777777" w:rsidR="00E61222" w:rsidRDefault="00E61222" w:rsidP="001B31FE">
      <w:r>
        <w:separator/>
      </w:r>
    </w:p>
  </w:endnote>
  <w:endnote w:type="continuationSeparator" w:id="0">
    <w:p w14:paraId="562E795E" w14:textId="77777777" w:rsidR="00E61222" w:rsidRDefault="00E61222" w:rsidP="001B3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2D652" w14:textId="77777777" w:rsidR="00E61222" w:rsidRDefault="00E61222" w:rsidP="000F071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0FD4E3BB" w14:textId="77777777" w:rsidR="00E61222" w:rsidRPr="000F0715" w:rsidRDefault="00E61222" w:rsidP="000F0715">
    <w:pPr>
      <w:pStyle w:val="a5"/>
      <w:pBdr>
        <w:top w:val="single" w:sz="4" w:space="1" w:color="auto"/>
        <w:between w:val="single" w:sz="4" w:space="0" w:color="auto"/>
      </w:pBdr>
      <w:spacing w:after="60"/>
      <w:jc w:val="center"/>
      <w:rPr>
        <w:rFonts w:ascii="FrankRuehl" w:hAnsi="FrankRuehl" w:cs="FrankRuehl"/>
        <w:color w:val="000000"/>
      </w:rPr>
    </w:pPr>
    <w:r w:rsidRPr="000F071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02638" w14:textId="77777777" w:rsidR="00E61222" w:rsidRDefault="00E61222" w:rsidP="000F0715">
    <w:pPr>
      <w:pStyle w:val="a5"/>
      <w:jc w:val="center"/>
      <w:rPr>
        <w:rStyle w:val="a8"/>
        <w:rFonts w:ascii="FrankRuehl" w:hAnsi="FrankRuehl" w:cs="FrankRueh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276D57">
      <w:rPr>
        <w:rStyle w:val="a8"/>
        <w:rFonts w:ascii="FrankRuehl" w:hAnsi="FrankRuehl" w:cs="FrankRuehl"/>
        <w:noProof/>
        <w:rtl/>
      </w:rPr>
      <w:t>1</w:t>
    </w:r>
    <w:r>
      <w:rPr>
        <w:rStyle w:val="a8"/>
        <w:rFonts w:ascii="FrankRuehl" w:hAnsi="FrankRuehl" w:cs="FrankRuehl"/>
        <w:rtl/>
      </w:rPr>
      <w:fldChar w:fldCharType="end"/>
    </w:r>
  </w:p>
  <w:p w14:paraId="55A7317F" w14:textId="77777777" w:rsidR="00E61222" w:rsidRPr="000F0715" w:rsidRDefault="00E61222" w:rsidP="000F0715">
    <w:pPr>
      <w:pStyle w:val="a5"/>
      <w:pBdr>
        <w:top w:val="single" w:sz="4" w:space="1" w:color="auto"/>
        <w:between w:val="single" w:sz="4" w:space="0" w:color="auto"/>
      </w:pBdr>
      <w:spacing w:after="60"/>
      <w:jc w:val="center"/>
      <w:rPr>
        <w:rStyle w:val="a8"/>
        <w:rFonts w:ascii="FrankRuehl" w:hAnsi="FrankRuehl" w:cs="FrankRuehl" w:hint="cs"/>
        <w:color w:val="000000"/>
      </w:rPr>
    </w:pPr>
    <w:r w:rsidRPr="000F0715">
      <w:rPr>
        <w:rStyle w:val="a8"/>
        <w:rFonts w:ascii="FrankRuehl" w:hAnsi="FrankRuehl" w:cs="FrankRuehl" w:hint="cs"/>
        <w:color w:val="000000"/>
      </w:rPr>
      <w:pict w14:anchorId="1B6C9F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07BF3" w14:textId="77777777" w:rsidR="00E61222" w:rsidRDefault="00E61222" w:rsidP="001B31FE">
      <w:r>
        <w:separator/>
      </w:r>
    </w:p>
  </w:footnote>
  <w:footnote w:type="continuationSeparator" w:id="0">
    <w:p w14:paraId="01EDEFAF" w14:textId="77777777" w:rsidR="00E61222" w:rsidRDefault="00E61222" w:rsidP="001B3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B832B" w14:textId="77777777" w:rsidR="00E61222" w:rsidRPr="000F0715" w:rsidRDefault="00E61222" w:rsidP="000F07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32560-12-16</w:t>
    </w:r>
    <w:r>
      <w:rPr>
        <w:rFonts w:ascii="David" w:hAnsi="David"/>
        <w:color w:val="000000"/>
        <w:sz w:val="22"/>
        <w:szCs w:val="22"/>
        <w:rtl/>
      </w:rPr>
      <w:tab/>
      <w:t xml:space="preserve"> מדינת ישראל  נ' עיסאם בן עטוה אלסראיעה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67001" w14:textId="77777777" w:rsidR="00E61222" w:rsidRPr="000F0715" w:rsidRDefault="00E61222" w:rsidP="000F07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32560-12-16</w:t>
    </w:r>
    <w:r>
      <w:rPr>
        <w:rFonts w:ascii="David" w:hAnsi="David"/>
        <w:color w:val="000000"/>
        <w:sz w:val="22"/>
        <w:szCs w:val="22"/>
        <w:rtl/>
      </w:rPr>
      <w:tab/>
      <w:t xml:space="preserve"> מדינת ישראל  נ' עיסאם בן עטוה אלסראיעה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36B51"/>
    <w:multiLevelType w:val="hybridMultilevel"/>
    <w:tmpl w:val="AA5E652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C91F5A"/>
    <w:multiLevelType w:val="hybridMultilevel"/>
    <w:tmpl w:val="D3E0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9885886">
    <w:abstractNumId w:val="1"/>
  </w:num>
  <w:num w:numId="2" w16cid:durableId="1607232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24D25"/>
    <w:rsid w:val="000F0715"/>
    <w:rsid w:val="001B31FE"/>
    <w:rsid w:val="00276D57"/>
    <w:rsid w:val="002D7B2F"/>
    <w:rsid w:val="00624D25"/>
    <w:rsid w:val="006F1EB3"/>
    <w:rsid w:val="007E4A9A"/>
    <w:rsid w:val="0093004E"/>
    <w:rsid w:val="00BA16A0"/>
    <w:rsid w:val="00C17733"/>
    <w:rsid w:val="00D6235B"/>
    <w:rsid w:val="00E3466C"/>
    <w:rsid w:val="00E612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A789F29"/>
  <w15:chartTrackingRefBased/>
  <w15:docId w15:val="{7133C640-F8E1-4B81-BD95-174FCB90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4D2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24D25"/>
    <w:pPr>
      <w:tabs>
        <w:tab w:val="center" w:pos="4153"/>
        <w:tab w:val="right" w:pos="8306"/>
      </w:tabs>
    </w:pPr>
  </w:style>
  <w:style w:type="character" w:customStyle="1" w:styleId="a4">
    <w:name w:val="כותרת עליונה תו"/>
    <w:link w:val="a3"/>
    <w:rsid w:val="00624D25"/>
    <w:rPr>
      <w:rFonts w:ascii="Times New Roman" w:eastAsia="Times New Roman" w:hAnsi="Times New Roman" w:cs="David"/>
      <w:sz w:val="24"/>
      <w:szCs w:val="24"/>
    </w:rPr>
  </w:style>
  <w:style w:type="paragraph" w:styleId="a5">
    <w:name w:val="footer"/>
    <w:basedOn w:val="a"/>
    <w:link w:val="a6"/>
    <w:rsid w:val="00624D25"/>
    <w:pPr>
      <w:tabs>
        <w:tab w:val="center" w:pos="4153"/>
        <w:tab w:val="right" w:pos="8306"/>
      </w:tabs>
    </w:pPr>
  </w:style>
  <w:style w:type="character" w:customStyle="1" w:styleId="a6">
    <w:name w:val="כותרת תחתונה תו"/>
    <w:link w:val="a5"/>
    <w:rsid w:val="00624D25"/>
    <w:rPr>
      <w:rFonts w:ascii="Times New Roman" w:eastAsia="Times New Roman" w:hAnsi="Times New Roman" w:cs="David"/>
      <w:sz w:val="24"/>
      <w:szCs w:val="24"/>
    </w:rPr>
  </w:style>
  <w:style w:type="table" w:styleId="a7">
    <w:name w:val="Table Grid"/>
    <w:basedOn w:val="a1"/>
    <w:rsid w:val="00624D2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24D25"/>
    <w:rPr>
      <w:noProof w:val="0"/>
    </w:rPr>
  </w:style>
  <w:style w:type="paragraph" w:styleId="a9">
    <w:name w:val="List Paragraph"/>
    <w:basedOn w:val="a"/>
    <w:qFormat/>
    <w:rsid w:val="00624D25"/>
    <w:pPr>
      <w:ind w:left="720"/>
      <w:contextualSpacing/>
    </w:pPr>
  </w:style>
  <w:style w:type="character" w:styleId="aa">
    <w:name w:val="line number"/>
    <w:rsid w:val="00624D25"/>
  </w:style>
  <w:style w:type="character" w:styleId="Hyperlink">
    <w:name w:val="Hyperlink"/>
    <w:rsid w:val="006F1EB3"/>
    <w:rPr>
      <w:color w:val="0563C1"/>
      <w:u w:val="single"/>
    </w:rPr>
  </w:style>
  <w:style w:type="character" w:styleId="ab">
    <w:name w:val="Unresolved Mention"/>
    <w:rsid w:val="006F1E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86"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22607175"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7791493" TargetMode="External"/><Relationship Id="rId34" Type="http://schemas.openxmlformats.org/officeDocument/2006/relationships/hyperlink" Target="http://www.nevo.co.il/law/70301/aS" TargetMode="External"/><Relationship Id="rId42" Type="http://schemas.openxmlformats.org/officeDocument/2006/relationships/footer" Target="footer1.xml"/><Relationship Id="rId7" Type="http://schemas.openxmlformats.org/officeDocument/2006/relationships/hyperlink" Target="http://www.nevo.co.il/case/21778276"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22112345"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144.a"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hCaS" TargetMode="External"/><Relationship Id="rId23" Type="http://schemas.openxmlformats.org/officeDocument/2006/relationships/hyperlink" Target="http://www.nevo.co.il/case/6000182" TargetMode="External"/><Relationship Id="rId28" Type="http://schemas.openxmlformats.org/officeDocument/2006/relationships/hyperlink" Target="http://www.nevo.co.il/law/70301/144.b"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34d" TargetMode="External"/><Relationship Id="rId19" Type="http://schemas.openxmlformats.org/officeDocument/2006/relationships/hyperlink" Target="http://www.nevo.co.il/law/70301/25" TargetMode="External"/><Relationship Id="rId31" Type="http://schemas.openxmlformats.org/officeDocument/2006/relationships/hyperlink" Target="http://www.nevo.co.il/law/70301"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25" TargetMode="External"/><Relationship Id="rId14" Type="http://schemas.openxmlformats.org/officeDocument/2006/relationships/hyperlink" Target="http://www.nevo.co.il/law/70301/aS" TargetMode="External"/><Relationship Id="rId22" Type="http://schemas.openxmlformats.org/officeDocument/2006/relationships/hyperlink" Target="http://www.nevo.co.il/case/5852404" TargetMode="External"/><Relationship Id="rId27" Type="http://schemas.openxmlformats.org/officeDocument/2006/relationships/hyperlink" Target="http://www.nevo.co.il/case/7791493" TargetMode="External"/><Relationship Id="rId30" Type="http://schemas.openxmlformats.org/officeDocument/2006/relationships/hyperlink" Target="http://www.nevo.co.il/law/70301/34d" TargetMode="External"/><Relationship Id="rId35" Type="http://schemas.openxmlformats.org/officeDocument/2006/relationships/hyperlink" Target="http://www.nevo.co.il/law/70301/144.a" TargetMode="External"/><Relationship Id="rId43" Type="http://schemas.openxmlformats.org/officeDocument/2006/relationships/footer" Target="footer2.xml"/><Relationship Id="rId8"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2001830" TargetMode="External"/><Relationship Id="rId33" Type="http://schemas.openxmlformats.org/officeDocument/2006/relationships/hyperlink" Target="http://www.nevo.co.il/law/70301/hCaS" TargetMode="External"/><Relationship Id="rId38" Type="http://schemas.openxmlformats.org/officeDocument/2006/relationships/hyperlink" Target="http://www.nevo.co.il/law/70301/186" TargetMode="External"/><Relationship Id="rId20" Type="http://schemas.openxmlformats.org/officeDocument/2006/relationships/hyperlink" Target="http://www.nevo.co.il/case/16913730"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2566</Words>
  <Characters>12833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15369</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7143524</vt:i4>
      </vt:variant>
      <vt:variant>
        <vt:i4>93</vt:i4>
      </vt:variant>
      <vt:variant>
        <vt:i4>0</vt:i4>
      </vt:variant>
      <vt:variant>
        <vt:i4>5</vt:i4>
      </vt:variant>
      <vt:variant>
        <vt:lpwstr>http://www.nevo.co.il/law/70301/186</vt:lpwstr>
      </vt:variant>
      <vt:variant>
        <vt:lpwstr/>
      </vt:variant>
      <vt:variant>
        <vt:i4>5177424</vt:i4>
      </vt:variant>
      <vt:variant>
        <vt:i4>90</vt:i4>
      </vt:variant>
      <vt:variant>
        <vt:i4>0</vt:i4>
      </vt:variant>
      <vt:variant>
        <vt:i4>5</vt:i4>
      </vt:variant>
      <vt:variant>
        <vt:lpwstr>http://www.nevo.co.il/law/70301/144.a</vt:lpwstr>
      </vt:variant>
      <vt:variant>
        <vt:lpwstr/>
      </vt:variant>
      <vt:variant>
        <vt:i4>7995492</vt:i4>
      </vt:variant>
      <vt:variant>
        <vt:i4>87</vt:i4>
      </vt:variant>
      <vt:variant>
        <vt:i4>0</vt:i4>
      </vt:variant>
      <vt:variant>
        <vt:i4>5</vt:i4>
      </vt:variant>
      <vt:variant>
        <vt:lpwstr>http://www.nevo.co.il/law/70301</vt:lpwstr>
      </vt:variant>
      <vt:variant>
        <vt:lpwstr/>
      </vt:variant>
      <vt:variant>
        <vt:i4>5177424</vt:i4>
      </vt:variant>
      <vt:variant>
        <vt:i4>84</vt:i4>
      </vt:variant>
      <vt:variant>
        <vt:i4>0</vt:i4>
      </vt:variant>
      <vt:variant>
        <vt:i4>5</vt:i4>
      </vt:variant>
      <vt:variant>
        <vt:lpwstr>http://www.nevo.co.il/law/70301/144.a</vt:lpwstr>
      </vt:variant>
      <vt:variant>
        <vt:lpwstr/>
      </vt:variant>
      <vt:variant>
        <vt:i4>2490420</vt:i4>
      </vt:variant>
      <vt:variant>
        <vt:i4>81</vt:i4>
      </vt:variant>
      <vt:variant>
        <vt:i4>0</vt:i4>
      </vt:variant>
      <vt:variant>
        <vt:i4>5</vt:i4>
      </vt:variant>
      <vt:variant>
        <vt:lpwstr>http://www.nevo.co.il/law/70301/aS</vt:lpwstr>
      </vt:variant>
      <vt:variant>
        <vt:lpwstr/>
      </vt:variant>
      <vt:variant>
        <vt:i4>4522076</vt:i4>
      </vt:variant>
      <vt:variant>
        <vt:i4>78</vt:i4>
      </vt:variant>
      <vt:variant>
        <vt:i4>0</vt:i4>
      </vt:variant>
      <vt:variant>
        <vt:i4>5</vt:i4>
      </vt:variant>
      <vt:variant>
        <vt:lpwstr>http://www.nevo.co.il/law/70301/hCaS</vt:lpwstr>
      </vt:variant>
      <vt:variant>
        <vt:lpwstr/>
      </vt:variant>
      <vt:variant>
        <vt:i4>7995492</vt:i4>
      </vt:variant>
      <vt:variant>
        <vt:i4>75</vt:i4>
      </vt:variant>
      <vt:variant>
        <vt:i4>0</vt:i4>
      </vt:variant>
      <vt:variant>
        <vt:i4>5</vt:i4>
      </vt:variant>
      <vt:variant>
        <vt:lpwstr>http://www.nevo.co.il/law/70301</vt:lpwstr>
      </vt:variant>
      <vt:variant>
        <vt:lpwstr/>
      </vt:variant>
      <vt:variant>
        <vt:i4>7995492</vt:i4>
      </vt:variant>
      <vt:variant>
        <vt:i4>72</vt:i4>
      </vt:variant>
      <vt:variant>
        <vt:i4>0</vt:i4>
      </vt:variant>
      <vt:variant>
        <vt:i4>5</vt:i4>
      </vt:variant>
      <vt:variant>
        <vt:lpwstr>http://www.nevo.co.il/law/70301</vt:lpwstr>
      </vt:variant>
      <vt:variant>
        <vt:lpwstr/>
      </vt:variant>
      <vt:variant>
        <vt:i4>6357094</vt:i4>
      </vt:variant>
      <vt:variant>
        <vt:i4>69</vt:i4>
      </vt:variant>
      <vt:variant>
        <vt:i4>0</vt:i4>
      </vt:variant>
      <vt:variant>
        <vt:i4>5</vt:i4>
      </vt:variant>
      <vt:variant>
        <vt:lpwstr>http://www.nevo.co.il/law/70301/34d</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3735675</vt:i4>
      </vt:variant>
      <vt:variant>
        <vt:i4>60</vt:i4>
      </vt:variant>
      <vt:variant>
        <vt:i4>0</vt:i4>
      </vt:variant>
      <vt:variant>
        <vt:i4>5</vt:i4>
      </vt:variant>
      <vt:variant>
        <vt:lpwstr>http://www.nevo.co.il/case/7791493</vt:lpwstr>
      </vt:variant>
      <vt:variant>
        <vt:lpwstr/>
      </vt:variant>
      <vt:variant>
        <vt:i4>3407991</vt:i4>
      </vt:variant>
      <vt:variant>
        <vt:i4>57</vt:i4>
      </vt:variant>
      <vt:variant>
        <vt:i4>0</vt:i4>
      </vt:variant>
      <vt:variant>
        <vt:i4>5</vt:i4>
      </vt:variant>
      <vt:variant>
        <vt:lpwstr>http://www.nevo.co.il/case/22607175</vt:lpwstr>
      </vt:variant>
      <vt:variant>
        <vt:lpwstr/>
      </vt:variant>
      <vt:variant>
        <vt:i4>3145854</vt:i4>
      </vt:variant>
      <vt:variant>
        <vt:i4>54</vt:i4>
      </vt:variant>
      <vt:variant>
        <vt:i4>0</vt:i4>
      </vt:variant>
      <vt:variant>
        <vt:i4>5</vt:i4>
      </vt:variant>
      <vt:variant>
        <vt:lpwstr>http://www.nevo.co.il/case/22001830</vt:lpwstr>
      </vt:variant>
      <vt:variant>
        <vt:lpwstr/>
      </vt:variant>
      <vt:variant>
        <vt:i4>3473524</vt:i4>
      </vt:variant>
      <vt:variant>
        <vt:i4>51</vt:i4>
      </vt:variant>
      <vt:variant>
        <vt:i4>0</vt:i4>
      </vt:variant>
      <vt:variant>
        <vt:i4>5</vt:i4>
      </vt:variant>
      <vt:variant>
        <vt:lpwstr>http://www.nevo.co.il/case/22112345</vt:lpwstr>
      </vt:variant>
      <vt:variant>
        <vt:lpwstr/>
      </vt:variant>
      <vt:variant>
        <vt:i4>3473532</vt:i4>
      </vt:variant>
      <vt:variant>
        <vt:i4>48</vt:i4>
      </vt:variant>
      <vt:variant>
        <vt:i4>0</vt:i4>
      </vt:variant>
      <vt:variant>
        <vt:i4>5</vt:i4>
      </vt:variant>
      <vt:variant>
        <vt:lpwstr>http://www.nevo.co.il/case/6000182</vt:lpwstr>
      </vt:variant>
      <vt:variant>
        <vt:lpwstr/>
      </vt:variant>
      <vt:variant>
        <vt:i4>3145854</vt:i4>
      </vt:variant>
      <vt:variant>
        <vt:i4>45</vt:i4>
      </vt:variant>
      <vt:variant>
        <vt:i4>0</vt:i4>
      </vt:variant>
      <vt:variant>
        <vt:i4>5</vt:i4>
      </vt:variant>
      <vt:variant>
        <vt:lpwstr>http://www.nevo.co.il/case/5852404</vt:lpwstr>
      </vt:variant>
      <vt:variant>
        <vt:lpwstr/>
      </vt:variant>
      <vt:variant>
        <vt:i4>3735675</vt:i4>
      </vt:variant>
      <vt:variant>
        <vt:i4>42</vt:i4>
      </vt:variant>
      <vt:variant>
        <vt:i4>0</vt:i4>
      </vt:variant>
      <vt:variant>
        <vt:i4>5</vt:i4>
      </vt:variant>
      <vt:variant>
        <vt:lpwstr>http://www.nevo.co.il/case/7791493</vt:lpwstr>
      </vt:variant>
      <vt:variant>
        <vt:lpwstr/>
      </vt:variant>
      <vt:variant>
        <vt:i4>3670132</vt:i4>
      </vt:variant>
      <vt:variant>
        <vt:i4>39</vt:i4>
      </vt:variant>
      <vt:variant>
        <vt:i4>0</vt:i4>
      </vt:variant>
      <vt:variant>
        <vt:i4>5</vt:i4>
      </vt:variant>
      <vt:variant>
        <vt:lpwstr>http://www.nevo.co.il/case/16913730</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4522076</vt:i4>
      </vt:variant>
      <vt:variant>
        <vt:i4>24</vt:i4>
      </vt:variant>
      <vt:variant>
        <vt:i4>0</vt:i4>
      </vt:variant>
      <vt:variant>
        <vt:i4>5</vt:i4>
      </vt:variant>
      <vt:variant>
        <vt:lpwstr>http://www.nevo.co.il/law/70301/hCaS</vt:lpwstr>
      </vt:variant>
      <vt:variant>
        <vt:lpwstr/>
      </vt:variant>
      <vt:variant>
        <vt:i4>2490420</vt:i4>
      </vt:variant>
      <vt:variant>
        <vt:i4>21</vt:i4>
      </vt:variant>
      <vt:variant>
        <vt:i4>0</vt:i4>
      </vt:variant>
      <vt:variant>
        <vt:i4>5</vt:i4>
      </vt:variant>
      <vt:variant>
        <vt:lpwstr>http://www.nevo.co.il/law/70301/aS</vt:lpwstr>
      </vt:variant>
      <vt:variant>
        <vt:lpwstr/>
      </vt:variant>
      <vt:variant>
        <vt:i4>7143524</vt:i4>
      </vt:variant>
      <vt:variant>
        <vt:i4>18</vt:i4>
      </vt:variant>
      <vt:variant>
        <vt:i4>0</vt:i4>
      </vt:variant>
      <vt:variant>
        <vt:i4>5</vt:i4>
      </vt:variant>
      <vt:variant>
        <vt:lpwstr>http://www.nevo.co.il/law/70301/186</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6357094</vt:i4>
      </vt:variant>
      <vt:variant>
        <vt:i4>9</vt:i4>
      </vt:variant>
      <vt:variant>
        <vt:i4>0</vt:i4>
      </vt:variant>
      <vt:variant>
        <vt:i4>5</vt:i4>
      </vt:variant>
      <vt:variant>
        <vt:lpwstr>http://www.nevo.co.il/law/70301/34d</vt:lpwstr>
      </vt:variant>
      <vt:variant>
        <vt:lpwstr/>
      </vt:variant>
      <vt:variant>
        <vt:i4>6291559</vt:i4>
      </vt:variant>
      <vt:variant>
        <vt:i4>6</vt:i4>
      </vt:variant>
      <vt:variant>
        <vt:i4>0</vt:i4>
      </vt:variant>
      <vt:variant>
        <vt:i4>5</vt:i4>
      </vt:variant>
      <vt:variant>
        <vt:lpwstr>http://www.nevo.co.il/law/70301/25</vt:lpwstr>
      </vt:variant>
      <vt:variant>
        <vt:lpwstr/>
      </vt:variant>
      <vt:variant>
        <vt:i4>7995492</vt:i4>
      </vt:variant>
      <vt:variant>
        <vt:i4>3</vt:i4>
      </vt:variant>
      <vt:variant>
        <vt:i4>0</vt:i4>
      </vt:variant>
      <vt:variant>
        <vt:i4>5</vt:i4>
      </vt:variant>
      <vt:variant>
        <vt:lpwstr>http://www.nevo.co.il/law/70301</vt:lpwstr>
      </vt:variant>
      <vt:variant>
        <vt:lpwstr/>
      </vt:variant>
      <vt:variant>
        <vt:i4>3801200</vt:i4>
      </vt:variant>
      <vt:variant>
        <vt:i4>0</vt:i4>
      </vt:variant>
      <vt:variant>
        <vt:i4>0</vt:i4>
      </vt:variant>
      <vt:variant>
        <vt:i4>5</vt:i4>
      </vt:variant>
      <vt:variant>
        <vt:lpwstr>http://www.nevo.co.il/case/21778276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2025-01-19T17:39:00Z</dcterms:created>
  <dcterms:modified xsi:type="dcterms:W3CDTF">2025-01-19T17:39:00Z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32560</vt:lpwstr>
  </property>
  <property fmtid="{D5CDD505-2E9C-101B-9397-08002B2CF9AE}" pid="6" name="NEWPARTB">
    <vt:lpwstr>12</vt:lpwstr>
  </property>
  <property fmtid="{D5CDD505-2E9C-101B-9397-08002B2CF9AE}" pid="7" name="NEWPARTC">
    <vt:lpwstr>16</vt:lpwstr>
  </property>
  <property fmtid="{D5CDD505-2E9C-101B-9397-08002B2CF9AE}" pid="8" name="APPELLANT">
    <vt:lpwstr>מדינת ישראל </vt:lpwstr>
  </property>
  <property fmtid="{D5CDD505-2E9C-101B-9397-08002B2CF9AE}" pid="9" name="APPELLEE">
    <vt:lpwstr>עיסאם בן עטוה אלסראיעה</vt:lpwstr>
  </property>
  <property fmtid="{D5CDD505-2E9C-101B-9397-08002B2CF9AE}" pid="10" name="LAWYER">
    <vt:lpwstr>ברוך יעקובי;נאסר אלעטאונה</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20170911</vt:lpwstr>
  </property>
  <property fmtid="{D5CDD505-2E9C-101B-9397-08002B2CF9AE}" pid="14" name="TYPE_N_DATE">
    <vt:lpwstr>38020170911</vt:lpwstr>
  </property>
  <property fmtid="{D5CDD505-2E9C-101B-9397-08002B2CF9AE}" pid="15" name="CASESLISTTMP1">
    <vt:lpwstr>21778276;16913730;7791493:2;5852404;6000182;22112345;22001830;22607175</vt:lpwstr>
  </property>
  <property fmtid="{D5CDD505-2E9C-101B-9397-08002B2CF9AE}" pid="16" name="WORDNUMPAGES">
    <vt:lpwstr>7</vt:lpwstr>
  </property>
  <property fmtid="{D5CDD505-2E9C-101B-9397-08002B2CF9AE}" pid="17" name="TYPE_ABS_DATE">
    <vt:lpwstr>380020170911</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70301/144.a:4;025;144.b;034d;hCaS;aS;186</vt:lpwstr>
  </property>
</Properties>
</file>