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A4119" w:rsidRPr="00BF09B4" w14:paraId="773C6E42" w14:textId="77777777" w:rsidTr="00F931CA">
        <w:trPr>
          <w:trHeight w:hRule="exact" w:val="418"/>
          <w:jc w:val="center"/>
        </w:trPr>
        <w:tc>
          <w:tcPr>
            <w:tcW w:w="8721" w:type="dxa"/>
            <w:gridSpan w:val="2"/>
          </w:tcPr>
          <w:p w14:paraId="561ED0C8" w14:textId="77777777" w:rsidR="00BA4119" w:rsidRPr="00BF09B4" w:rsidRDefault="00BA4119" w:rsidP="00A9260D">
            <w:pPr>
              <w:pStyle w:val="a3"/>
              <w:jc w:val="center"/>
              <w:rPr>
                <w:rFonts w:ascii="Tahoma" w:hAnsi="Tahoma" w:cs="Tahoma"/>
                <w:color w:val="000080"/>
                <w:rtl/>
              </w:rPr>
            </w:pPr>
            <w:bookmarkStart w:id="0" w:name="LastJudge"/>
            <w:r w:rsidRPr="00BF09B4">
              <w:rPr>
                <w:rFonts w:ascii="Tahoma" w:hAnsi="Tahoma" w:cs="Tahoma"/>
                <w:b/>
                <w:bCs/>
                <w:color w:val="000080"/>
                <w:sz w:val="20"/>
                <w:szCs w:val="20"/>
                <w:rtl/>
              </w:rPr>
              <w:t xml:space="preserve">בית משפט השלום בקריית גת - בשבתו בבימ"ש </w:t>
            </w:r>
            <w:r w:rsidRPr="00BF09B4">
              <w:rPr>
                <w:rFonts w:ascii="Tahoma" w:hAnsi="Tahoma" w:cs="Tahoma" w:hint="cs"/>
                <w:b/>
                <w:bCs/>
                <w:color w:val="000080"/>
                <w:sz w:val="20"/>
                <w:szCs w:val="20"/>
                <w:rtl/>
              </w:rPr>
              <w:t>אשקלון</w:t>
            </w:r>
          </w:p>
        </w:tc>
      </w:tr>
      <w:tr w:rsidR="00BA4119" w:rsidRPr="00BF09B4" w14:paraId="3A8C5034" w14:textId="77777777" w:rsidTr="00F931CA">
        <w:trPr>
          <w:trHeight w:val="337"/>
          <w:jc w:val="center"/>
        </w:trPr>
        <w:tc>
          <w:tcPr>
            <w:tcW w:w="5057" w:type="dxa"/>
          </w:tcPr>
          <w:p w14:paraId="645EBF81" w14:textId="77777777" w:rsidR="00BA4119" w:rsidRPr="00BF09B4" w:rsidRDefault="00BA4119" w:rsidP="00A9260D">
            <w:pPr>
              <w:rPr>
                <w:rFonts w:cs="FrankRuehl"/>
                <w:sz w:val="28"/>
                <w:szCs w:val="28"/>
                <w:rtl/>
              </w:rPr>
            </w:pPr>
            <w:r w:rsidRPr="00BF09B4">
              <w:rPr>
                <w:rFonts w:cs="FrankRuehl"/>
                <w:sz w:val="28"/>
                <w:szCs w:val="28"/>
                <w:rtl/>
              </w:rPr>
              <w:t>ת"פ</w:t>
            </w:r>
            <w:r w:rsidRPr="00BF09B4">
              <w:rPr>
                <w:rFonts w:cs="FrankRuehl" w:hint="cs"/>
                <w:sz w:val="28"/>
                <w:szCs w:val="28"/>
                <w:rtl/>
              </w:rPr>
              <w:t xml:space="preserve"> </w:t>
            </w:r>
            <w:r w:rsidRPr="00BF09B4">
              <w:rPr>
                <w:rFonts w:cs="FrankRuehl"/>
                <w:sz w:val="28"/>
                <w:szCs w:val="28"/>
                <w:rtl/>
              </w:rPr>
              <w:t>53098-05-17</w:t>
            </w:r>
            <w:r w:rsidRPr="00BF09B4">
              <w:rPr>
                <w:rFonts w:cs="FrankRuehl" w:hint="cs"/>
                <w:sz w:val="28"/>
                <w:szCs w:val="28"/>
                <w:rtl/>
              </w:rPr>
              <w:t xml:space="preserve"> </w:t>
            </w:r>
            <w:r w:rsidRPr="00BF09B4">
              <w:rPr>
                <w:rFonts w:cs="FrankRuehl"/>
                <w:sz w:val="28"/>
                <w:szCs w:val="28"/>
                <w:rtl/>
              </w:rPr>
              <w:t>מדינת ישראל נ' שטיינפאייר</w:t>
            </w:r>
          </w:p>
          <w:p w14:paraId="21E59680" w14:textId="77777777" w:rsidR="00BA4119" w:rsidRPr="00BF09B4" w:rsidRDefault="00BA4119" w:rsidP="00A9260D">
            <w:pPr>
              <w:pStyle w:val="a3"/>
              <w:rPr>
                <w:rFonts w:cs="FrankRuehl"/>
                <w:sz w:val="28"/>
                <w:szCs w:val="28"/>
                <w:rtl/>
              </w:rPr>
            </w:pPr>
          </w:p>
        </w:tc>
        <w:tc>
          <w:tcPr>
            <w:tcW w:w="3664" w:type="dxa"/>
          </w:tcPr>
          <w:p w14:paraId="7FCB6FC8" w14:textId="77777777" w:rsidR="00BA4119" w:rsidRPr="00BF09B4" w:rsidRDefault="00BA4119" w:rsidP="00A9260D">
            <w:pPr>
              <w:pStyle w:val="a3"/>
              <w:jc w:val="right"/>
              <w:rPr>
                <w:rFonts w:cs="FrankRuehl"/>
                <w:sz w:val="28"/>
                <w:szCs w:val="28"/>
                <w:rtl/>
              </w:rPr>
            </w:pPr>
          </w:p>
        </w:tc>
      </w:tr>
    </w:tbl>
    <w:p w14:paraId="33EDC12B" w14:textId="77777777" w:rsidR="00BA4119" w:rsidRPr="00BF09B4" w:rsidRDefault="00BA4119" w:rsidP="00BA4119">
      <w:pPr>
        <w:pStyle w:val="a3"/>
        <w:rPr>
          <w:rtl/>
        </w:rPr>
      </w:pPr>
      <w:r w:rsidRPr="00BF09B4">
        <w:rPr>
          <w:rFonts w:hint="cs"/>
          <w:rtl/>
        </w:rPr>
        <w:t xml:space="preserve"> </w:t>
      </w:r>
    </w:p>
    <w:p w14:paraId="43186623" w14:textId="77777777" w:rsidR="00BA4119" w:rsidRPr="00BF09B4" w:rsidRDefault="00BA4119" w:rsidP="00BA411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A4119" w:rsidRPr="00BF09B4" w14:paraId="19801818" w14:textId="77777777" w:rsidTr="00BA4119">
        <w:trPr>
          <w:trHeight w:val="295"/>
          <w:jc w:val="center"/>
        </w:trPr>
        <w:tc>
          <w:tcPr>
            <w:tcW w:w="923" w:type="dxa"/>
            <w:tcBorders>
              <w:top w:val="nil"/>
              <w:left w:val="nil"/>
              <w:bottom w:val="nil"/>
              <w:right w:val="nil"/>
            </w:tcBorders>
            <w:shd w:val="clear" w:color="auto" w:fill="auto"/>
          </w:tcPr>
          <w:p w14:paraId="1A132C8D" w14:textId="77777777" w:rsidR="00BA4119" w:rsidRPr="00BF09B4" w:rsidRDefault="00BA4119" w:rsidP="00BA4119">
            <w:pPr>
              <w:jc w:val="both"/>
              <w:rPr>
                <w:rFonts w:ascii="Arial" w:hAnsi="Arial" w:cs="FrankRuehl"/>
                <w:sz w:val="28"/>
                <w:szCs w:val="28"/>
              </w:rPr>
            </w:pPr>
            <w:r w:rsidRPr="00BF09B4">
              <w:rPr>
                <w:rFonts w:ascii="Arial" w:hAnsi="Arial" w:cs="FrankRuehl" w:hint="cs"/>
                <w:sz w:val="28"/>
                <w:szCs w:val="28"/>
                <w:rtl/>
              </w:rPr>
              <w:t>ב</w:t>
            </w:r>
            <w:r w:rsidRPr="00BF09B4">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CA0DCE9" w14:textId="77777777" w:rsidR="00BA4119" w:rsidRPr="00BF09B4" w:rsidRDefault="00BA4119" w:rsidP="00A9260D">
            <w:pPr>
              <w:rPr>
                <w:rFonts w:ascii="Arial" w:hAnsi="Arial"/>
                <w:b/>
                <w:bCs/>
                <w:rtl/>
              </w:rPr>
            </w:pPr>
            <w:r w:rsidRPr="00BF09B4">
              <w:rPr>
                <w:rFonts w:ascii="Arial" w:hAnsi="Arial" w:hint="cs"/>
                <w:b/>
                <w:bCs/>
                <w:rtl/>
              </w:rPr>
              <w:t>כבוד ה</w:t>
            </w:r>
            <w:r w:rsidRPr="00BF09B4">
              <w:rPr>
                <w:rFonts w:ascii="Arial" w:hAnsi="Arial"/>
                <w:b/>
                <w:bCs/>
                <w:rtl/>
              </w:rPr>
              <w:t>שופטת</w:t>
            </w:r>
            <w:r w:rsidRPr="00BF09B4">
              <w:rPr>
                <w:rFonts w:ascii="Arial" w:hAnsi="Arial" w:hint="cs"/>
                <w:b/>
                <w:bCs/>
                <w:rtl/>
              </w:rPr>
              <w:t xml:space="preserve">  </w:t>
            </w:r>
            <w:r w:rsidRPr="00BF09B4">
              <w:rPr>
                <w:rFonts w:ascii="Arial" w:hAnsi="Arial"/>
                <w:b/>
                <w:bCs/>
                <w:rtl/>
              </w:rPr>
              <w:t>נועה חקלאי</w:t>
            </w:r>
          </w:p>
          <w:p w14:paraId="7247BF9E" w14:textId="77777777" w:rsidR="00BA4119" w:rsidRPr="00BF09B4" w:rsidRDefault="00BA4119" w:rsidP="00A9260D">
            <w:pPr>
              <w:rPr>
                <w:rtl/>
              </w:rPr>
            </w:pPr>
          </w:p>
          <w:p w14:paraId="458EFCAB" w14:textId="77777777" w:rsidR="00BA4119" w:rsidRPr="00BF09B4" w:rsidRDefault="00BA4119" w:rsidP="00BA4119">
            <w:pPr>
              <w:jc w:val="both"/>
              <w:rPr>
                <w:rFonts w:ascii="Arial" w:hAnsi="Arial" w:cs="FrankRuehl"/>
                <w:sz w:val="28"/>
                <w:szCs w:val="28"/>
              </w:rPr>
            </w:pPr>
          </w:p>
        </w:tc>
      </w:tr>
      <w:tr w:rsidR="00BA4119" w:rsidRPr="00BF09B4" w14:paraId="020ABDD6" w14:textId="77777777" w:rsidTr="00BA4119">
        <w:trPr>
          <w:trHeight w:val="355"/>
          <w:jc w:val="center"/>
        </w:trPr>
        <w:tc>
          <w:tcPr>
            <w:tcW w:w="923" w:type="dxa"/>
            <w:tcBorders>
              <w:top w:val="nil"/>
              <w:left w:val="nil"/>
              <w:bottom w:val="nil"/>
              <w:right w:val="nil"/>
            </w:tcBorders>
            <w:shd w:val="clear" w:color="auto" w:fill="auto"/>
          </w:tcPr>
          <w:p w14:paraId="622920BE" w14:textId="77777777" w:rsidR="00BA4119" w:rsidRPr="00BF09B4" w:rsidRDefault="00BA4119" w:rsidP="00BA4119">
            <w:pPr>
              <w:jc w:val="both"/>
              <w:rPr>
                <w:rFonts w:ascii="Arial" w:hAnsi="Arial" w:cs="FrankRuehl"/>
                <w:sz w:val="28"/>
                <w:szCs w:val="28"/>
              </w:rPr>
            </w:pPr>
            <w:bookmarkStart w:id="1" w:name="FirstAppellant"/>
            <w:r w:rsidRPr="00BF09B4">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ED9F290" w14:textId="77777777" w:rsidR="00BA4119" w:rsidRPr="00BF09B4" w:rsidRDefault="00BA4119" w:rsidP="00A9260D">
            <w:r w:rsidRPr="00BF09B4">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A3B5A79" w14:textId="77777777" w:rsidR="00BA4119" w:rsidRPr="00BF09B4" w:rsidRDefault="00BA4119" w:rsidP="00BA4119">
            <w:pPr>
              <w:jc w:val="both"/>
              <w:rPr>
                <w:rFonts w:ascii="Arial" w:hAnsi="Arial" w:cs="FrankRuehl"/>
                <w:sz w:val="28"/>
                <w:szCs w:val="28"/>
              </w:rPr>
            </w:pPr>
          </w:p>
        </w:tc>
      </w:tr>
      <w:bookmarkEnd w:id="1"/>
      <w:tr w:rsidR="00BA4119" w:rsidRPr="00BF09B4" w14:paraId="645FC781" w14:textId="77777777" w:rsidTr="00BA4119">
        <w:trPr>
          <w:trHeight w:val="355"/>
          <w:jc w:val="center"/>
        </w:trPr>
        <w:tc>
          <w:tcPr>
            <w:tcW w:w="923" w:type="dxa"/>
            <w:tcBorders>
              <w:top w:val="nil"/>
              <w:left w:val="nil"/>
              <w:bottom w:val="nil"/>
              <w:right w:val="nil"/>
            </w:tcBorders>
            <w:shd w:val="clear" w:color="auto" w:fill="auto"/>
          </w:tcPr>
          <w:p w14:paraId="7121611A" w14:textId="77777777" w:rsidR="00BA4119" w:rsidRPr="00BF09B4" w:rsidRDefault="00BA4119" w:rsidP="00BA411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89722A7" w14:textId="77777777" w:rsidR="00BA4119" w:rsidRPr="00BF09B4" w:rsidRDefault="00BA4119" w:rsidP="00BA4119">
            <w:pPr>
              <w:jc w:val="both"/>
              <w:rPr>
                <w:rtl/>
              </w:rPr>
            </w:pPr>
          </w:p>
        </w:tc>
        <w:tc>
          <w:tcPr>
            <w:tcW w:w="3771" w:type="dxa"/>
            <w:tcBorders>
              <w:top w:val="nil"/>
              <w:left w:val="nil"/>
              <w:bottom w:val="nil"/>
              <w:right w:val="nil"/>
            </w:tcBorders>
            <w:shd w:val="clear" w:color="auto" w:fill="auto"/>
          </w:tcPr>
          <w:p w14:paraId="491922FB" w14:textId="77777777" w:rsidR="00BA4119" w:rsidRPr="00BF09B4" w:rsidRDefault="00BA4119" w:rsidP="00BA4119">
            <w:pPr>
              <w:jc w:val="right"/>
              <w:rPr>
                <w:rFonts w:ascii="Arial" w:hAnsi="Arial" w:cs="FrankRuehl"/>
                <w:sz w:val="28"/>
                <w:szCs w:val="28"/>
                <w:rtl/>
              </w:rPr>
            </w:pPr>
            <w:r w:rsidRPr="00BF09B4">
              <w:rPr>
                <w:rFonts w:ascii="Arial" w:hAnsi="Arial" w:cs="FrankRuehl" w:hint="cs"/>
                <w:sz w:val="28"/>
                <w:szCs w:val="28"/>
                <w:rtl/>
              </w:rPr>
              <w:t>ה</w:t>
            </w:r>
            <w:r w:rsidRPr="00BF09B4">
              <w:rPr>
                <w:rFonts w:ascii="Arial" w:hAnsi="Arial" w:cs="FrankRuehl"/>
                <w:sz w:val="28"/>
                <w:szCs w:val="28"/>
                <w:rtl/>
              </w:rPr>
              <w:t>מאשימה</w:t>
            </w:r>
          </w:p>
        </w:tc>
      </w:tr>
      <w:tr w:rsidR="00BA4119" w:rsidRPr="00BF09B4" w14:paraId="54E9AE71" w14:textId="77777777" w:rsidTr="00BA4119">
        <w:trPr>
          <w:trHeight w:val="355"/>
          <w:jc w:val="center"/>
        </w:trPr>
        <w:tc>
          <w:tcPr>
            <w:tcW w:w="923" w:type="dxa"/>
            <w:tcBorders>
              <w:top w:val="nil"/>
              <w:left w:val="nil"/>
              <w:bottom w:val="nil"/>
              <w:right w:val="nil"/>
            </w:tcBorders>
            <w:shd w:val="clear" w:color="auto" w:fill="auto"/>
          </w:tcPr>
          <w:p w14:paraId="49759547" w14:textId="77777777" w:rsidR="00BA4119" w:rsidRPr="00BF09B4" w:rsidRDefault="00BA4119" w:rsidP="00BA411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EEC9079" w14:textId="77777777" w:rsidR="00BA4119" w:rsidRPr="00BF09B4" w:rsidRDefault="00BA4119" w:rsidP="00BA4119">
            <w:pPr>
              <w:jc w:val="center"/>
              <w:rPr>
                <w:rFonts w:ascii="Arial" w:hAnsi="Arial" w:cs="FrankRuehl"/>
                <w:b/>
                <w:bCs/>
                <w:sz w:val="28"/>
                <w:szCs w:val="28"/>
                <w:rtl/>
              </w:rPr>
            </w:pPr>
          </w:p>
          <w:p w14:paraId="146F36F8" w14:textId="77777777" w:rsidR="00BA4119" w:rsidRPr="00BF09B4" w:rsidRDefault="00BA4119" w:rsidP="00BA4119">
            <w:pPr>
              <w:jc w:val="center"/>
              <w:rPr>
                <w:rFonts w:ascii="Arial" w:hAnsi="Arial" w:cs="FrankRuehl"/>
                <w:b/>
                <w:bCs/>
                <w:sz w:val="28"/>
                <w:szCs w:val="28"/>
                <w:rtl/>
              </w:rPr>
            </w:pPr>
            <w:r w:rsidRPr="00BF09B4">
              <w:rPr>
                <w:rFonts w:ascii="Arial" w:hAnsi="Arial" w:cs="FrankRuehl"/>
                <w:b/>
                <w:bCs/>
                <w:sz w:val="28"/>
                <w:szCs w:val="28"/>
                <w:rtl/>
              </w:rPr>
              <w:t>נגד</w:t>
            </w:r>
          </w:p>
          <w:p w14:paraId="099C86BD" w14:textId="77777777" w:rsidR="00BA4119" w:rsidRPr="00BF09B4" w:rsidRDefault="00BA4119" w:rsidP="00BA4119">
            <w:pPr>
              <w:jc w:val="both"/>
              <w:rPr>
                <w:rFonts w:ascii="Arial" w:hAnsi="Arial" w:cs="FrankRuehl"/>
                <w:sz w:val="28"/>
                <w:szCs w:val="28"/>
              </w:rPr>
            </w:pPr>
          </w:p>
        </w:tc>
      </w:tr>
      <w:tr w:rsidR="00BA4119" w:rsidRPr="00BF09B4" w14:paraId="60BA843A" w14:textId="77777777" w:rsidTr="00BA4119">
        <w:trPr>
          <w:trHeight w:val="355"/>
          <w:jc w:val="center"/>
        </w:trPr>
        <w:tc>
          <w:tcPr>
            <w:tcW w:w="923" w:type="dxa"/>
            <w:tcBorders>
              <w:top w:val="nil"/>
              <w:left w:val="nil"/>
              <w:bottom w:val="nil"/>
              <w:right w:val="nil"/>
            </w:tcBorders>
            <w:shd w:val="clear" w:color="auto" w:fill="auto"/>
          </w:tcPr>
          <w:p w14:paraId="23D5FE38" w14:textId="77777777" w:rsidR="00BA4119" w:rsidRPr="00BF09B4" w:rsidRDefault="00BA4119" w:rsidP="00A9260D">
            <w:pPr>
              <w:rPr>
                <w:rFonts w:ascii="Arial" w:hAnsi="Arial" w:cs="FrankRuehl"/>
                <w:sz w:val="28"/>
                <w:szCs w:val="28"/>
                <w:rtl/>
              </w:rPr>
            </w:pPr>
          </w:p>
        </w:tc>
        <w:tc>
          <w:tcPr>
            <w:tcW w:w="4126" w:type="dxa"/>
            <w:tcBorders>
              <w:top w:val="nil"/>
              <w:left w:val="nil"/>
              <w:bottom w:val="nil"/>
              <w:right w:val="nil"/>
            </w:tcBorders>
            <w:shd w:val="clear" w:color="auto" w:fill="auto"/>
          </w:tcPr>
          <w:p w14:paraId="638663A9" w14:textId="77777777" w:rsidR="00BA4119" w:rsidRPr="00BF09B4" w:rsidRDefault="00BA4119" w:rsidP="00A9260D">
            <w:pPr>
              <w:rPr>
                <w:rtl/>
              </w:rPr>
            </w:pPr>
            <w:r w:rsidRPr="00BF09B4">
              <w:rPr>
                <w:rFonts w:ascii="Arial" w:hAnsi="Arial" w:cs="FrankRuehl"/>
                <w:sz w:val="28"/>
                <w:szCs w:val="28"/>
                <w:rtl/>
              </w:rPr>
              <w:t>אלכסנדר שטיינפאייר</w:t>
            </w:r>
          </w:p>
        </w:tc>
        <w:tc>
          <w:tcPr>
            <w:tcW w:w="3771" w:type="dxa"/>
            <w:tcBorders>
              <w:top w:val="nil"/>
              <w:left w:val="nil"/>
              <w:bottom w:val="nil"/>
              <w:right w:val="nil"/>
            </w:tcBorders>
            <w:shd w:val="clear" w:color="auto" w:fill="auto"/>
          </w:tcPr>
          <w:p w14:paraId="35AA48E0" w14:textId="77777777" w:rsidR="00BA4119" w:rsidRPr="00BF09B4" w:rsidRDefault="00BA4119" w:rsidP="00BA4119">
            <w:pPr>
              <w:jc w:val="right"/>
              <w:rPr>
                <w:rFonts w:ascii="Arial" w:hAnsi="Arial" w:cs="FrankRuehl"/>
                <w:sz w:val="28"/>
                <w:szCs w:val="28"/>
              </w:rPr>
            </w:pPr>
          </w:p>
        </w:tc>
      </w:tr>
      <w:tr w:rsidR="00BA4119" w:rsidRPr="00BF09B4" w14:paraId="269C3DAC" w14:textId="77777777" w:rsidTr="00BA4119">
        <w:trPr>
          <w:trHeight w:val="355"/>
          <w:jc w:val="center"/>
        </w:trPr>
        <w:tc>
          <w:tcPr>
            <w:tcW w:w="923" w:type="dxa"/>
            <w:tcBorders>
              <w:top w:val="nil"/>
              <w:left w:val="nil"/>
              <w:bottom w:val="nil"/>
              <w:right w:val="nil"/>
            </w:tcBorders>
            <w:shd w:val="clear" w:color="auto" w:fill="auto"/>
          </w:tcPr>
          <w:p w14:paraId="6E6F9084" w14:textId="77777777" w:rsidR="00BA4119" w:rsidRPr="00BF09B4" w:rsidRDefault="00BA4119" w:rsidP="00BA411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90803ED" w14:textId="77777777" w:rsidR="00BA4119" w:rsidRPr="00BF09B4" w:rsidRDefault="00BA4119" w:rsidP="00BA4119">
            <w:pPr>
              <w:jc w:val="both"/>
              <w:rPr>
                <w:rtl/>
              </w:rPr>
            </w:pPr>
          </w:p>
        </w:tc>
        <w:tc>
          <w:tcPr>
            <w:tcW w:w="3771" w:type="dxa"/>
            <w:tcBorders>
              <w:top w:val="nil"/>
              <w:left w:val="nil"/>
              <w:bottom w:val="nil"/>
              <w:right w:val="nil"/>
            </w:tcBorders>
            <w:shd w:val="clear" w:color="auto" w:fill="auto"/>
          </w:tcPr>
          <w:p w14:paraId="538B6B32" w14:textId="77777777" w:rsidR="00BA4119" w:rsidRPr="00BF09B4" w:rsidRDefault="00BA4119" w:rsidP="00BA4119">
            <w:pPr>
              <w:jc w:val="right"/>
              <w:rPr>
                <w:rFonts w:ascii="Arial" w:hAnsi="Arial" w:cs="FrankRuehl"/>
                <w:sz w:val="28"/>
                <w:szCs w:val="28"/>
              </w:rPr>
            </w:pPr>
            <w:r w:rsidRPr="00BF09B4">
              <w:rPr>
                <w:rFonts w:ascii="Arial" w:hAnsi="Arial" w:cs="FrankRuehl" w:hint="cs"/>
                <w:sz w:val="28"/>
                <w:szCs w:val="28"/>
                <w:rtl/>
              </w:rPr>
              <w:t>ה</w:t>
            </w:r>
            <w:r w:rsidRPr="00BF09B4">
              <w:rPr>
                <w:rFonts w:ascii="Arial" w:hAnsi="Arial" w:cs="FrankRuehl"/>
                <w:sz w:val="28"/>
                <w:szCs w:val="28"/>
                <w:rtl/>
              </w:rPr>
              <w:t>נאשם</w:t>
            </w:r>
          </w:p>
        </w:tc>
      </w:tr>
    </w:tbl>
    <w:p w14:paraId="52F6C786" w14:textId="77777777" w:rsidR="00F931CA" w:rsidRDefault="00F931CA" w:rsidP="00BA4119">
      <w:pPr>
        <w:rPr>
          <w:rtl/>
        </w:rPr>
      </w:pPr>
      <w:bookmarkStart w:id="2" w:name="LawTable"/>
      <w:bookmarkEnd w:id="2"/>
    </w:p>
    <w:p w14:paraId="605149ED" w14:textId="77777777" w:rsidR="00F931CA" w:rsidRPr="00F931CA" w:rsidRDefault="00F931CA" w:rsidP="00F931CA">
      <w:pPr>
        <w:spacing w:after="120" w:line="240" w:lineRule="exact"/>
        <w:ind w:left="283" w:hanging="283"/>
        <w:jc w:val="both"/>
        <w:rPr>
          <w:rFonts w:ascii="FrankRuehl" w:hAnsi="FrankRuehl" w:cs="FrankRuehl"/>
          <w:rtl/>
        </w:rPr>
      </w:pPr>
    </w:p>
    <w:p w14:paraId="298DF8AB" w14:textId="77777777" w:rsidR="00F931CA" w:rsidRPr="00F931CA" w:rsidRDefault="00F931CA" w:rsidP="00F931CA">
      <w:pPr>
        <w:spacing w:after="120" w:line="240" w:lineRule="exact"/>
        <w:ind w:left="283" w:hanging="283"/>
        <w:jc w:val="both"/>
        <w:rPr>
          <w:rFonts w:ascii="FrankRuehl" w:hAnsi="FrankRuehl" w:cs="FrankRuehl"/>
          <w:rtl/>
        </w:rPr>
      </w:pPr>
      <w:r w:rsidRPr="00F931CA">
        <w:rPr>
          <w:rFonts w:ascii="FrankRuehl" w:hAnsi="FrankRuehl" w:cs="FrankRuehl"/>
          <w:rtl/>
        </w:rPr>
        <w:t xml:space="preserve">חקיקה שאוזכרה: </w:t>
      </w:r>
    </w:p>
    <w:p w14:paraId="46897D5B" w14:textId="77777777" w:rsidR="00F931CA" w:rsidRPr="00F931CA" w:rsidRDefault="00F931CA" w:rsidP="00F931CA">
      <w:pPr>
        <w:spacing w:after="120" w:line="240" w:lineRule="exact"/>
        <w:ind w:left="283" w:hanging="283"/>
        <w:jc w:val="both"/>
        <w:rPr>
          <w:rFonts w:ascii="FrankRuehl" w:hAnsi="FrankRuehl" w:cs="FrankRuehl"/>
          <w:rtl/>
        </w:rPr>
      </w:pPr>
      <w:hyperlink r:id="rId7" w:history="1">
        <w:r w:rsidRPr="00F931CA">
          <w:rPr>
            <w:rFonts w:ascii="FrankRuehl" w:hAnsi="FrankRuehl" w:cs="FrankRuehl"/>
            <w:color w:val="0000FF"/>
            <w:u w:val="single"/>
            <w:rtl/>
          </w:rPr>
          <w:t>חוק העונשין, תשל"ז-1977</w:t>
        </w:r>
      </w:hyperlink>
      <w:r w:rsidRPr="00F931CA">
        <w:rPr>
          <w:rFonts w:ascii="FrankRuehl" w:hAnsi="FrankRuehl" w:cs="FrankRuehl"/>
          <w:rtl/>
        </w:rPr>
        <w:t xml:space="preserve">: סע'  </w:t>
      </w:r>
      <w:hyperlink r:id="rId8" w:history="1">
        <w:r w:rsidRPr="00F931CA">
          <w:rPr>
            <w:rFonts w:ascii="FrankRuehl" w:hAnsi="FrankRuehl" w:cs="FrankRuehl"/>
            <w:color w:val="0000FF"/>
            <w:u w:val="single"/>
            <w:rtl/>
          </w:rPr>
          <w:t>144.</w:t>
        </w:r>
      </w:hyperlink>
      <w:r w:rsidRPr="00F931CA">
        <w:rPr>
          <w:rFonts w:ascii="FrankRuehl" w:hAnsi="FrankRuehl" w:cs="FrankRuehl"/>
          <w:rtl/>
        </w:rPr>
        <w:t xml:space="preserve">, </w:t>
      </w:r>
      <w:hyperlink r:id="rId9" w:history="1">
        <w:r w:rsidRPr="00F931CA">
          <w:rPr>
            <w:rFonts w:ascii="FrankRuehl" w:hAnsi="FrankRuehl" w:cs="FrankRuehl"/>
            <w:color w:val="0000FF"/>
            <w:u w:val="single"/>
            <w:rtl/>
          </w:rPr>
          <w:t>144(א)</w:t>
        </w:r>
      </w:hyperlink>
    </w:p>
    <w:p w14:paraId="239ADF9B" w14:textId="77777777" w:rsidR="00F931CA" w:rsidRPr="00F931CA" w:rsidRDefault="00F931CA" w:rsidP="00F931CA">
      <w:pPr>
        <w:spacing w:after="120" w:line="240" w:lineRule="exact"/>
        <w:ind w:left="283" w:hanging="283"/>
        <w:jc w:val="both"/>
        <w:rPr>
          <w:rFonts w:ascii="FrankRuehl" w:hAnsi="FrankRuehl" w:cs="FrankRuehl"/>
          <w:rtl/>
        </w:rPr>
      </w:pPr>
      <w:hyperlink r:id="rId10" w:history="1">
        <w:r w:rsidRPr="00F931CA">
          <w:rPr>
            <w:rFonts w:ascii="FrankRuehl" w:hAnsi="FrankRuehl" w:cs="FrankRuehl"/>
            <w:color w:val="0000FF"/>
            <w:u w:val="single"/>
            <w:rtl/>
          </w:rPr>
          <w:t>פקודת הסמים המסוכנים [נוסח חדש], תשל"ג-1973</w:t>
        </w:r>
      </w:hyperlink>
    </w:p>
    <w:p w14:paraId="07810518" w14:textId="77777777" w:rsidR="00F931CA" w:rsidRPr="00F931CA" w:rsidRDefault="00F931CA" w:rsidP="00F931CA">
      <w:pPr>
        <w:spacing w:after="120" w:line="240" w:lineRule="exact"/>
        <w:ind w:left="283" w:hanging="283"/>
        <w:jc w:val="both"/>
        <w:rPr>
          <w:rFonts w:ascii="FrankRuehl" w:hAnsi="FrankRuehl" w:cs="FrankRuehl"/>
          <w:rtl/>
        </w:rPr>
      </w:pPr>
    </w:p>
    <w:p w14:paraId="7BAD1DA4" w14:textId="77777777" w:rsidR="00F931CA" w:rsidRPr="00F931CA" w:rsidRDefault="00F931CA" w:rsidP="00BA4119">
      <w:pPr>
        <w:rPr>
          <w:rtl/>
        </w:rPr>
      </w:pPr>
      <w:bookmarkStart w:id="3" w:name="LawTable_End"/>
      <w:bookmarkEnd w:id="3"/>
    </w:p>
    <w:p w14:paraId="3B571810" w14:textId="77777777" w:rsidR="00BF09B4" w:rsidRPr="00BF09B4" w:rsidRDefault="00BF09B4" w:rsidP="00BA4119">
      <w:pPr>
        <w:rPr>
          <w:rtl/>
        </w:rPr>
      </w:pPr>
    </w:p>
    <w:p w14:paraId="1742DE7A" w14:textId="77777777" w:rsidR="00BF09B4" w:rsidRPr="00BF09B4" w:rsidRDefault="00BF09B4" w:rsidP="00BA4119">
      <w:pPr>
        <w:rPr>
          <w:rtl/>
        </w:rPr>
      </w:pPr>
    </w:p>
    <w:p w14:paraId="7B5DBECA" w14:textId="77777777" w:rsidR="00BA4119" w:rsidRPr="00BF09B4" w:rsidRDefault="00BA4119" w:rsidP="00BA411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4119" w14:paraId="4CECE2ED" w14:textId="77777777" w:rsidTr="00BA4119">
        <w:trPr>
          <w:trHeight w:val="355"/>
          <w:jc w:val="center"/>
        </w:trPr>
        <w:tc>
          <w:tcPr>
            <w:tcW w:w="8820" w:type="dxa"/>
            <w:tcBorders>
              <w:top w:val="nil"/>
              <w:left w:val="nil"/>
              <w:bottom w:val="nil"/>
              <w:right w:val="nil"/>
            </w:tcBorders>
            <w:shd w:val="clear" w:color="auto" w:fill="auto"/>
          </w:tcPr>
          <w:p w14:paraId="566D4EBB" w14:textId="77777777" w:rsidR="00BF09B4" w:rsidRPr="00BF09B4" w:rsidRDefault="00BF09B4" w:rsidP="00BF09B4">
            <w:pPr>
              <w:jc w:val="center"/>
              <w:rPr>
                <w:rFonts w:ascii="Arial" w:hAnsi="Arial" w:cs="FrankRuehl"/>
                <w:b/>
                <w:bCs/>
                <w:sz w:val="32"/>
                <w:szCs w:val="32"/>
                <w:u w:val="single"/>
                <w:rtl/>
              </w:rPr>
            </w:pPr>
            <w:bookmarkStart w:id="4" w:name="PsakDin" w:colFirst="0" w:colLast="0"/>
            <w:bookmarkEnd w:id="0"/>
            <w:r w:rsidRPr="00BF09B4">
              <w:rPr>
                <w:rFonts w:ascii="Arial" w:hAnsi="Arial" w:cs="FrankRuehl"/>
                <w:b/>
                <w:bCs/>
                <w:sz w:val="32"/>
                <w:szCs w:val="32"/>
                <w:u w:val="single"/>
                <w:rtl/>
              </w:rPr>
              <w:t>גזר דין</w:t>
            </w:r>
          </w:p>
          <w:p w14:paraId="3A7245CF" w14:textId="77777777" w:rsidR="00BA4119" w:rsidRPr="00BF09B4" w:rsidRDefault="00BA4119" w:rsidP="00BF09B4">
            <w:pPr>
              <w:jc w:val="center"/>
              <w:rPr>
                <w:rFonts w:ascii="Arial" w:hAnsi="Arial" w:cs="FrankRuehl"/>
                <w:bCs/>
                <w:sz w:val="32"/>
                <w:szCs w:val="32"/>
                <w:u w:val="single"/>
                <w:rtl/>
              </w:rPr>
            </w:pPr>
          </w:p>
        </w:tc>
      </w:tr>
    </w:tbl>
    <w:bookmarkEnd w:id="4"/>
    <w:p w14:paraId="36CA77F0" w14:textId="77777777" w:rsidR="00BA4119" w:rsidRDefault="00BA4119" w:rsidP="00BA4119">
      <w:pPr>
        <w:rPr>
          <w:rFonts w:ascii="David" w:hAnsi="David"/>
          <w:rtl/>
        </w:rPr>
      </w:pPr>
      <w:r>
        <w:rPr>
          <w:rFonts w:hint="cs"/>
          <w:rtl/>
        </w:rPr>
        <w:t xml:space="preserve"> </w:t>
      </w:r>
    </w:p>
    <w:p w14:paraId="106803DD" w14:textId="77777777" w:rsidR="00BA4119" w:rsidRPr="00BA4119" w:rsidRDefault="00BA4119" w:rsidP="00BA4119">
      <w:pPr>
        <w:spacing w:after="200"/>
        <w:ind w:left="720" w:hanging="720"/>
        <w:jc w:val="both"/>
        <w:rPr>
          <w:rFonts w:ascii="Calibri" w:hAnsi="Calibri"/>
          <w:rtl/>
        </w:rPr>
      </w:pPr>
      <w:r w:rsidRPr="00BA4119">
        <w:rPr>
          <w:rFonts w:ascii="Calibri" w:hAnsi="Calibri" w:hint="cs"/>
          <w:rtl/>
        </w:rPr>
        <w:t>1.</w:t>
      </w:r>
      <w:r w:rsidRPr="00BA4119">
        <w:rPr>
          <w:rFonts w:ascii="Calibri" w:hAnsi="Calibri" w:hint="cs"/>
          <w:rtl/>
        </w:rPr>
        <w:tab/>
      </w:r>
      <w:bookmarkStart w:id="5" w:name="ABSTRACT_START"/>
      <w:bookmarkEnd w:id="5"/>
      <w:r w:rsidRPr="00BA4119">
        <w:rPr>
          <w:rFonts w:ascii="Calibri" w:hAnsi="Calibri" w:hint="cs"/>
          <w:rtl/>
        </w:rPr>
        <w:t xml:space="preserve">הנאשם הורשע על פי הודאתו בכתב אישום מתוקן המייחס לו עבירה של החזקת חלק של נשק או תחמושת בניגוד </w:t>
      </w:r>
      <w:hyperlink r:id="rId11" w:history="1">
        <w:r w:rsidR="00F931CA" w:rsidRPr="00F931CA">
          <w:rPr>
            <w:rFonts w:ascii="Calibri" w:hAnsi="Calibri" w:hint="eastAsia"/>
            <w:color w:val="0000FF"/>
            <w:u w:val="single"/>
            <w:rtl/>
          </w:rPr>
          <w:t>לסעיף</w:t>
        </w:r>
        <w:r w:rsidR="00F931CA" w:rsidRPr="00F931CA">
          <w:rPr>
            <w:rFonts w:ascii="Calibri" w:hAnsi="Calibri"/>
            <w:color w:val="0000FF"/>
            <w:u w:val="single"/>
            <w:rtl/>
          </w:rPr>
          <w:t xml:space="preserve"> 144(</w:t>
        </w:r>
        <w:r w:rsidR="00F931CA" w:rsidRPr="00F931CA">
          <w:rPr>
            <w:rFonts w:ascii="Calibri" w:hAnsi="Calibri" w:hint="eastAsia"/>
            <w:color w:val="0000FF"/>
            <w:u w:val="single"/>
            <w:rtl/>
          </w:rPr>
          <w:t>א</w:t>
        </w:r>
        <w:r w:rsidR="00F931CA" w:rsidRPr="00F931CA">
          <w:rPr>
            <w:rFonts w:ascii="Calibri" w:hAnsi="Calibri"/>
            <w:color w:val="0000FF"/>
            <w:u w:val="single"/>
            <w:rtl/>
          </w:rPr>
          <w:t>)</w:t>
        </w:r>
      </w:hyperlink>
      <w:r w:rsidRPr="00BA4119">
        <w:rPr>
          <w:rFonts w:ascii="Calibri" w:hAnsi="Calibri" w:hint="cs"/>
          <w:rtl/>
        </w:rPr>
        <w:t xml:space="preserve"> סיפא ל</w:t>
      </w:r>
      <w:hyperlink r:id="rId12" w:history="1">
        <w:r w:rsidR="00BF09B4" w:rsidRPr="00BF09B4">
          <w:rPr>
            <w:rFonts w:ascii="Calibri" w:hAnsi="Calibri" w:hint="eastAsia"/>
            <w:color w:val="0000FF"/>
            <w:u w:val="single"/>
            <w:rtl/>
          </w:rPr>
          <w:t>חוק</w:t>
        </w:r>
        <w:r w:rsidR="00BF09B4" w:rsidRPr="00BF09B4">
          <w:rPr>
            <w:rFonts w:ascii="Calibri" w:hAnsi="Calibri"/>
            <w:color w:val="0000FF"/>
            <w:u w:val="single"/>
            <w:rtl/>
          </w:rPr>
          <w:t xml:space="preserve"> </w:t>
        </w:r>
        <w:r w:rsidR="00BF09B4" w:rsidRPr="00BF09B4">
          <w:rPr>
            <w:rFonts w:ascii="Calibri" w:hAnsi="Calibri" w:hint="eastAsia"/>
            <w:color w:val="0000FF"/>
            <w:u w:val="single"/>
            <w:rtl/>
          </w:rPr>
          <w:t>העונשין</w:t>
        </w:r>
      </w:hyperlink>
      <w:r w:rsidRPr="00BA4119">
        <w:rPr>
          <w:rFonts w:ascii="Calibri" w:hAnsi="Calibri" w:hint="cs"/>
          <w:rtl/>
        </w:rPr>
        <w:t xml:space="preserve"> התשל"ז-1977.</w:t>
      </w:r>
    </w:p>
    <w:p w14:paraId="0168E851" w14:textId="77777777" w:rsidR="00BA4119" w:rsidRPr="00BA4119" w:rsidRDefault="00BA4119" w:rsidP="00BA4119">
      <w:pPr>
        <w:spacing w:after="200"/>
        <w:ind w:left="720" w:hanging="720"/>
        <w:jc w:val="both"/>
        <w:rPr>
          <w:rFonts w:ascii="Calibri" w:hAnsi="Calibri"/>
          <w:rtl/>
        </w:rPr>
      </w:pPr>
      <w:bookmarkStart w:id="6" w:name="ABSTRACT_END"/>
      <w:bookmarkEnd w:id="6"/>
      <w:r w:rsidRPr="00BA4119">
        <w:rPr>
          <w:rFonts w:ascii="Calibri" w:hAnsi="Calibri" w:hint="cs"/>
          <w:rtl/>
        </w:rPr>
        <w:t>2.</w:t>
      </w:r>
      <w:r w:rsidRPr="00BA4119">
        <w:rPr>
          <w:rFonts w:ascii="Calibri" w:hAnsi="Calibri" w:hint="cs"/>
          <w:rtl/>
        </w:rPr>
        <w:tab/>
        <w:t xml:space="preserve">על פי עובדות כתב האישום המתוקן, בתאריך 28.10.14, החזיק הנאשם בביתו, בתחמושת שלהלן: 50 כדורים בקוטר 7.62, מחסנית </w:t>
      </w:r>
      <w:r w:rsidRPr="00BA4119">
        <w:rPr>
          <w:rFonts w:ascii="Calibri" w:hAnsi="Calibri"/>
        </w:rPr>
        <w:t>M-16</w:t>
      </w:r>
      <w:r w:rsidRPr="00BA4119">
        <w:rPr>
          <w:rFonts w:ascii="Calibri" w:hAnsi="Calibri" w:hint="cs"/>
          <w:rtl/>
        </w:rPr>
        <w:t xml:space="preserve"> ו-50 כדורי </w:t>
      </w:r>
      <w:r w:rsidRPr="00BA4119">
        <w:rPr>
          <w:rFonts w:ascii="Calibri" w:hAnsi="Calibri"/>
        </w:rPr>
        <w:t>M-16</w:t>
      </w:r>
      <w:r w:rsidRPr="00BA4119">
        <w:rPr>
          <w:rFonts w:ascii="Calibri" w:hAnsi="Calibri" w:hint="cs"/>
          <w:rtl/>
        </w:rPr>
        <w:t xml:space="preserve"> בקוטר 5.56.    </w:t>
      </w:r>
    </w:p>
    <w:p w14:paraId="30A5134A" w14:textId="77777777" w:rsidR="00BA4119" w:rsidRPr="00BA4119" w:rsidRDefault="00BA4119" w:rsidP="00BA4119">
      <w:pPr>
        <w:spacing w:after="200"/>
        <w:jc w:val="both"/>
        <w:rPr>
          <w:rFonts w:ascii="Calibri" w:hAnsi="Calibri"/>
          <w:b/>
          <w:bCs/>
          <w:u w:val="single"/>
          <w:rtl/>
        </w:rPr>
      </w:pPr>
      <w:r w:rsidRPr="00BA4119">
        <w:rPr>
          <w:rFonts w:ascii="Calibri" w:hAnsi="Calibri" w:hint="cs"/>
          <w:b/>
          <w:bCs/>
          <w:u w:val="single"/>
          <w:rtl/>
        </w:rPr>
        <w:t>הסדר הטיעון</w:t>
      </w:r>
    </w:p>
    <w:p w14:paraId="47E1C9A3" w14:textId="77777777" w:rsidR="00BA4119" w:rsidRPr="00BA4119" w:rsidRDefault="00BA4119" w:rsidP="00BA4119">
      <w:pPr>
        <w:spacing w:after="200"/>
        <w:ind w:left="720" w:hanging="720"/>
        <w:jc w:val="both"/>
        <w:rPr>
          <w:rFonts w:ascii="Calibri" w:hAnsi="Calibri"/>
          <w:rtl/>
        </w:rPr>
      </w:pPr>
      <w:r w:rsidRPr="00BA4119">
        <w:rPr>
          <w:rFonts w:ascii="Calibri" w:hAnsi="Calibri" w:hint="cs"/>
          <w:rtl/>
        </w:rPr>
        <w:t>3.</w:t>
      </w:r>
      <w:r w:rsidRPr="00BA4119">
        <w:rPr>
          <w:rFonts w:ascii="Calibri" w:hAnsi="Calibri" w:hint="cs"/>
          <w:rtl/>
        </w:rPr>
        <w:tab/>
        <w:t xml:space="preserve">ביום 24.5.17 הציגו הצדדים הסדר טיעון לפיו הנאשם יודה בכתב אישום מתוקן, יורשע וישלח לשירות המבחן לקבלת תסקיר. עמדת המאשימה למאסר על תנאי והתחייבות. עוד סוכם שהצדדים יטענו באופן פתוח. </w:t>
      </w:r>
    </w:p>
    <w:p w14:paraId="3C0149B2" w14:textId="77777777" w:rsidR="00BA4119" w:rsidRPr="00BA4119" w:rsidRDefault="00BA4119" w:rsidP="00BA4119">
      <w:pPr>
        <w:spacing w:after="200"/>
        <w:jc w:val="both"/>
        <w:rPr>
          <w:rFonts w:ascii="Calibri" w:hAnsi="Calibri"/>
          <w:b/>
          <w:bCs/>
          <w:color w:val="FF0000"/>
          <w:u w:val="single"/>
          <w:rtl/>
        </w:rPr>
      </w:pPr>
      <w:r w:rsidRPr="00BA4119">
        <w:rPr>
          <w:rFonts w:ascii="Calibri" w:hAnsi="Calibri" w:hint="cs"/>
          <w:b/>
          <w:bCs/>
          <w:u w:val="single"/>
          <w:rtl/>
        </w:rPr>
        <w:t xml:space="preserve">תסקיר שירות המבחן </w:t>
      </w:r>
    </w:p>
    <w:p w14:paraId="1874FACC" w14:textId="77777777" w:rsidR="00BA4119" w:rsidRPr="00BA4119" w:rsidRDefault="00BA4119" w:rsidP="00BA4119">
      <w:pPr>
        <w:spacing w:after="200"/>
        <w:ind w:left="720" w:hanging="720"/>
        <w:jc w:val="both"/>
        <w:rPr>
          <w:rFonts w:ascii="Calibri" w:hAnsi="Calibri"/>
          <w:rtl/>
        </w:rPr>
      </w:pPr>
      <w:r w:rsidRPr="00BA4119">
        <w:rPr>
          <w:rFonts w:ascii="Calibri" w:hAnsi="Calibri" w:hint="cs"/>
          <w:rtl/>
        </w:rPr>
        <w:t>4.</w:t>
      </w:r>
      <w:r w:rsidRPr="00BA4119">
        <w:rPr>
          <w:rFonts w:ascii="Calibri" w:hAnsi="Calibri" w:hint="cs"/>
          <w:rtl/>
        </w:rPr>
        <w:tab/>
        <w:t xml:space="preserve">בתסקיר מיום 3.12.17 סקר שירות המבחן את הרקע האישי והמשפחתי של הנאשם. הנאשם בן 53, גרוש בשנית, אב לארבעה ילדים, מתגורר עם גרושתו ובנו, בנו הצעיר נפטר לאחר שהתחשמל. הנאשם נולד וגדל באוקראינה, סיים שם 12 שנות לימוד ושירת בצבא האוקראיני. בשנת 2016 החל לעבוד באבטחה. במכתב ממעסיקו עולה כי הנאשם אחראי, </w:t>
      </w:r>
      <w:r w:rsidRPr="00BA4119">
        <w:rPr>
          <w:rFonts w:ascii="Calibri" w:hAnsi="Calibri" w:hint="cs"/>
          <w:rtl/>
        </w:rPr>
        <w:lastRenderedPageBreak/>
        <w:t xml:space="preserve">נאמן, סבלני ומסור. מיולי 2017 מאז מות בנו היה שרוי במשבר קשה ומטופל תרופתית במרפאה לבריאות הנפש. מאז פטירת בנו לא חזר הנאשם לעבוד. הנאשם נעדר עבר פלילי. באשר לעבירה הנדונה מסר כי נהג לנסוע עם חבריו לאזור דייג. באזור זה התקיימו אימוני צה"ל וכחלק משגרת אימונים הושארו תרמילים וכדורים רבים בשטח. הנאשם נהג לאספם ולרתכם לצורך שימוש לדייג. הנאשם שיתף כי לא ידע על האיסור בדבר החזקת ציוד שכזה. לעניין המחסניות מסר כי בשוק הבדואי מכרו מחסניות ריקות והוא רכש אותן. לדברי הנאשם רק בעקבות ההליכים המשפטיים הבין את חומרת מעשיו והביע חרטה. </w:t>
      </w:r>
    </w:p>
    <w:p w14:paraId="5AC62260" w14:textId="77777777" w:rsidR="00BA4119" w:rsidRPr="00BA4119" w:rsidRDefault="00BA4119" w:rsidP="00BA4119">
      <w:pPr>
        <w:spacing w:after="200"/>
        <w:ind w:left="720"/>
        <w:contextualSpacing/>
        <w:jc w:val="both"/>
        <w:rPr>
          <w:rFonts w:ascii="Calibri" w:hAnsi="Calibri"/>
        </w:rPr>
      </w:pPr>
      <w:r w:rsidRPr="00BA4119">
        <w:rPr>
          <w:rFonts w:ascii="Calibri" w:hAnsi="Calibri" w:hint="cs"/>
          <w:rtl/>
        </w:rPr>
        <w:t xml:space="preserve">שירות המבחן העריך את הנאשם כבעל יכולת תפקוד תקינה, המנהל אורח חיים נורמטיבי. נאשם שחווה אבדן קשה של בנו הצעיר, אבדן אשר הוביל לערעור מצבו הרגשי שבעקבותיו הפסיק עבודתו, הסתגר בביתו ושינה אורח חייו. שירות המבחן סבור שלאור האמור קיימת רמת סיכון נמוכה להישנות העבירה וכי ההליך המשפטי היווה גורם מרתיע עבור הנאשם. </w:t>
      </w:r>
    </w:p>
    <w:p w14:paraId="7E21948A" w14:textId="77777777" w:rsidR="00BA4119" w:rsidRPr="00BA4119" w:rsidRDefault="00BA4119" w:rsidP="00BA4119">
      <w:pPr>
        <w:spacing w:after="200"/>
        <w:ind w:left="720"/>
        <w:contextualSpacing/>
        <w:jc w:val="both"/>
        <w:rPr>
          <w:rFonts w:ascii="Calibri" w:hAnsi="Calibri"/>
          <w:rtl/>
        </w:rPr>
      </w:pPr>
      <w:r w:rsidRPr="00BA4119">
        <w:rPr>
          <w:rFonts w:ascii="Calibri" w:hAnsi="Calibri" w:hint="cs"/>
          <w:rtl/>
        </w:rPr>
        <w:t xml:space="preserve">לאור האמור ובכדי לצמצם פגיעה אפשרית בעתיד התעסוקתי של הנאשם המליץ שירות המבחן לבטל הרשעתו בדין. </w:t>
      </w:r>
    </w:p>
    <w:p w14:paraId="694C5FE7" w14:textId="77777777" w:rsidR="00BA4119" w:rsidRPr="00BA4119" w:rsidRDefault="00BA4119" w:rsidP="00BA4119">
      <w:pPr>
        <w:spacing w:after="200"/>
        <w:ind w:left="360"/>
        <w:contextualSpacing/>
        <w:jc w:val="both"/>
        <w:rPr>
          <w:rFonts w:ascii="Calibri" w:hAnsi="Calibri"/>
          <w:rtl/>
        </w:rPr>
      </w:pPr>
    </w:p>
    <w:p w14:paraId="3207FECE" w14:textId="77777777" w:rsidR="00BA4119" w:rsidRPr="00BA4119" w:rsidRDefault="00BA4119" w:rsidP="00BA4119">
      <w:pPr>
        <w:spacing w:after="200"/>
        <w:jc w:val="both"/>
        <w:rPr>
          <w:rFonts w:ascii="Calibri" w:hAnsi="Calibri"/>
          <w:b/>
          <w:bCs/>
          <w:u w:val="single"/>
          <w:rtl/>
        </w:rPr>
      </w:pPr>
      <w:r w:rsidRPr="00BA4119">
        <w:rPr>
          <w:rFonts w:ascii="Calibri" w:hAnsi="Calibri" w:hint="cs"/>
          <w:b/>
          <w:bCs/>
          <w:u w:val="single"/>
          <w:rtl/>
        </w:rPr>
        <w:t>טיעוני הצדדים לעונש</w:t>
      </w:r>
    </w:p>
    <w:p w14:paraId="77C6EF29" w14:textId="77777777" w:rsidR="00BA4119" w:rsidRPr="00BA4119" w:rsidRDefault="00BA4119" w:rsidP="00BA4119">
      <w:pPr>
        <w:spacing w:after="200"/>
        <w:ind w:left="720" w:hanging="720"/>
        <w:jc w:val="both"/>
        <w:rPr>
          <w:rFonts w:ascii="Calibri" w:hAnsi="Calibri"/>
          <w:rtl/>
        </w:rPr>
      </w:pPr>
      <w:r w:rsidRPr="00BA4119">
        <w:rPr>
          <w:rFonts w:ascii="Calibri" w:hAnsi="Calibri" w:hint="cs"/>
          <w:rtl/>
        </w:rPr>
        <w:t>5.</w:t>
      </w:r>
      <w:r w:rsidRPr="00BA4119">
        <w:rPr>
          <w:rFonts w:ascii="Calibri" w:hAnsi="Calibri" w:hint="cs"/>
          <w:rtl/>
        </w:rPr>
        <w:tab/>
        <w:t xml:space="preserve">ב"כ המאשימה חזרה על עמדתה להטיל על הנאשם מאסר מותנה והתחייבות. </w:t>
      </w:r>
    </w:p>
    <w:p w14:paraId="25D1FF4B" w14:textId="77777777" w:rsidR="00BA4119" w:rsidRPr="00BA4119" w:rsidRDefault="00BA4119" w:rsidP="00BA4119">
      <w:pPr>
        <w:ind w:left="720" w:hanging="720"/>
        <w:jc w:val="both"/>
        <w:rPr>
          <w:rFonts w:ascii="Calibri" w:hAnsi="Calibri"/>
          <w:rtl/>
        </w:rPr>
      </w:pPr>
      <w:r w:rsidRPr="00BA4119">
        <w:rPr>
          <w:rFonts w:ascii="Calibri" w:hAnsi="Calibri" w:hint="cs"/>
          <w:rtl/>
        </w:rPr>
        <w:t>6.</w:t>
      </w:r>
      <w:r w:rsidRPr="00BA4119">
        <w:rPr>
          <w:rFonts w:ascii="Calibri" w:hAnsi="Calibri" w:hint="cs"/>
          <w:rtl/>
        </w:rPr>
        <w:tab/>
        <w:t xml:space="preserve">ב"כ הנאשם ביקשה לאמץ את המלצת שירות המבחן ולבטל הרשעת הנאשם. לדבריה, הנאשם נורמטיבי, נעדר עבר פלילי,  עד לאחרונה עבד בתחום האבטחה ובעקבות האסון שפקד את המשפחה, מות בנו, הנאשם מסתגר בביתו. לדבריה הרשעה תפגע ביכולתו לשקם עצמו ולחזור למעגל התעסוקה.  </w:t>
      </w:r>
    </w:p>
    <w:p w14:paraId="043B9C6B" w14:textId="77777777" w:rsidR="00BA4119" w:rsidRPr="00BA4119" w:rsidRDefault="00BA4119" w:rsidP="00BA4119">
      <w:pPr>
        <w:ind w:left="720" w:hanging="720"/>
        <w:jc w:val="both"/>
        <w:rPr>
          <w:rFonts w:ascii="Calibri" w:hAnsi="Calibri"/>
          <w:rtl/>
        </w:rPr>
      </w:pPr>
    </w:p>
    <w:p w14:paraId="7DEC62E0" w14:textId="77777777" w:rsidR="00BA4119" w:rsidRPr="00BA4119" w:rsidRDefault="00BA4119" w:rsidP="00BA4119">
      <w:pPr>
        <w:ind w:left="720" w:hanging="720"/>
        <w:jc w:val="both"/>
        <w:rPr>
          <w:rFonts w:ascii="Calibri" w:hAnsi="Calibri"/>
          <w:rtl/>
        </w:rPr>
      </w:pPr>
      <w:r w:rsidRPr="00BA4119">
        <w:rPr>
          <w:rFonts w:ascii="Calibri" w:hAnsi="Calibri" w:hint="cs"/>
          <w:rtl/>
        </w:rPr>
        <w:t xml:space="preserve">7.        </w:t>
      </w:r>
      <w:r w:rsidRPr="00BA4119">
        <w:rPr>
          <w:rFonts w:ascii="Calibri" w:hAnsi="Calibri" w:hint="cs"/>
          <w:rtl/>
        </w:rPr>
        <w:tab/>
        <w:t xml:space="preserve">הנאשם לא היה מסוגל לדבר. אשתו ביקשה לדבר במקומו. היא ציינה כי מאז פטירת הבן הנאשם לא חזר לעצמו, מטופל אצל פסיכיאטר וסובל משלל מחלות. לדבריה הנאשם לא היה מודע לכך שהוא עובר על החוק. לדבריה הנאשם חייב לחזור לעבודה בכדי לעמוד בתשלומי שכר הדירה. לדבריה, הנאשם מעוניין לחזור לעבוד בתחום השיפוץ, בעבר היה עצמאי ורוצה לחזור לזה. </w:t>
      </w:r>
    </w:p>
    <w:p w14:paraId="709A1971" w14:textId="77777777" w:rsidR="00BA4119" w:rsidRPr="00BA4119" w:rsidRDefault="00BA4119" w:rsidP="00BA4119">
      <w:pPr>
        <w:ind w:left="720" w:hanging="720"/>
        <w:jc w:val="both"/>
        <w:rPr>
          <w:rFonts w:ascii="Calibri" w:hAnsi="Calibri"/>
          <w:rtl/>
        </w:rPr>
      </w:pPr>
    </w:p>
    <w:p w14:paraId="62CEFDCF" w14:textId="77777777" w:rsidR="00BA4119" w:rsidRPr="00BA4119" w:rsidRDefault="00BA4119" w:rsidP="00BA4119">
      <w:pPr>
        <w:spacing w:after="200"/>
        <w:jc w:val="both"/>
        <w:rPr>
          <w:rFonts w:ascii="Calibri" w:hAnsi="Calibri"/>
          <w:b/>
          <w:bCs/>
          <w:sz w:val="40"/>
          <w:szCs w:val="40"/>
          <w:u w:val="single"/>
          <w:rtl/>
        </w:rPr>
      </w:pPr>
      <w:r w:rsidRPr="00BA4119">
        <w:rPr>
          <w:rFonts w:ascii="Calibri" w:hAnsi="Calibri" w:hint="cs"/>
          <w:b/>
          <w:bCs/>
          <w:sz w:val="40"/>
          <w:szCs w:val="40"/>
          <w:u w:val="single"/>
          <w:rtl/>
        </w:rPr>
        <w:t>דיון</w:t>
      </w:r>
    </w:p>
    <w:p w14:paraId="39EBCE7C" w14:textId="77777777" w:rsidR="00BA4119" w:rsidRPr="00BA4119" w:rsidRDefault="00BA4119" w:rsidP="00BA4119">
      <w:pPr>
        <w:spacing w:after="200"/>
        <w:jc w:val="both"/>
        <w:rPr>
          <w:rFonts w:ascii="Calibri" w:hAnsi="Calibri"/>
          <w:b/>
          <w:bCs/>
          <w:u w:val="single"/>
          <w:rtl/>
        </w:rPr>
      </w:pPr>
      <w:r w:rsidRPr="00BA4119">
        <w:rPr>
          <w:rFonts w:ascii="Calibri" w:hAnsi="Calibri" w:hint="cs"/>
          <w:b/>
          <w:bCs/>
          <w:u w:val="single"/>
          <w:rtl/>
        </w:rPr>
        <w:t>מתחם העונש ההולם</w:t>
      </w:r>
    </w:p>
    <w:p w14:paraId="265D2E2F" w14:textId="77777777" w:rsidR="00BA4119" w:rsidRPr="00BA4119" w:rsidRDefault="00BA4119" w:rsidP="00BA4119">
      <w:pPr>
        <w:spacing w:after="160" w:line="256" w:lineRule="auto"/>
        <w:ind w:left="360"/>
        <w:contextualSpacing/>
        <w:jc w:val="both"/>
        <w:rPr>
          <w:rFonts w:ascii="Calibri" w:hAnsi="Calibri"/>
          <w:rtl/>
        </w:rPr>
      </w:pPr>
    </w:p>
    <w:p w14:paraId="5FC19152" w14:textId="77777777" w:rsidR="00BA4119" w:rsidRDefault="00BA4119" w:rsidP="00BA4119">
      <w:pPr>
        <w:spacing w:after="120"/>
        <w:ind w:left="720" w:hanging="720"/>
        <w:jc w:val="both"/>
        <w:rPr>
          <w:rFonts w:ascii="David" w:hAnsi="David"/>
          <w:color w:val="000000"/>
          <w:rtl/>
        </w:rPr>
      </w:pPr>
      <w:r>
        <w:rPr>
          <w:rFonts w:hint="cs"/>
          <w:color w:val="000000"/>
          <w:rtl/>
        </w:rPr>
        <w:t>8.</w:t>
      </w:r>
      <w:r>
        <w:rPr>
          <w:rFonts w:hint="cs"/>
          <w:color w:val="000000"/>
          <w:rtl/>
        </w:rPr>
        <w:tab/>
      </w:r>
      <w:r>
        <w:rPr>
          <w:rFonts w:hint="cs"/>
          <w:b/>
          <w:bCs/>
          <w:color w:val="000000"/>
          <w:rtl/>
        </w:rPr>
        <w:t xml:space="preserve">הערכים המוגנים שנפגעו הם </w:t>
      </w:r>
      <w:r>
        <w:rPr>
          <w:rFonts w:hint="cs"/>
          <w:color w:val="000000"/>
          <w:rtl/>
        </w:rPr>
        <w:t xml:space="preserve">הגנה על שלומו וביטחונו של הציבור. </w:t>
      </w:r>
    </w:p>
    <w:p w14:paraId="1FF0E53C" w14:textId="77777777" w:rsidR="00BA4119" w:rsidRDefault="00BA4119" w:rsidP="00BA4119">
      <w:pPr>
        <w:spacing w:after="200" w:line="276" w:lineRule="auto"/>
        <w:ind w:left="720"/>
        <w:contextualSpacing/>
        <w:jc w:val="both"/>
        <w:rPr>
          <w:rtl/>
          <w:lang w:eastAsia="he-IL"/>
        </w:rPr>
      </w:pPr>
    </w:p>
    <w:p w14:paraId="7796FE98" w14:textId="77777777" w:rsidR="00BA4119" w:rsidRPr="00BA4119" w:rsidRDefault="00BA4119" w:rsidP="00BA4119">
      <w:pPr>
        <w:spacing w:after="160"/>
        <w:ind w:left="720" w:hanging="720"/>
        <w:jc w:val="both"/>
        <w:rPr>
          <w:rFonts w:ascii="Calibri" w:hAnsi="Calibri"/>
          <w:rtl/>
        </w:rPr>
      </w:pPr>
      <w:r>
        <w:rPr>
          <w:rFonts w:hint="cs"/>
          <w:rtl/>
          <w:lang w:eastAsia="he-IL"/>
        </w:rPr>
        <w:t>9</w:t>
      </w:r>
      <w:r>
        <w:rPr>
          <w:rFonts w:hint="cs"/>
          <w:b/>
          <w:bCs/>
          <w:rtl/>
          <w:lang w:eastAsia="he-IL"/>
        </w:rPr>
        <w:t>.</w:t>
      </w:r>
      <w:r>
        <w:rPr>
          <w:rFonts w:hint="cs"/>
          <w:b/>
          <w:bCs/>
          <w:rtl/>
          <w:lang w:eastAsia="he-IL"/>
        </w:rPr>
        <w:tab/>
        <w:t>מידת הפגיעה בערכים המוגנים</w:t>
      </w:r>
      <w:r>
        <w:rPr>
          <w:rFonts w:hint="cs"/>
          <w:rtl/>
          <w:lang w:eastAsia="he-IL"/>
        </w:rPr>
        <w:t xml:space="preserve"> הינה ברף הנמוך: הנאשם </w:t>
      </w:r>
      <w:r w:rsidRPr="00BA4119">
        <w:rPr>
          <w:rFonts w:ascii="Calibri" w:hAnsi="Calibri" w:hint="cs"/>
          <w:rtl/>
        </w:rPr>
        <w:t xml:space="preserve">החזיק הנאשם בביתו 50 כדורים בקוטר 7.62, מחסנית </w:t>
      </w:r>
      <w:r w:rsidRPr="00BA4119">
        <w:rPr>
          <w:rFonts w:ascii="Calibri" w:hAnsi="Calibri"/>
        </w:rPr>
        <w:t>M-16</w:t>
      </w:r>
      <w:r w:rsidRPr="00BA4119">
        <w:rPr>
          <w:rFonts w:ascii="Calibri" w:hAnsi="Calibri" w:hint="cs"/>
          <w:rtl/>
        </w:rPr>
        <w:t xml:space="preserve"> ו-50 כדורי </w:t>
      </w:r>
      <w:r w:rsidRPr="00BA4119">
        <w:rPr>
          <w:rFonts w:ascii="Calibri" w:hAnsi="Calibri"/>
        </w:rPr>
        <w:t>M-16</w:t>
      </w:r>
      <w:r w:rsidRPr="00BA4119">
        <w:rPr>
          <w:rFonts w:ascii="Calibri" w:hAnsi="Calibri" w:hint="cs"/>
          <w:rtl/>
        </w:rPr>
        <w:t xml:space="preserve"> בקוטר 5.56.   </w:t>
      </w:r>
    </w:p>
    <w:p w14:paraId="76B1F837" w14:textId="77777777" w:rsidR="00BA4119" w:rsidRDefault="00BA4119" w:rsidP="00BA4119">
      <w:pPr>
        <w:snapToGrid w:val="0"/>
        <w:spacing w:before="120"/>
        <w:ind w:left="720" w:hanging="720"/>
        <w:jc w:val="both"/>
        <w:rPr>
          <w:rtl/>
          <w:lang w:eastAsia="he-IL"/>
        </w:rPr>
      </w:pPr>
      <w:r w:rsidRPr="00BA4119">
        <w:rPr>
          <w:rFonts w:ascii="Calibri" w:hAnsi="Calibri" w:hint="cs"/>
          <w:rtl/>
        </w:rPr>
        <w:t>10</w:t>
      </w:r>
      <w:r w:rsidRPr="00BA4119">
        <w:rPr>
          <w:rFonts w:ascii="Calibri" w:hAnsi="Calibri" w:hint="cs"/>
          <w:b/>
          <w:bCs/>
          <w:rtl/>
        </w:rPr>
        <w:t>.</w:t>
      </w:r>
      <w:r w:rsidRPr="00BA4119">
        <w:rPr>
          <w:rFonts w:ascii="Calibri" w:hAnsi="Calibri" w:hint="cs"/>
          <w:b/>
          <w:bCs/>
          <w:rtl/>
        </w:rPr>
        <w:tab/>
        <w:t>באשר לנסיבות הקשורות בביצוע העבירות</w:t>
      </w:r>
      <w:r w:rsidRPr="00BA4119">
        <w:rPr>
          <w:rFonts w:ascii="Calibri" w:hAnsi="Calibri" w:hint="cs"/>
          <w:rtl/>
        </w:rPr>
        <w:t xml:space="preserve">, נתתי דעתי לסוג התחמושת והאביזרים שהוחזקו. נתתי דעתי לכך שהוחזקו בביתו של הנאשם ולא נעשה בהם שימוש. נתתי דעתי לדברי הנאשם בפגישה עם שירות המבחן לכך שאסף אותם באזור דייג בו התקיימו אימוני צה"ל והושארו תרמילים וכדורים רבים בשטח. הנאשם נהג לאספם ולרתכם לצורך שימוש לדייג. </w:t>
      </w:r>
    </w:p>
    <w:p w14:paraId="248C3E82" w14:textId="77777777" w:rsidR="00BA4119" w:rsidRDefault="00BA4119" w:rsidP="00BA4119">
      <w:pPr>
        <w:snapToGrid w:val="0"/>
        <w:spacing w:before="120" w:line="300" w:lineRule="exact"/>
        <w:ind w:left="360" w:hanging="360"/>
        <w:jc w:val="both"/>
        <w:rPr>
          <w:rtl/>
          <w:lang w:eastAsia="he-IL"/>
        </w:rPr>
      </w:pPr>
      <w:r>
        <w:rPr>
          <w:rFonts w:hint="cs"/>
          <w:rtl/>
          <w:lang w:eastAsia="he-IL"/>
        </w:rPr>
        <w:t>11.</w:t>
      </w:r>
      <w:r>
        <w:rPr>
          <w:rFonts w:hint="cs"/>
          <w:rtl/>
          <w:lang w:eastAsia="he-IL"/>
        </w:rPr>
        <w:tab/>
      </w:r>
      <w:r>
        <w:rPr>
          <w:rFonts w:hint="cs"/>
          <w:rtl/>
          <w:lang w:eastAsia="he-IL"/>
        </w:rPr>
        <w:tab/>
        <w:t xml:space="preserve">על </w:t>
      </w:r>
      <w:r>
        <w:rPr>
          <w:rFonts w:hint="cs"/>
          <w:b/>
          <w:bCs/>
          <w:rtl/>
          <w:lang w:eastAsia="he-IL"/>
        </w:rPr>
        <w:t>מדיניות הענישה הנוהגת</w:t>
      </w:r>
      <w:r>
        <w:rPr>
          <w:rFonts w:hint="cs"/>
          <w:rtl/>
          <w:lang w:eastAsia="he-IL"/>
        </w:rPr>
        <w:t xml:space="preserve"> במקרים דומים ניתן ללמוד, בין היתר, מפסקי הדין שלהלן:  </w:t>
      </w:r>
    </w:p>
    <w:p w14:paraId="3346C3B0" w14:textId="77777777" w:rsidR="00BA4119" w:rsidRDefault="00BA4119" w:rsidP="00BA4119">
      <w:pPr>
        <w:snapToGrid w:val="0"/>
        <w:spacing w:before="120" w:line="300" w:lineRule="exact"/>
        <w:ind w:left="360" w:hanging="360"/>
        <w:jc w:val="both"/>
        <w:rPr>
          <w:rtl/>
          <w:lang w:eastAsia="he-IL"/>
        </w:rPr>
      </w:pPr>
    </w:p>
    <w:p w14:paraId="3CCE1533" w14:textId="77777777" w:rsidR="00BA4119" w:rsidRPr="00BA4119" w:rsidRDefault="00BF09B4" w:rsidP="00BA4119">
      <w:pPr>
        <w:numPr>
          <w:ilvl w:val="0"/>
          <w:numId w:val="1"/>
        </w:numPr>
        <w:spacing w:after="200" w:line="360" w:lineRule="auto"/>
        <w:ind w:left="1080"/>
        <w:contextualSpacing/>
        <w:jc w:val="both"/>
        <w:rPr>
          <w:rFonts w:ascii="Calibri" w:hAnsi="Calibri"/>
          <w:rtl/>
        </w:rPr>
      </w:pPr>
      <w:hyperlink r:id="rId13" w:history="1">
        <w:r w:rsidRPr="00BF09B4">
          <w:rPr>
            <w:rFonts w:ascii="Calibri" w:hAnsi="Calibri" w:hint="eastAsia"/>
            <w:color w:val="0000FF"/>
            <w:u w:val="single"/>
            <w:rtl/>
          </w:rPr>
          <w:t>עפ</w:t>
        </w:r>
        <w:r w:rsidRPr="00BF09B4">
          <w:rPr>
            <w:rFonts w:ascii="Calibri" w:hAnsi="Calibri"/>
            <w:color w:val="0000FF"/>
            <w:u w:val="single"/>
            <w:rtl/>
          </w:rPr>
          <w:t>"</w:t>
        </w:r>
        <w:r w:rsidRPr="00BF09B4">
          <w:rPr>
            <w:rFonts w:ascii="Calibri" w:hAnsi="Calibri" w:hint="eastAsia"/>
            <w:color w:val="0000FF"/>
            <w:u w:val="single"/>
            <w:rtl/>
          </w:rPr>
          <w:t>ג</w:t>
        </w:r>
        <w:r w:rsidRPr="00BF09B4">
          <w:rPr>
            <w:rFonts w:ascii="Calibri" w:hAnsi="Calibri"/>
            <w:color w:val="0000FF"/>
            <w:u w:val="single"/>
            <w:rtl/>
          </w:rPr>
          <w:t xml:space="preserve"> (</w:t>
        </w:r>
        <w:r w:rsidRPr="00BF09B4">
          <w:rPr>
            <w:rFonts w:ascii="Calibri" w:hAnsi="Calibri" w:hint="eastAsia"/>
            <w:color w:val="0000FF"/>
            <w:u w:val="single"/>
            <w:rtl/>
          </w:rPr>
          <w:t>מרכז</w:t>
        </w:r>
        <w:r w:rsidRPr="00BF09B4">
          <w:rPr>
            <w:rFonts w:ascii="Calibri" w:hAnsi="Calibri"/>
            <w:color w:val="0000FF"/>
            <w:u w:val="single"/>
            <w:rtl/>
          </w:rPr>
          <w:t>) 20834-04-17</w:t>
        </w:r>
      </w:hyperlink>
      <w:r w:rsidR="00BA4119" w:rsidRPr="00BA4119">
        <w:rPr>
          <w:rFonts w:ascii="Calibri" w:hAnsi="Calibri" w:hint="cs"/>
          <w:b/>
          <w:bCs/>
          <w:rtl/>
        </w:rPr>
        <w:t xml:space="preserve"> מדינת ישראל נ' ורנר</w:t>
      </w:r>
      <w:r w:rsidR="00BA4119" w:rsidRPr="00BA4119">
        <w:rPr>
          <w:rFonts w:ascii="Calibri" w:hAnsi="Calibri" w:hint="cs"/>
          <w:rtl/>
        </w:rPr>
        <w:t xml:space="preserve"> (27.6.17). הנאשם הודה בעבירה של החזקת תחמושת: 360 קליעים בקוטר 5.56 ו- 10 מחסניות. בית המשפט קמא ביטל </w:t>
      </w:r>
      <w:r w:rsidR="00BA4119" w:rsidRPr="00BA4119">
        <w:rPr>
          <w:rFonts w:ascii="Calibri" w:hAnsi="Calibri" w:hint="cs"/>
          <w:rtl/>
        </w:rPr>
        <w:lastRenderedPageBreak/>
        <w:t xml:space="preserve">הרשעתו והטיל עליו 250 שעות של"צ. ערעור המדינה בבית המשפט המחוזי התקבל והנאשם הורשע בדין ונדון לשל"צ שנקבע על ידי בית משפט קמא ובנוסף מאסר מותנה. </w:t>
      </w:r>
    </w:p>
    <w:p w14:paraId="49100C56" w14:textId="77777777" w:rsidR="00BA4119" w:rsidRPr="00BA4119" w:rsidRDefault="00BF09B4" w:rsidP="00BA4119">
      <w:pPr>
        <w:numPr>
          <w:ilvl w:val="0"/>
          <w:numId w:val="1"/>
        </w:numPr>
        <w:spacing w:after="200" w:line="360" w:lineRule="auto"/>
        <w:ind w:left="1080"/>
        <w:contextualSpacing/>
        <w:jc w:val="both"/>
        <w:rPr>
          <w:rFonts w:ascii="Calibri" w:hAnsi="Calibri"/>
          <w:rtl/>
        </w:rPr>
      </w:pPr>
      <w:hyperlink r:id="rId14"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רמלה</w:t>
        </w:r>
        <w:r w:rsidRPr="00BF09B4">
          <w:rPr>
            <w:rFonts w:ascii="Calibri" w:hAnsi="Calibri"/>
            <w:color w:val="0000FF"/>
            <w:u w:val="single"/>
            <w:rtl/>
          </w:rPr>
          <w:t>) 16825-05-15</w:t>
        </w:r>
      </w:hyperlink>
      <w:r w:rsidR="00BA4119" w:rsidRPr="00BA4119">
        <w:rPr>
          <w:rFonts w:ascii="Calibri" w:hAnsi="Calibri" w:hint="cs"/>
          <w:rtl/>
        </w:rPr>
        <w:t xml:space="preserve"> </w:t>
      </w:r>
      <w:r w:rsidR="00BA4119" w:rsidRPr="00BA4119">
        <w:rPr>
          <w:rFonts w:ascii="Calibri" w:hAnsi="Calibri" w:hint="cs"/>
          <w:b/>
          <w:bCs/>
          <w:rtl/>
        </w:rPr>
        <w:t>מדינת ישראל נ' גואטה</w:t>
      </w:r>
      <w:r w:rsidR="00BA4119" w:rsidRPr="00BA4119">
        <w:rPr>
          <w:rFonts w:ascii="Calibri" w:hAnsi="Calibri" w:hint="cs"/>
          <w:rtl/>
        </w:rPr>
        <w:t xml:space="preserve"> (פורסם בתקדין, 10.1.17). הנאשם נדון על עבירות בניגוד ל</w:t>
      </w:r>
      <w:hyperlink r:id="rId15" w:history="1">
        <w:r w:rsidRPr="00BF09B4">
          <w:rPr>
            <w:rFonts w:ascii="Calibri" w:hAnsi="Calibri" w:hint="eastAsia"/>
            <w:color w:val="0000FF"/>
            <w:u w:val="single"/>
            <w:rtl/>
          </w:rPr>
          <w:t>פקודת</w:t>
        </w:r>
        <w:r w:rsidRPr="00BF09B4">
          <w:rPr>
            <w:rFonts w:ascii="Calibri" w:hAnsi="Calibri"/>
            <w:color w:val="0000FF"/>
            <w:u w:val="single"/>
            <w:rtl/>
          </w:rPr>
          <w:t xml:space="preserve"> </w:t>
        </w:r>
        <w:r w:rsidRPr="00BF09B4">
          <w:rPr>
            <w:rFonts w:ascii="Calibri" w:hAnsi="Calibri" w:hint="eastAsia"/>
            <w:color w:val="0000FF"/>
            <w:u w:val="single"/>
            <w:rtl/>
          </w:rPr>
          <w:t>הסמים</w:t>
        </w:r>
        <w:r w:rsidRPr="00BF09B4">
          <w:rPr>
            <w:rFonts w:ascii="Calibri" w:hAnsi="Calibri"/>
            <w:color w:val="0000FF"/>
            <w:u w:val="single"/>
            <w:rtl/>
          </w:rPr>
          <w:t xml:space="preserve"> </w:t>
        </w:r>
        <w:r w:rsidRPr="00BF09B4">
          <w:rPr>
            <w:rFonts w:ascii="Calibri" w:hAnsi="Calibri" w:hint="eastAsia"/>
            <w:color w:val="0000FF"/>
            <w:u w:val="single"/>
            <w:rtl/>
          </w:rPr>
          <w:t>המסוכנים</w:t>
        </w:r>
      </w:hyperlink>
      <w:r w:rsidR="00BA4119" w:rsidRPr="00BA4119">
        <w:rPr>
          <w:rFonts w:ascii="Calibri" w:hAnsi="Calibri" w:hint="cs"/>
          <w:rtl/>
        </w:rPr>
        <w:t xml:space="preserve"> לצד עבירה של החזקת תחמושת ( מחסנית לרובה </w:t>
      </w:r>
      <w:r w:rsidR="00BA4119" w:rsidRPr="00BA4119">
        <w:rPr>
          <w:rFonts w:ascii="Calibri" w:hAnsi="Calibri"/>
        </w:rPr>
        <w:t>M-16</w:t>
      </w:r>
      <w:r w:rsidR="00BA4119" w:rsidRPr="00BA4119">
        <w:rPr>
          <w:rFonts w:ascii="Calibri" w:hAnsi="Calibri" w:hint="cs"/>
          <w:rtl/>
        </w:rPr>
        <w:t xml:space="preserve"> ובה 29 כדורים 5.56 מ"מ). בית המשפט קבע כי מתחם העונש ההולם לעבירה של החזקת התחמושת נע בין מאסר על תנאי ל-6 חודשי מאסר בפועל. על הנאשם נגזרו, על מכלול האישומים 3.5 חודשי מאסר בעבודות שירות, מאסר על תנאי, קנס, פסילה על תנאי וצו מבחן. </w:t>
      </w:r>
    </w:p>
    <w:p w14:paraId="07B60BAC"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16" w:history="1">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פ</w:t>
        </w:r>
        <w:r w:rsidRPr="00BF09B4">
          <w:rPr>
            <w:rFonts w:ascii="Calibri" w:hAnsi="Calibri"/>
            <w:color w:val="0000FF"/>
            <w:sz w:val="22"/>
            <w:u w:val="single"/>
            <w:rtl/>
          </w:rPr>
          <w:t xml:space="preserve"> (</w:t>
        </w:r>
        <w:r w:rsidRPr="00BF09B4">
          <w:rPr>
            <w:rFonts w:ascii="Calibri" w:hAnsi="Calibri" w:hint="eastAsia"/>
            <w:color w:val="0000FF"/>
            <w:sz w:val="22"/>
            <w:u w:val="single"/>
            <w:rtl/>
          </w:rPr>
          <w:t>טבריה</w:t>
        </w:r>
        <w:r w:rsidRPr="00BF09B4">
          <w:rPr>
            <w:rFonts w:ascii="Calibri" w:hAnsi="Calibri"/>
            <w:color w:val="0000FF"/>
            <w:sz w:val="22"/>
            <w:u w:val="single"/>
            <w:rtl/>
          </w:rPr>
          <w:t>) 26182-10-14</w:t>
        </w:r>
      </w:hyperlink>
      <w:r w:rsidR="00BA4119" w:rsidRPr="00BA4119">
        <w:rPr>
          <w:rFonts w:ascii="Calibri" w:hAnsi="Calibri" w:hint="cs"/>
          <w:sz w:val="22"/>
          <w:rtl/>
        </w:rPr>
        <w:t xml:space="preserve"> </w:t>
      </w:r>
      <w:r w:rsidR="00BA4119" w:rsidRPr="00BA4119">
        <w:rPr>
          <w:rFonts w:ascii="Calibri" w:hAnsi="Calibri" w:hint="cs"/>
          <w:b/>
          <w:bCs/>
          <w:sz w:val="22"/>
          <w:rtl/>
        </w:rPr>
        <w:t>מדינת ישראל נ' אבו חנין</w:t>
      </w:r>
      <w:r w:rsidR="00BA4119" w:rsidRPr="00BA4119">
        <w:rPr>
          <w:rFonts w:ascii="Calibri" w:hAnsi="Calibri" w:hint="cs"/>
          <w:sz w:val="22"/>
          <w:rtl/>
        </w:rPr>
        <w:t xml:space="preserve"> (פורסם בנבו, 9.2.16), החזקת דבק חבלה, מחסנית לנשק, 364 כדורי 7.62 מ"מ, 714 כדורי 5.56 מ"מ, 50 מחסניות 16</w:t>
      </w:r>
      <w:r w:rsidR="00BA4119" w:rsidRPr="00BA4119">
        <w:rPr>
          <w:rFonts w:ascii="Calibri" w:hAnsi="Calibri"/>
          <w:sz w:val="22"/>
        </w:rPr>
        <w:t>M</w:t>
      </w:r>
      <w:r w:rsidR="00BA4119" w:rsidRPr="00BA4119">
        <w:rPr>
          <w:rFonts w:ascii="Calibri" w:hAnsi="Calibri" w:hint="cs"/>
          <w:sz w:val="22"/>
          <w:rtl/>
        </w:rPr>
        <w:t xml:space="preserve"> כשבתוכן 708 כדורים.  </w:t>
      </w:r>
      <w:r w:rsidR="00BA4119" w:rsidRPr="00BA4119">
        <w:rPr>
          <w:rFonts w:ascii="Calibri" w:hAnsi="Calibri" w:hint="cs"/>
          <w:rtl/>
        </w:rPr>
        <w:t xml:space="preserve">בית המשפט קבע מתחם הנע ממאסר מותנה ועד ל- 8 חודשי מאסר בפועל וגזר על 2 הנאשמים מאסר על תנאי וקנס.  </w:t>
      </w:r>
    </w:p>
    <w:p w14:paraId="6DEA8373"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17"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ק</w:t>
        </w:r>
        <w:r w:rsidRPr="00BF09B4">
          <w:rPr>
            <w:rFonts w:ascii="Calibri" w:hAnsi="Calibri"/>
            <w:color w:val="0000FF"/>
            <w:u w:val="single"/>
            <w:rtl/>
          </w:rPr>
          <w:t>"</w:t>
        </w:r>
        <w:r w:rsidRPr="00BF09B4">
          <w:rPr>
            <w:rFonts w:ascii="Calibri" w:hAnsi="Calibri" w:hint="eastAsia"/>
            <w:color w:val="0000FF"/>
            <w:u w:val="single"/>
            <w:rtl/>
          </w:rPr>
          <w:t>ג</w:t>
        </w:r>
        <w:r w:rsidRPr="00BF09B4">
          <w:rPr>
            <w:rFonts w:ascii="Calibri" w:hAnsi="Calibri"/>
            <w:color w:val="0000FF"/>
            <w:u w:val="single"/>
            <w:rtl/>
          </w:rPr>
          <w:t>) 5065-12-11</w:t>
        </w:r>
      </w:hyperlink>
      <w:r w:rsidR="00BA4119" w:rsidRPr="00BA4119">
        <w:rPr>
          <w:rFonts w:ascii="Calibri" w:hAnsi="Calibri" w:hint="cs"/>
          <w:rtl/>
        </w:rPr>
        <w:t xml:space="preserve"> </w:t>
      </w:r>
      <w:r w:rsidR="00BA4119" w:rsidRPr="00BA4119">
        <w:rPr>
          <w:rFonts w:ascii="Calibri" w:hAnsi="Calibri" w:hint="cs"/>
          <w:b/>
          <w:bCs/>
          <w:rtl/>
        </w:rPr>
        <w:t>מדינת ישראל נ' סנקאר</w:t>
      </w:r>
      <w:r w:rsidR="00BA4119" w:rsidRPr="00BA4119">
        <w:rPr>
          <w:rFonts w:ascii="Calibri" w:hAnsi="Calibri" w:hint="cs"/>
          <w:rtl/>
        </w:rPr>
        <w:t xml:space="preserve"> (פורסם בתקדין, 10.12.13). הנאשם הורשע במסגרת הסדר בעבירה של החזקת תחמושת – מחסנית </w:t>
      </w:r>
      <w:r w:rsidR="00BA4119" w:rsidRPr="00BA4119">
        <w:rPr>
          <w:rFonts w:ascii="Calibri" w:hAnsi="Calibri"/>
        </w:rPr>
        <w:t>M-16</w:t>
      </w:r>
      <w:r w:rsidR="00BA4119" w:rsidRPr="00BA4119">
        <w:rPr>
          <w:rFonts w:ascii="Calibri" w:hAnsi="Calibri" w:hint="cs"/>
          <w:rtl/>
        </w:rPr>
        <w:t xml:space="preserve"> ובה 29 כדורים. נגזרו על הנאשם מאסר מותנה והתחייבות. </w:t>
      </w:r>
    </w:p>
    <w:p w14:paraId="58C1B4EF"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18"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רמלה</w:t>
        </w:r>
        <w:r w:rsidRPr="00BF09B4">
          <w:rPr>
            <w:rFonts w:ascii="Calibri" w:hAnsi="Calibri"/>
            <w:color w:val="0000FF"/>
            <w:u w:val="single"/>
            <w:rtl/>
          </w:rPr>
          <w:t>) 5787-10-14</w:t>
        </w:r>
      </w:hyperlink>
      <w:r w:rsidR="00BA4119" w:rsidRPr="00BA4119">
        <w:rPr>
          <w:rFonts w:ascii="Calibri" w:hAnsi="Calibri" w:hint="cs"/>
          <w:rtl/>
        </w:rPr>
        <w:t xml:space="preserve"> </w:t>
      </w:r>
      <w:r w:rsidR="00BA4119" w:rsidRPr="00BA4119">
        <w:rPr>
          <w:rFonts w:ascii="Calibri" w:hAnsi="Calibri" w:hint="cs"/>
          <w:b/>
          <w:bCs/>
          <w:rtl/>
        </w:rPr>
        <w:t xml:space="preserve">מדינת ישראל נ' אשטיבקר </w:t>
      </w:r>
      <w:r w:rsidR="00BA4119" w:rsidRPr="00BA4119">
        <w:rPr>
          <w:rFonts w:ascii="Calibri" w:hAnsi="Calibri" w:hint="cs"/>
          <w:rtl/>
        </w:rPr>
        <w:t xml:space="preserve">(פורסם בתקדין, 13.4.15). לנאשם יוחסה עבירה של החזקת תחמושת: הנאשם החזיק בביתו שתי מחסניות </w:t>
      </w:r>
      <w:r w:rsidR="00BA4119" w:rsidRPr="00BA4119">
        <w:rPr>
          <w:rFonts w:ascii="Calibri" w:hAnsi="Calibri"/>
        </w:rPr>
        <w:t>M</w:t>
      </w:r>
      <w:r w:rsidR="00BA4119" w:rsidRPr="00BA4119">
        <w:rPr>
          <w:rFonts w:ascii="Calibri" w:hAnsi="Calibri" w:hint="cs"/>
          <w:rtl/>
        </w:rPr>
        <w:t xml:space="preserve">-16 שהכילו 39 כדורים, והחזיק בתא המטען שבמכוניתו 2 כדורי 5.56 מ"מ, זאת לצד עבירות על פקודת הסמים.  בית המשפט קבע כי מתחם העונש ההולם לעבירה של החזקת תחמושת נע  מצו של"צ ועד לשנת מאסר בפועל. הנאשם נדון על כל העבירות ל- 5 חודשי מאסר בעבודות שירות, מאסר על תנאי, פסילה על תנאי וקנס. </w:t>
      </w:r>
    </w:p>
    <w:p w14:paraId="1A470CDE"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19"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פ</w:t>
        </w:r>
        <w:r w:rsidRPr="00BF09B4">
          <w:rPr>
            <w:rFonts w:ascii="Calibri" w:hAnsi="Calibri"/>
            <w:color w:val="0000FF"/>
            <w:u w:val="single"/>
            <w:rtl/>
          </w:rPr>
          <w:t>"</w:t>
        </w:r>
        <w:r w:rsidRPr="00BF09B4">
          <w:rPr>
            <w:rFonts w:ascii="Calibri" w:hAnsi="Calibri" w:hint="eastAsia"/>
            <w:color w:val="0000FF"/>
            <w:u w:val="single"/>
            <w:rtl/>
          </w:rPr>
          <w:t>ת</w:t>
        </w:r>
        <w:r w:rsidRPr="00BF09B4">
          <w:rPr>
            <w:rFonts w:ascii="Calibri" w:hAnsi="Calibri"/>
            <w:color w:val="0000FF"/>
            <w:u w:val="single"/>
            <w:rtl/>
          </w:rPr>
          <w:t>) 6926-03-14</w:t>
        </w:r>
      </w:hyperlink>
      <w:r w:rsidR="00BA4119" w:rsidRPr="00BA4119">
        <w:rPr>
          <w:rFonts w:ascii="Calibri" w:hAnsi="Calibri" w:hint="cs"/>
          <w:rtl/>
        </w:rPr>
        <w:t xml:space="preserve"> </w:t>
      </w:r>
      <w:r w:rsidR="00BA4119" w:rsidRPr="00BA4119">
        <w:rPr>
          <w:rFonts w:ascii="Calibri" w:hAnsi="Calibri" w:hint="cs"/>
          <w:b/>
          <w:bCs/>
          <w:rtl/>
        </w:rPr>
        <w:t>מדינת ישראל נ' יצחקי</w:t>
      </w:r>
      <w:r w:rsidR="00BA4119" w:rsidRPr="00BA4119">
        <w:rPr>
          <w:rFonts w:ascii="Calibri" w:hAnsi="Calibri" w:hint="cs"/>
          <w:rtl/>
        </w:rPr>
        <w:t xml:space="preserve"> (פורסם בתקדין, 29.12.15), לנאשם יוחסו עבירות של גידול סמים, החזקת תחמושת ועבירות נוספות. בית משפט קבע מתחם נפרד לעבירת התחמושת והעמידו על מאסר על תנאי ועד למספר חודשי מאסר בפועל. </w:t>
      </w:r>
    </w:p>
    <w:p w14:paraId="32C56489"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20"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ק</w:t>
        </w:r>
        <w:r w:rsidRPr="00BF09B4">
          <w:rPr>
            <w:rFonts w:ascii="Calibri" w:hAnsi="Calibri"/>
            <w:color w:val="0000FF"/>
            <w:u w:val="single"/>
            <w:rtl/>
          </w:rPr>
          <w:t>"</w:t>
        </w:r>
        <w:r w:rsidRPr="00BF09B4">
          <w:rPr>
            <w:rFonts w:ascii="Calibri" w:hAnsi="Calibri" w:hint="eastAsia"/>
            <w:color w:val="0000FF"/>
            <w:u w:val="single"/>
            <w:rtl/>
          </w:rPr>
          <w:t>ש</w:t>
        </w:r>
        <w:r w:rsidRPr="00BF09B4">
          <w:rPr>
            <w:rFonts w:ascii="Calibri" w:hAnsi="Calibri"/>
            <w:color w:val="0000FF"/>
            <w:u w:val="single"/>
            <w:rtl/>
          </w:rPr>
          <w:t>) 28892-11-15</w:t>
        </w:r>
      </w:hyperlink>
      <w:r w:rsidR="00BA4119" w:rsidRPr="00BA4119">
        <w:rPr>
          <w:rFonts w:ascii="Calibri" w:hAnsi="Calibri" w:hint="cs"/>
          <w:rtl/>
        </w:rPr>
        <w:t xml:space="preserve"> </w:t>
      </w:r>
      <w:r w:rsidR="00BA4119" w:rsidRPr="00BA4119">
        <w:rPr>
          <w:rFonts w:ascii="Calibri" w:hAnsi="Calibri" w:hint="cs"/>
          <w:b/>
          <w:bCs/>
          <w:rtl/>
        </w:rPr>
        <w:t>תביעות צפת נ' חדד</w:t>
      </w:r>
      <w:r w:rsidR="00BA4119" w:rsidRPr="00BA4119">
        <w:rPr>
          <w:rFonts w:ascii="Calibri" w:hAnsi="Calibri" w:hint="cs"/>
          <w:rtl/>
        </w:rPr>
        <w:t xml:space="preserve"> (פורסם בתקדין, 20.11.16). הנאשם הורשע בעבירות של הכשלת שוטר והחזקת תחמושת (2 רימוני יד מס' 5  עשן, 2 פצצות תאורה ידנית מס' 127 </w:t>
      </w:r>
      <w:r w:rsidR="00BA4119" w:rsidRPr="00BA4119">
        <w:rPr>
          <w:rFonts w:ascii="Calibri" w:hAnsi="Calibri"/>
        </w:rPr>
        <w:t>M</w:t>
      </w:r>
      <w:r w:rsidR="00BA4119" w:rsidRPr="00BA4119">
        <w:rPr>
          <w:rFonts w:ascii="Calibri" w:hAnsi="Calibri" w:hint="cs"/>
          <w:rtl/>
        </w:rPr>
        <w:t xml:space="preserve"> ושקית שהכילה 150 כדורי 5.5 מ"מ). בית המשפט גזר על הנאשם מאסר על תנאי, של"צ והתחייבות. </w:t>
      </w:r>
    </w:p>
    <w:p w14:paraId="59AEA4F9" w14:textId="77777777" w:rsidR="00BA4119" w:rsidRPr="00BA4119" w:rsidRDefault="00BF09B4" w:rsidP="00BA4119">
      <w:pPr>
        <w:numPr>
          <w:ilvl w:val="0"/>
          <w:numId w:val="1"/>
        </w:numPr>
        <w:spacing w:after="200" w:line="360" w:lineRule="auto"/>
        <w:ind w:left="1080"/>
        <w:contextualSpacing/>
        <w:jc w:val="both"/>
        <w:rPr>
          <w:rFonts w:ascii="Calibri" w:hAnsi="Calibri"/>
        </w:rPr>
      </w:pPr>
      <w:hyperlink r:id="rId21" w:history="1">
        <w:r w:rsidRPr="00BF09B4">
          <w:rPr>
            <w:rFonts w:ascii="Calibri" w:hAnsi="Calibri" w:hint="eastAsia"/>
            <w:color w:val="0000FF"/>
            <w:u w:val="single"/>
            <w:rtl/>
          </w:rPr>
          <w:t>ת</w:t>
        </w:r>
        <w:r w:rsidRPr="00BF09B4">
          <w:rPr>
            <w:rFonts w:ascii="Calibri" w:hAnsi="Calibri"/>
            <w:color w:val="0000FF"/>
            <w:u w:val="single"/>
            <w:rtl/>
          </w:rPr>
          <w:t>"</w:t>
        </w:r>
        <w:r w:rsidRPr="00BF09B4">
          <w:rPr>
            <w:rFonts w:ascii="Calibri" w:hAnsi="Calibri" w:hint="eastAsia"/>
            <w:color w:val="0000FF"/>
            <w:u w:val="single"/>
            <w:rtl/>
          </w:rPr>
          <w:t>פ</w:t>
        </w:r>
        <w:r w:rsidRPr="00BF09B4">
          <w:rPr>
            <w:rFonts w:ascii="Calibri" w:hAnsi="Calibri"/>
            <w:color w:val="0000FF"/>
            <w:u w:val="single"/>
            <w:rtl/>
          </w:rPr>
          <w:t xml:space="preserve"> (</w:t>
        </w:r>
        <w:r w:rsidRPr="00BF09B4">
          <w:rPr>
            <w:rFonts w:ascii="Calibri" w:hAnsi="Calibri" w:hint="eastAsia"/>
            <w:color w:val="0000FF"/>
            <w:u w:val="single"/>
            <w:rtl/>
          </w:rPr>
          <w:t>כ</w:t>
        </w:r>
        <w:r w:rsidRPr="00BF09B4">
          <w:rPr>
            <w:rFonts w:ascii="Calibri" w:hAnsi="Calibri"/>
            <w:color w:val="0000FF"/>
            <w:u w:val="single"/>
            <w:rtl/>
          </w:rPr>
          <w:t>"</w:t>
        </w:r>
        <w:r w:rsidRPr="00BF09B4">
          <w:rPr>
            <w:rFonts w:ascii="Calibri" w:hAnsi="Calibri" w:hint="eastAsia"/>
            <w:color w:val="0000FF"/>
            <w:u w:val="single"/>
            <w:rtl/>
          </w:rPr>
          <w:t>ס</w:t>
        </w:r>
        <w:r w:rsidRPr="00BF09B4">
          <w:rPr>
            <w:rFonts w:ascii="Calibri" w:hAnsi="Calibri"/>
            <w:color w:val="0000FF"/>
            <w:u w:val="single"/>
            <w:rtl/>
          </w:rPr>
          <w:t>) 16868-06-11</w:t>
        </w:r>
      </w:hyperlink>
      <w:r w:rsidR="00BA4119" w:rsidRPr="00BA4119">
        <w:rPr>
          <w:rFonts w:ascii="Calibri" w:hAnsi="Calibri" w:hint="cs"/>
          <w:rtl/>
        </w:rPr>
        <w:t xml:space="preserve"> </w:t>
      </w:r>
      <w:r w:rsidR="00BA4119" w:rsidRPr="00BA4119">
        <w:rPr>
          <w:rFonts w:ascii="Calibri" w:hAnsi="Calibri" w:hint="cs"/>
          <w:b/>
          <w:bCs/>
          <w:rtl/>
        </w:rPr>
        <w:t>מדינת ישראל נ' מסארווה</w:t>
      </w:r>
      <w:r w:rsidR="00BA4119" w:rsidRPr="00BA4119">
        <w:rPr>
          <w:rFonts w:ascii="Calibri" w:hAnsi="Calibri" w:hint="cs"/>
          <w:rtl/>
        </w:rPr>
        <w:t xml:space="preserve"> (20.2.13). הנאשם הורשע בעבירה של החזקת תחמושת (109 כדורי 5.56 מ"מ) נדון ל-3 חודשי מאסר בעבודות שירות מאסר מותנה וקנס.</w:t>
      </w:r>
    </w:p>
    <w:p w14:paraId="1BFBD00E" w14:textId="77777777" w:rsidR="00BA4119" w:rsidRPr="00BA4119" w:rsidRDefault="00BF09B4" w:rsidP="00BA4119">
      <w:pPr>
        <w:numPr>
          <w:ilvl w:val="0"/>
          <w:numId w:val="2"/>
        </w:numPr>
        <w:spacing w:line="360" w:lineRule="auto"/>
        <w:jc w:val="both"/>
        <w:rPr>
          <w:rFonts w:ascii="Calibri" w:hAnsi="Calibri"/>
          <w:sz w:val="22"/>
        </w:rPr>
      </w:pPr>
      <w:hyperlink r:id="rId22" w:history="1">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פ</w:t>
        </w:r>
        <w:r w:rsidRPr="00BF09B4">
          <w:rPr>
            <w:rFonts w:ascii="Calibri" w:hAnsi="Calibri"/>
            <w:color w:val="0000FF"/>
            <w:sz w:val="22"/>
            <w:u w:val="single"/>
            <w:rtl/>
          </w:rPr>
          <w:t xml:space="preserve"> (</w:t>
        </w:r>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א</w:t>
        </w:r>
        <w:r w:rsidRPr="00BF09B4">
          <w:rPr>
            <w:rFonts w:ascii="Calibri" w:hAnsi="Calibri"/>
            <w:color w:val="0000FF"/>
            <w:sz w:val="22"/>
            <w:u w:val="single"/>
            <w:rtl/>
          </w:rPr>
          <w:t>) 61153-09-14</w:t>
        </w:r>
      </w:hyperlink>
      <w:r w:rsidR="00BA4119" w:rsidRPr="00BA4119">
        <w:rPr>
          <w:rFonts w:ascii="Calibri" w:hAnsi="Calibri" w:hint="cs"/>
          <w:sz w:val="22"/>
          <w:rtl/>
        </w:rPr>
        <w:t xml:space="preserve"> </w:t>
      </w:r>
      <w:r w:rsidR="00BA4119" w:rsidRPr="00BA4119">
        <w:rPr>
          <w:rFonts w:ascii="Calibri" w:hAnsi="Calibri" w:hint="cs"/>
          <w:b/>
          <w:bCs/>
          <w:sz w:val="22"/>
          <w:rtl/>
        </w:rPr>
        <w:t>מדינת ישראל נ' מליאנץ</w:t>
      </w:r>
      <w:r w:rsidR="00BA4119" w:rsidRPr="00BA4119">
        <w:rPr>
          <w:rFonts w:ascii="Calibri" w:hAnsi="Calibri" w:hint="cs"/>
          <w:sz w:val="22"/>
          <w:rtl/>
        </w:rPr>
        <w:t xml:space="preserve"> (פורסם בנבו, 3.3.16) החזקת 12 כדורי אקדח 9 מ"מ, 3 נפצים, 113 כדורים בתפזורת, 3 מחסניות של אקדח 16</w:t>
      </w:r>
      <w:r w:rsidR="00BA4119" w:rsidRPr="00BA4119">
        <w:rPr>
          <w:rFonts w:ascii="Calibri" w:hAnsi="Calibri"/>
          <w:sz w:val="22"/>
        </w:rPr>
        <w:t>M</w:t>
      </w:r>
      <w:r w:rsidR="00BA4119" w:rsidRPr="00BA4119">
        <w:rPr>
          <w:rFonts w:ascii="Calibri" w:hAnsi="Calibri" w:hint="cs"/>
          <w:sz w:val="22"/>
          <w:rtl/>
        </w:rPr>
        <w:t xml:space="preserve"> המכילות כדורים ו- 214 כדורי 16</w:t>
      </w:r>
      <w:r w:rsidR="00BA4119" w:rsidRPr="00BA4119">
        <w:rPr>
          <w:rFonts w:ascii="Calibri" w:hAnsi="Calibri"/>
          <w:sz w:val="22"/>
        </w:rPr>
        <w:t>M</w:t>
      </w:r>
      <w:r w:rsidR="00BA4119" w:rsidRPr="00BA4119">
        <w:rPr>
          <w:rFonts w:ascii="Calibri" w:hAnsi="Calibri" w:hint="cs"/>
          <w:sz w:val="22"/>
          <w:rtl/>
        </w:rPr>
        <w:t xml:space="preserve"> – של"צ, ללא הרשעה.</w:t>
      </w:r>
    </w:p>
    <w:p w14:paraId="26697CA2" w14:textId="77777777" w:rsidR="00BA4119" w:rsidRPr="00BA4119" w:rsidRDefault="00BF09B4" w:rsidP="00BA4119">
      <w:pPr>
        <w:numPr>
          <w:ilvl w:val="0"/>
          <w:numId w:val="2"/>
        </w:numPr>
        <w:spacing w:line="360" w:lineRule="auto"/>
        <w:jc w:val="both"/>
        <w:rPr>
          <w:rFonts w:ascii="Calibri" w:hAnsi="Calibri"/>
          <w:sz w:val="22"/>
        </w:rPr>
      </w:pPr>
      <w:hyperlink r:id="rId23" w:history="1">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פ</w:t>
        </w:r>
        <w:r w:rsidRPr="00BF09B4">
          <w:rPr>
            <w:rFonts w:ascii="Calibri" w:hAnsi="Calibri"/>
            <w:color w:val="0000FF"/>
            <w:sz w:val="22"/>
            <w:u w:val="single"/>
            <w:rtl/>
          </w:rPr>
          <w:t xml:space="preserve"> (</w:t>
        </w:r>
        <w:r w:rsidRPr="00BF09B4">
          <w:rPr>
            <w:rFonts w:ascii="Calibri" w:hAnsi="Calibri" w:hint="eastAsia"/>
            <w:color w:val="0000FF"/>
            <w:sz w:val="22"/>
            <w:u w:val="single"/>
            <w:rtl/>
          </w:rPr>
          <w:t>ת</w:t>
        </w:r>
        <w:r w:rsidRPr="00BF09B4">
          <w:rPr>
            <w:rFonts w:ascii="Calibri" w:hAnsi="Calibri"/>
            <w:color w:val="0000FF"/>
            <w:sz w:val="22"/>
            <w:u w:val="single"/>
            <w:rtl/>
          </w:rPr>
          <w:t>"</w:t>
        </w:r>
        <w:r w:rsidRPr="00BF09B4">
          <w:rPr>
            <w:rFonts w:ascii="Calibri" w:hAnsi="Calibri" w:hint="eastAsia"/>
            <w:color w:val="0000FF"/>
            <w:sz w:val="22"/>
            <w:u w:val="single"/>
            <w:rtl/>
          </w:rPr>
          <w:t>א</w:t>
        </w:r>
        <w:r w:rsidRPr="00BF09B4">
          <w:rPr>
            <w:rFonts w:ascii="Calibri" w:hAnsi="Calibri"/>
            <w:color w:val="0000FF"/>
            <w:sz w:val="22"/>
            <w:u w:val="single"/>
            <w:rtl/>
          </w:rPr>
          <w:t>) 29725-10-13</w:t>
        </w:r>
      </w:hyperlink>
      <w:r w:rsidR="00BA4119" w:rsidRPr="00BA4119">
        <w:rPr>
          <w:rFonts w:ascii="Calibri" w:hAnsi="Calibri" w:hint="cs"/>
          <w:sz w:val="22"/>
          <w:rtl/>
        </w:rPr>
        <w:t xml:space="preserve"> </w:t>
      </w:r>
      <w:r w:rsidR="00BA4119" w:rsidRPr="00BA4119">
        <w:rPr>
          <w:rFonts w:ascii="Calibri" w:hAnsi="Calibri" w:hint="cs"/>
          <w:b/>
          <w:bCs/>
          <w:sz w:val="22"/>
          <w:rtl/>
        </w:rPr>
        <w:t>מדינת ישראל נ' פומיאצוב</w:t>
      </w:r>
      <w:r w:rsidR="00BA4119" w:rsidRPr="00BA4119">
        <w:rPr>
          <w:rFonts w:ascii="Calibri" w:hAnsi="Calibri" w:hint="cs"/>
          <w:sz w:val="22"/>
          <w:rtl/>
        </w:rPr>
        <w:t xml:space="preserve"> (פורסם בנבו, 19.4.15), החזקת אקדח גז/זיקוקים/הזנקה מסוג נפוליאון ביחד עם מחסנית תואמת המכילה 6 כדורים – של"צ והתחייבות – ללא הרשעה.</w:t>
      </w:r>
    </w:p>
    <w:p w14:paraId="37DF1AA2" w14:textId="77777777" w:rsidR="00BA4119" w:rsidRPr="00BA4119" w:rsidRDefault="00BA4119" w:rsidP="00BA4119">
      <w:pPr>
        <w:ind w:left="720"/>
        <w:jc w:val="both"/>
        <w:rPr>
          <w:rFonts w:ascii="Calibri" w:hAnsi="Calibri"/>
          <w:sz w:val="22"/>
        </w:rPr>
      </w:pPr>
    </w:p>
    <w:p w14:paraId="050D9325" w14:textId="77777777" w:rsidR="00BA4119" w:rsidRPr="00D61FDF" w:rsidRDefault="00BA4119" w:rsidP="00BA4119">
      <w:pPr>
        <w:spacing w:after="200" w:line="276" w:lineRule="auto"/>
        <w:ind w:left="720" w:hanging="720"/>
        <w:jc w:val="both"/>
        <w:rPr>
          <w:rtl/>
        </w:rPr>
      </w:pPr>
      <w:r w:rsidRPr="00BA4119">
        <w:rPr>
          <w:rFonts w:ascii="Calibri" w:hAnsi="Calibri" w:hint="cs"/>
          <w:sz w:val="22"/>
          <w:rtl/>
        </w:rPr>
        <w:t>12</w:t>
      </w:r>
      <w:r w:rsidRPr="00BA4119">
        <w:rPr>
          <w:rFonts w:ascii="Calibri" w:hAnsi="Calibri" w:cs="Arial"/>
          <w:sz w:val="22"/>
          <w:rtl/>
        </w:rPr>
        <w:t>.</w:t>
      </w:r>
      <w:r w:rsidRPr="00BA4119">
        <w:rPr>
          <w:rFonts w:ascii="Calibri" w:hAnsi="Calibri" w:cs="Arial"/>
          <w:sz w:val="22"/>
          <w:rtl/>
        </w:rPr>
        <w:tab/>
      </w:r>
      <w:r>
        <w:rPr>
          <w:rFonts w:hint="cs"/>
          <w:rtl/>
        </w:rPr>
        <w:t xml:space="preserve">לאור כל המפורט לעיל אני קובעת כי </w:t>
      </w:r>
      <w:r>
        <w:rPr>
          <w:rFonts w:hint="cs"/>
          <w:b/>
          <w:bCs/>
          <w:rtl/>
        </w:rPr>
        <w:t xml:space="preserve">מתחם העונש ההולם לעבירות שביצע הנאשם </w:t>
      </w:r>
      <w:r>
        <w:rPr>
          <w:rFonts w:hint="cs"/>
          <w:rtl/>
        </w:rPr>
        <w:t>נע ממאסר מותנה ועד 6 חודשי מאסר.</w:t>
      </w:r>
    </w:p>
    <w:p w14:paraId="74D2A132" w14:textId="77777777" w:rsidR="00BA4119" w:rsidRDefault="00BA4119" w:rsidP="00BA4119">
      <w:pPr>
        <w:spacing w:after="200" w:line="276" w:lineRule="auto"/>
        <w:ind w:left="720" w:hanging="720"/>
        <w:jc w:val="both"/>
        <w:rPr>
          <w:rtl/>
        </w:rPr>
      </w:pPr>
      <w:r w:rsidRPr="00BA4119">
        <w:rPr>
          <w:rFonts w:ascii="Calibri" w:hAnsi="Calibri" w:hint="cs"/>
          <w:b/>
          <w:bCs/>
          <w:u w:val="single"/>
          <w:rtl/>
        </w:rPr>
        <w:t xml:space="preserve">שאלת ביטול הרשעה </w:t>
      </w:r>
    </w:p>
    <w:p w14:paraId="4F7EE231" w14:textId="77777777" w:rsidR="00BA4119" w:rsidRPr="00BA4119" w:rsidRDefault="00BA4119" w:rsidP="00BA4119">
      <w:pPr>
        <w:numPr>
          <w:ilvl w:val="0"/>
          <w:numId w:val="3"/>
        </w:numPr>
        <w:spacing w:before="100" w:beforeAutospacing="1" w:after="120" w:line="300" w:lineRule="exact"/>
        <w:contextualSpacing/>
        <w:jc w:val="both"/>
        <w:rPr>
          <w:color w:val="000000"/>
          <w:rtl/>
        </w:rPr>
      </w:pPr>
      <w:r w:rsidRPr="00BA4119">
        <w:rPr>
          <w:rFonts w:ascii="Calibri" w:hAnsi="Calibri" w:hint="cs"/>
          <w:color w:val="000000"/>
          <w:rtl/>
        </w:rPr>
        <w:t xml:space="preserve">הכלל הוא כי מי שהוכחה אשמתו, יש להרשיעו בדין. </w:t>
      </w:r>
    </w:p>
    <w:p w14:paraId="51B84259" w14:textId="77777777" w:rsidR="00BA4119" w:rsidRPr="00BA4119" w:rsidRDefault="00BA4119" w:rsidP="00BA4119">
      <w:pPr>
        <w:spacing w:before="100" w:beforeAutospacing="1" w:after="120" w:line="300" w:lineRule="exact"/>
        <w:ind w:left="720"/>
        <w:contextualSpacing/>
        <w:jc w:val="both"/>
        <w:rPr>
          <w:rFonts w:ascii="Calibri" w:hAnsi="Calibri"/>
          <w:color w:val="000000"/>
        </w:rPr>
      </w:pPr>
    </w:p>
    <w:p w14:paraId="24D6344A" w14:textId="77777777" w:rsidR="00BA4119" w:rsidRPr="00BA4119" w:rsidRDefault="00BA4119" w:rsidP="00BA4119">
      <w:pPr>
        <w:spacing w:before="100" w:beforeAutospacing="1" w:after="120" w:line="300" w:lineRule="exact"/>
        <w:ind w:left="720"/>
        <w:contextualSpacing/>
        <w:jc w:val="both"/>
        <w:rPr>
          <w:rFonts w:ascii="Calibri" w:hAnsi="Calibri"/>
          <w:color w:val="000000"/>
          <w:rtl/>
        </w:rPr>
      </w:pPr>
      <w:r w:rsidRPr="00BA4119">
        <w:rPr>
          <w:rFonts w:ascii="Calibri" w:hAnsi="Calibri" w:hint="cs"/>
          <w:color w:val="000000"/>
          <w:rtl/>
        </w:rPr>
        <w:t>עם זאת קיימים מקרים חריגים מיוחדים ויוצאי דופן בהם קיימת הצדקה להימנע מהרשעה (</w:t>
      </w:r>
      <w:hyperlink r:id="rId24" w:history="1">
        <w:r w:rsidR="00BF09B4" w:rsidRPr="00BF09B4">
          <w:rPr>
            <w:rFonts w:ascii="Calibri" w:hAnsi="Calibri" w:hint="eastAsia"/>
            <w:color w:val="0000FF"/>
            <w:u w:val="single"/>
            <w:rtl/>
          </w:rPr>
          <w:t>ע</w:t>
        </w:r>
        <w:r w:rsidR="00BF09B4" w:rsidRPr="00BF09B4">
          <w:rPr>
            <w:rFonts w:ascii="Calibri" w:hAnsi="Calibri"/>
            <w:color w:val="0000FF"/>
            <w:u w:val="single"/>
            <w:rtl/>
          </w:rPr>
          <w:t>"</w:t>
        </w:r>
        <w:r w:rsidR="00BF09B4" w:rsidRPr="00BF09B4">
          <w:rPr>
            <w:rFonts w:ascii="Calibri" w:hAnsi="Calibri" w:hint="eastAsia"/>
            <w:color w:val="0000FF"/>
            <w:u w:val="single"/>
            <w:rtl/>
          </w:rPr>
          <w:t>פ</w:t>
        </w:r>
        <w:r w:rsidR="00BF09B4" w:rsidRPr="00BF09B4">
          <w:rPr>
            <w:rFonts w:ascii="Calibri" w:hAnsi="Calibri"/>
            <w:color w:val="0000FF"/>
            <w:u w:val="single"/>
            <w:rtl/>
          </w:rPr>
          <w:t xml:space="preserve"> 9893/06</w:t>
        </w:r>
      </w:hyperlink>
      <w:r w:rsidRPr="00BA4119">
        <w:rPr>
          <w:rFonts w:ascii="Calibri" w:hAnsi="Calibri" w:hint="cs"/>
          <w:color w:val="000000"/>
          <w:rtl/>
        </w:rPr>
        <w:t xml:space="preserve"> </w:t>
      </w:r>
      <w:r w:rsidRPr="00BA4119">
        <w:rPr>
          <w:rFonts w:ascii="Calibri" w:hAnsi="Calibri" w:hint="cs"/>
          <w:b/>
          <w:bCs/>
          <w:color w:val="000000"/>
          <w:rtl/>
        </w:rPr>
        <w:t>לאופר נ' מדינת ישרא</w:t>
      </w:r>
      <w:r w:rsidRPr="00BA4119">
        <w:rPr>
          <w:rFonts w:ascii="Calibri" w:hAnsi="Calibri" w:hint="cs"/>
          <w:color w:val="000000"/>
          <w:rtl/>
        </w:rPr>
        <w:t>ל) וזאת כאשר עלול להיווצר פער בלתי נסבל בין עוצמת פגיעתה של ההרשעה הפלילית בנאשם האינדיבידואלי לבין תועלתה של ההרשעה לאינטרס הציבורי-חברתי הכללי.</w:t>
      </w:r>
    </w:p>
    <w:p w14:paraId="48A0BA32" w14:textId="77777777" w:rsidR="00BA4119" w:rsidRPr="00BA4119" w:rsidRDefault="00BA4119" w:rsidP="00BA4119">
      <w:pPr>
        <w:spacing w:after="120" w:line="300" w:lineRule="exact"/>
        <w:ind w:left="720"/>
        <w:jc w:val="both"/>
        <w:rPr>
          <w:rFonts w:ascii="Calibri" w:hAnsi="Calibri"/>
          <w:color w:val="000000"/>
          <w:sz w:val="22"/>
          <w:rtl/>
        </w:rPr>
      </w:pPr>
    </w:p>
    <w:p w14:paraId="5913FCA9"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ב</w:t>
      </w:r>
      <w:hyperlink r:id="rId25" w:history="1">
        <w:r w:rsidR="00BF09B4" w:rsidRPr="00BF09B4">
          <w:rPr>
            <w:rFonts w:ascii="Calibri" w:hAnsi="Calibri" w:hint="eastAsia"/>
            <w:color w:val="0000FF"/>
            <w:sz w:val="22"/>
            <w:u w:val="single"/>
            <w:rtl/>
          </w:rPr>
          <w:t>ע</w:t>
        </w:r>
        <w:r w:rsidR="00BF09B4" w:rsidRPr="00BF09B4">
          <w:rPr>
            <w:rFonts w:ascii="Calibri" w:hAnsi="Calibri"/>
            <w:color w:val="0000FF"/>
            <w:sz w:val="22"/>
            <w:u w:val="single"/>
            <w:rtl/>
          </w:rPr>
          <w:t>"</w:t>
        </w:r>
        <w:r w:rsidR="00BF09B4" w:rsidRPr="00BF09B4">
          <w:rPr>
            <w:rFonts w:ascii="Calibri" w:hAnsi="Calibri" w:hint="eastAsia"/>
            <w:color w:val="0000FF"/>
            <w:sz w:val="22"/>
            <w:u w:val="single"/>
            <w:rtl/>
          </w:rPr>
          <w:t>פ</w:t>
        </w:r>
        <w:r w:rsidR="00BF09B4" w:rsidRPr="00BF09B4">
          <w:rPr>
            <w:rFonts w:ascii="Calibri" w:hAnsi="Calibri"/>
            <w:color w:val="0000FF"/>
            <w:sz w:val="22"/>
            <w:u w:val="single"/>
            <w:rtl/>
          </w:rPr>
          <w:t xml:space="preserve"> 2083/96 </w:t>
        </w:r>
        <w:r w:rsidR="00BF09B4" w:rsidRPr="00BF09B4">
          <w:rPr>
            <w:rFonts w:ascii="Calibri" w:hAnsi="Calibri" w:hint="eastAsia"/>
            <w:color w:val="0000FF"/>
            <w:sz w:val="22"/>
            <w:u w:val="single"/>
            <w:rtl/>
          </w:rPr>
          <w:t>כתב</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נ</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מדינת</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ישראל</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פ</w:t>
        </w:r>
        <w:r w:rsidR="00BF09B4" w:rsidRPr="00BF09B4">
          <w:rPr>
            <w:rFonts w:ascii="Calibri" w:hAnsi="Calibri"/>
            <w:color w:val="0000FF"/>
            <w:sz w:val="22"/>
            <w:u w:val="single"/>
            <w:rtl/>
          </w:rPr>
          <w:t>"</w:t>
        </w:r>
        <w:r w:rsidR="00BF09B4" w:rsidRPr="00BF09B4">
          <w:rPr>
            <w:rFonts w:ascii="Calibri" w:hAnsi="Calibri" w:hint="eastAsia"/>
            <w:color w:val="0000FF"/>
            <w:sz w:val="22"/>
            <w:u w:val="single"/>
            <w:rtl/>
          </w:rPr>
          <w:t>ד</w:t>
        </w:r>
        <w:r w:rsidR="00BF09B4" w:rsidRPr="00BF09B4">
          <w:rPr>
            <w:rFonts w:ascii="Calibri" w:hAnsi="Calibri"/>
            <w:color w:val="0000FF"/>
            <w:sz w:val="22"/>
            <w:u w:val="single"/>
            <w:rtl/>
          </w:rPr>
          <w:t xml:space="preserve"> </w:t>
        </w:r>
        <w:r w:rsidR="00BF09B4" w:rsidRPr="00BF09B4">
          <w:rPr>
            <w:rFonts w:ascii="Calibri" w:hAnsi="Calibri" w:hint="eastAsia"/>
            <w:color w:val="0000FF"/>
            <w:sz w:val="22"/>
            <w:u w:val="single"/>
            <w:rtl/>
          </w:rPr>
          <w:t>נב</w:t>
        </w:r>
      </w:hyperlink>
      <w:r w:rsidRPr="00BA4119">
        <w:rPr>
          <w:rFonts w:ascii="Calibri" w:hAnsi="Calibri" w:hint="cs"/>
          <w:color w:val="000000"/>
          <w:sz w:val="22"/>
          <w:rtl/>
        </w:rPr>
        <w:t>(3) 337 נקבע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ההרשעה תפגע  פגיעה חמורה בשיקום הנאשם.</w:t>
      </w:r>
    </w:p>
    <w:p w14:paraId="6ED0B9D5" w14:textId="77777777" w:rsidR="00BA4119" w:rsidRPr="00BA4119" w:rsidRDefault="00BA4119" w:rsidP="00BA4119">
      <w:pPr>
        <w:spacing w:after="120" w:line="300" w:lineRule="exact"/>
        <w:ind w:left="720"/>
        <w:jc w:val="both"/>
        <w:rPr>
          <w:rFonts w:ascii="Calibri" w:hAnsi="Calibri" w:cs="Arial"/>
          <w:sz w:val="22"/>
          <w:rtl/>
        </w:rPr>
      </w:pPr>
    </w:p>
    <w:p w14:paraId="5876036F" w14:textId="77777777" w:rsidR="00BA4119" w:rsidRPr="00BA4119" w:rsidRDefault="00BA4119" w:rsidP="00BA4119">
      <w:pPr>
        <w:numPr>
          <w:ilvl w:val="0"/>
          <w:numId w:val="3"/>
        </w:numPr>
        <w:spacing w:after="120" w:line="300" w:lineRule="exact"/>
        <w:contextualSpacing/>
        <w:jc w:val="both"/>
        <w:rPr>
          <w:rFonts w:ascii="Calibri" w:hAnsi="Calibri"/>
          <w:b/>
          <w:bCs/>
          <w:rtl/>
        </w:rPr>
      </w:pPr>
      <w:r w:rsidRPr="00BA4119">
        <w:rPr>
          <w:rFonts w:ascii="Calibri" w:hAnsi="Calibri" w:hint="cs"/>
          <w:b/>
          <w:bCs/>
          <w:color w:val="000000"/>
          <w:rtl/>
        </w:rPr>
        <w:t>יישום המבחנים האמורים במקרה דנן, מעלה כי לא ניתן להימנע מהרשעת הנאשם בדין.</w:t>
      </w:r>
    </w:p>
    <w:p w14:paraId="426E9842" w14:textId="77777777" w:rsidR="00BA4119" w:rsidRPr="00BA4119" w:rsidRDefault="00BA4119" w:rsidP="00BA4119">
      <w:pPr>
        <w:spacing w:after="120" w:line="300" w:lineRule="exact"/>
        <w:ind w:left="720"/>
        <w:jc w:val="both"/>
        <w:rPr>
          <w:rFonts w:ascii="Calibri" w:hAnsi="Calibri"/>
          <w:color w:val="000000"/>
          <w:sz w:val="22"/>
          <w:rtl/>
        </w:rPr>
      </w:pPr>
    </w:p>
    <w:p w14:paraId="27D3FB23"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 xml:space="preserve">הגם שעסקינן בפגיעה בערכים המוגנים ברף הנמוך עדיין לא מתקיים התנאי כי הרשעה תביא לפגיעה חמורה בשיקומו של הנאשם. </w:t>
      </w:r>
    </w:p>
    <w:p w14:paraId="0A563B6B"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 xml:space="preserve">אין מדובר בנאשם צעיר בגילו, אלא בנאשם בן 55. </w:t>
      </w:r>
    </w:p>
    <w:p w14:paraId="29323936"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הגם שהנאשם נעדר הרשעות קודמות והגם שלא נפתחו תיקים נוספים, הרי שהנאשם לא הצביע על קיומו של נזק קונקרטי כתוצאה מהרשעה.</w:t>
      </w:r>
    </w:p>
    <w:p w14:paraId="06C98F15"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הנאשם אינו עובד כרגע. טענת באת כוחו כי עבד בעבר באבטחה והרשעה עלולה לפגוע ביכולתו לעסוק בשירותי אבטחה בעתיד נטענה ללא כל ביסוס ראייתי.</w:t>
      </w:r>
    </w:p>
    <w:p w14:paraId="7D82D086" w14:textId="77777777" w:rsidR="00BA4119" w:rsidRPr="00BA4119" w:rsidRDefault="00BA4119" w:rsidP="00BA4119">
      <w:pPr>
        <w:spacing w:after="120" w:line="300" w:lineRule="exact"/>
        <w:ind w:left="720"/>
        <w:jc w:val="both"/>
        <w:rPr>
          <w:rFonts w:ascii="Calibri" w:hAnsi="Calibri"/>
          <w:color w:val="000000"/>
          <w:sz w:val="22"/>
          <w:rtl/>
        </w:rPr>
      </w:pPr>
      <w:r w:rsidRPr="00BA4119">
        <w:rPr>
          <w:rFonts w:ascii="Calibri" w:hAnsi="Calibri" w:hint="cs"/>
          <w:color w:val="000000"/>
          <w:sz w:val="22"/>
          <w:rtl/>
        </w:rPr>
        <w:t>מדברי אשת הנאשם עולה כי הנאשם מתכנן לעסוק כעצמאי בתחום השיפוצים והאינסטלציה, ולא הוכח כי הרשעה עלולה לחבל באפשרותו לעסוק בעיסוק זה.</w:t>
      </w:r>
    </w:p>
    <w:p w14:paraId="1E8691DA" w14:textId="77777777" w:rsidR="00BA4119" w:rsidRPr="00BA4119" w:rsidRDefault="00BA4119" w:rsidP="00BA4119">
      <w:pPr>
        <w:spacing w:before="100" w:beforeAutospacing="1" w:after="100" w:afterAutospacing="1" w:line="300" w:lineRule="exact"/>
        <w:ind w:left="720"/>
        <w:jc w:val="both"/>
        <w:rPr>
          <w:rFonts w:ascii="Calibri" w:hAnsi="Calibri"/>
          <w:color w:val="000000"/>
          <w:sz w:val="22"/>
          <w:rtl/>
        </w:rPr>
      </w:pPr>
      <w:r w:rsidRPr="00BA4119">
        <w:rPr>
          <w:rFonts w:ascii="Calibri" w:hAnsi="Calibri" w:hint="cs"/>
          <w:color w:val="000000"/>
          <w:sz w:val="22"/>
          <w:rtl/>
        </w:rPr>
        <w:t>לאור האמור, בהעדר נזק קונקרטי כתוצאה מהרשעה, לא מצאתי כי ניתן להורות על ביטול הרשעת הנאשם.</w:t>
      </w:r>
    </w:p>
    <w:p w14:paraId="2B9624B3" w14:textId="77777777" w:rsidR="00BA4119" w:rsidRPr="00BA4119" w:rsidRDefault="00BA4119" w:rsidP="00BA4119">
      <w:pPr>
        <w:spacing w:before="100" w:beforeAutospacing="1" w:after="100" w:afterAutospacing="1" w:line="300" w:lineRule="exact"/>
        <w:ind w:left="720"/>
        <w:jc w:val="both"/>
        <w:rPr>
          <w:rFonts w:ascii="Calibri" w:hAnsi="Calibri"/>
          <w:color w:val="000000"/>
          <w:sz w:val="22"/>
          <w:rtl/>
        </w:rPr>
      </w:pPr>
    </w:p>
    <w:p w14:paraId="3A0AABF6" w14:textId="77777777" w:rsidR="00BA4119" w:rsidRPr="00BA4119" w:rsidRDefault="00BA4119" w:rsidP="00BA4119">
      <w:pPr>
        <w:spacing w:after="200"/>
        <w:jc w:val="both"/>
        <w:rPr>
          <w:rFonts w:ascii="Calibri" w:hAnsi="Calibri"/>
          <w:b/>
          <w:bCs/>
          <w:u w:val="single"/>
          <w:rtl/>
        </w:rPr>
      </w:pPr>
      <w:r w:rsidRPr="00BA4119">
        <w:rPr>
          <w:rFonts w:ascii="Calibri" w:hAnsi="Calibri" w:hint="cs"/>
          <w:b/>
          <w:bCs/>
          <w:u w:val="single"/>
          <w:rtl/>
        </w:rPr>
        <w:t>עונשו של הנאשם</w:t>
      </w:r>
    </w:p>
    <w:p w14:paraId="4673DA67" w14:textId="77777777" w:rsidR="00BA4119" w:rsidRPr="00BA4119" w:rsidRDefault="00BA4119" w:rsidP="00BA4119">
      <w:pPr>
        <w:spacing w:after="120"/>
        <w:jc w:val="both"/>
        <w:rPr>
          <w:rFonts w:ascii="Calibri" w:hAnsi="Calibri"/>
          <w:rtl/>
        </w:rPr>
      </w:pPr>
      <w:r w:rsidRPr="00BA4119">
        <w:rPr>
          <w:rFonts w:ascii="Calibri" w:hAnsi="Calibri" w:hint="cs"/>
          <w:rtl/>
        </w:rPr>
        <w:t>15.</w:t>
      </w:r>
      <w:r w:rsidRPr="00BA4119">
        <w:rPr>
          <w:rFonts w:ascii="Calibri" w:hAnsi="Calibri" w:hint="cs"/>
          <w:rtl/>
        </w:rPr>
        <w:tab/>
        <w:t>לא מצאתי הצדקה לחרוג לקולה או לחומרה ממתחם העונש ההולם.</w:t>
      </w:r>
    </w:p>
    <w:p w14:paraId="658E79AE" w14:textId="77777777" w:rsidR="00BA4119" w:rsidRPr="00BA4119" w:rsidRDefault="00BA4119" w:rsidP="00BA4119">
      <w:pPr>
        <w:spacing w:after="200"/>
        <w:ind w:left="720" w:hanging="720"/>
        <w:jc w:val="both"/>
        <w:rPr>
          <w:rFonts w:ascii="Calibri" w:hAnsi="Calibri"/>
        </w:rPr>
      </w:pPr>
      <w:r w:rsidRPr="00BA4119">
        <w:rPr>
          <w:rFonts w:ascii="Calibri" w:hAnsi="Calibri" w:hint="cs"/>
          <w:rtl/>
        </w:rPr>
        <w:t>16.</w:t>
      </w:r>
      <w:r w:rsidRPr="00BA4119">
        <w:rPr>
          <w:rFonts w:ascii="Calibri" w:hAnsi="Calibri" w:hint="cs"/>
          <w:rtl/>
        </w:rPr>
        <w:tab/>
        <w:t>בבואי לגזור את עונשו של הנאשם בתוך מתחם העונש ההולם לקחתי בחשבון את השיקולים הבאים:</w:t>
      </w:r>
    </w:p>
    <w:p w14:paraId="25DF075E" w14:textId="77777777" w:rsidR="00BA4119" w:rsidRDefault="00BA4119" w:rsidP="00BA4119">
      <w:pPr>
        <w:numPr>
          <w:ilvl w:val="0"/>
          <w:numId w:val="4"/>
        </w:numPr>
        <w:snapToGrid w:val="0"/>
        <w:spacing w:before="120" w:after="200" w:line="300" w:lineRule="exact"/>
        <w:contextualSpacing/>
        <w:jc w:val="both"/>
        <w:rPr>
          <w:rtl/>
          <w:lang w:eastAsia="he-IL"/>
        </w:rPr>
      </w:pPr>
      <w:r>
        <w:rPr>
          <w:rFonts w:hint="cs"/>
          <w:rtl/>
          <w:lang w:eastAsia="he-IL"/>
        </w:rPr>
        <w:t>זקפתי לזכותו של הנאשם את העובדה שבחר להודות ולקחת אחריות על מעשיו.</w:t>
      </w:r>
    </w:p>
    <w:p w14:paraId="782A5DFD" w14:textId="77777777" w:rsidR="00BA4119" w:rsidRDefault="00BA4119" w:rsidP="00BA4119">
      <w:pPr>
        <w:numPr>
          <w:ilvl w:val="0"/>
          <w:numId w:val="4"/>
        </w:numPr>
        <w:snapToGrid w:val="0"/>
        <w:spacing w:before="120" w:after="200" w:line="300" w:lineRule="exact"/>
        <w:contextualSpacing/>
        <w:jc w:val="both"/>
        <w:rPr>
          <w:rtl/>
          <w:lang w:eastAsia="he-IL"/>
        </w:rPr>
      </w:pPr>
      <w:r>
        <w:rPr>
          <w:rFonts w:hint="cs"/>
          <w:rtl/>
          <w:lang w:eastAsia="he-IL"/>
        </w:rPr>
        <w:t xml:space="preserve">זקפתי לזכותו את היותו נעדר עבר פלילי. </w:t>
      </w:r>
    </w:p>
    <w:p w14:paraId="0C649FA2" w14:textId="77777777" w:rsidR="00BA4119" w:rsidRDefault="00BA4119" w:rsidP="00BA4119">
      <w:pPr>
        <w:numPr>
          <w:ilvl w:val="0"/>
          <w:numId w:val="4"/>
        </w:numPr>
        <w:snapToGrid w:val="0"/>
        <w:spacing w:before="120" w:after="200" w:line="300" w:lineRule="exact"/>
        <w:contextualSpacing/>
        <w:jc w:val="both"/>
        <w:rPr>
          <w:lang w:eastAsia="he-IL"/>
        </w:rPr>
      </w:pPr>
      <w:r>
        <w:rPr>
          <w:rFonts w:hint="cs"/>
          <w:rtl/>
          <w:lang w:eastAsia="he-IL"/>
        </w:rPr>
        <w:t>לקחתי בחשבון את השפעת עצם ההליך, ההרשעה והעונש על הנאשם.</w:t>
      </w:r>
    </w:p>
    <w:p w14:paraId="0B4CD2E9" w14:textId="77777777" w:rsidR="00BA4119" w:rsidRDefault="00BA4119" w:rsidP="00BA4119">
      <w:pPr>
        <w:numPr>
          <w:ilvl w:val="0"/>
          <w:numId w:val="5"/>
        </w:numPr>
        <w:tabs>
          <w:tab w:val="num" w:pos="0"/>
        </w:tabs>
        <w:spacing w:line="300" w:lineRule="exact"/>
        <w:contextualSpacing/>
        <w:jc w:val="both"/>
        <w:rPr>
          <w:color w:val="000000"/>
        </w:rPr>
      </w:pPr>
      <w:r>
        <w:rPr>
          <w:rFonts w:hint="cs"/>
          <w:color w:val="000000"/>
          <w:rtl/>
        </w:rPr>
        <w:t>לקחתי בחשבון כי חלפו למעלה מ-3 שנים ממועד ביצוע בעבירה וכי לא נפתחו לנאשם תיקים נוספים.</w:t>
      </w:r>
    </w:p>
    <w:p w14:paraId="1D43EBF2" w14:textId="77777777" w:rsidR="00BA4119" w:rsidRDefault="00BA4119" w:rsidP="00BA4119">
      <w:pPr>
        <w:numPr>
          <w:ilvl w:val="0"/>
          <w:numId w:val="5"/>
        </w:numPr>
        <w:snapToGrid w:val="0"/>
        <w:spacing w:line="300" w:lineRule="exact"/>
        <w:contextualSpacing/>
        <w:jc w:val="both"/>
        <w:rPr>
          <w:lang w:eastAsia="he-IL"/>
        </w:rPr>
      </w:pPr>
      <w:r>
        <w:rPr>
          <w:rFonts w:hint="cs"/>
          <w:rtl/>
          <w:lang w:eastAsia="he-IL"/>
        </w:rPr>
        <w:t xml:space="preserve">לקחתי בחשבון את האמור בתסקירי שירות המבחן ביחס לנסיבות ביצוע העבירה וביחס לתפיסתו והבנתו את חומרת מעשיו, את מאפייני אישיותו, את היותו אדם נורמטיבי. </w:t>
      </w:r>
    </w:p>
    <w:p w14:paraId="51BF5856" w14:textId="77777777" w:rsidR="00BA4119" w:rsidRDefault="00BA4119" w:rsidP="00BA4119">
      <w:pPr>
        <w:numPr>
          <w:ilvl w:val="0"/>
          <w:numId w:val="5"/>
        </w:numPr>
        <w:snapToGrid w:val="0"/>
        <w:spacing w:line="300" w:lineRule="exact"/>
        <w:contextualSpacing/>
        <w:jc w:val="both"/>
        <w:rPr>
          <w:lang w:eastAsia="he-IL"/>
        </w:rPr>
      </w:pPr>
      <w:r>
        <w:rPr>
          <w:rFonts w:hint="cs"/>
          <w:rtl/>
          <w:lang w:eastAsia="he-IL"/>
        </w:rPr>
        <w:t xml:space="preserve">לקחתי בחשבון את  המלצתו העונשית של שירות המבחן. </w:t>
      </w:r>
    </w:p>
    <w:p w14:paraId="34ACC8A3" w14:textId="77777777" w:rsidR="00BA4119" w:rsidRPr="00BA4119" w:rsidRDefault="00BA4119" w:rsidP="00BA4119">
      <w:pPr>
        <w:numPr>
          <w:ilvl w:val="0"/>
          <w:numId w:val="5"/>
        </w:numPr>
        <w:tabs>
          <w:tab w:val="num" w:pos="0"/>
        </w:tabs>
        <w:spacing w:before="100" w:beforeAutospacing="1" w:after="100" w:afterAutospacing="1" w:line="300" w:lineRule="exact"/>
        <w:contextualSpacing/>
        <w:jc w:val="both"/>
        <w:rPr>
          <w:rFonts w:ascii="Calibri" w:hAnsi="Calibri"/>
        </w:rPr>
      </w:pPr>
      <w:r>
        <w:rPr>
          <w:rFonts w:hint="cs"/>
          <w:color w:val="000000"/>
          <w:rtl/>
        </w:rPr>
        <w:t>לקחתי בחשבון את נסיבותיו האישיות של הנאשם כפי שעולות מתסקיר שירות המבחן, ומטיעוני הצדדים, את הטרגדיה הקשה של מות בנו עימה הוא מתמודד.</w:t>
      </w:r>
    </w:p>
    <w:p w14:paraId="6399F68B" w14:textId="77777777" w:rsidR="00BA4119" w:rsidRDefault="00BA4119" w:rsidP="00BA4119">
      <w:pPr>
        <w:numPr>
          <w:ilvl w:val="0"/>
          <w:numId w:val="5"/>
        </w:numPr>
        <w:snapToGrid w:val="0"/>
        <w:spacing w:before="120" w:line="300" w:lineRule="exact"/>
        <w:contextualSpacing/>
        <w:jc w:val="both"/>
        <w:rPr>
          <w:lang w:eastAsia="he-IL"/>
        </w:rPr>
      </w:pPr>
      <w:r>
        <w:rPr>
          <w:rFonts w:hint="cs"/>
          <w:rtl/>
          <w:lang w:eastAsia="he-IL"/>
        </w:rPr>
        <w:t>לקחתי בחשבון את שיקולי הרתעת היחיד בגדרו של המתחם.</w:t>
      </w:r>
    </w:p>
    <w:p w14:paraId="249430D4" w14:textId="77777777" w:rsidR="00BA4119" w:rsidRDefault="00BA4119" w:rsidP="00BA4119">
      <w:pPr>
        <w:snapToGrid w:val="0"/>
        <w:spacing w:before="120"/>
        <w:ind w:left="720"/>
        <w:contextualSpacing/>
        <w:jc w:val="both"/>
        <w:rPr>
          <w:rtl/>
          <w:lang w:eastAsia="he-IL"/>
        </w:rPr>
      </w:pPr>
    </w:p>
    <w:p w14:paraId="6421F1EE" w14:textId="77777777" w:rsidR="00BA4119" w:rsidRDefault="00BA4119" w:rsidP="00BA4119">
      <w:pPr>
        <w:snapToGrid w:val="0"/>
        <w:spacing w:before="120"/>
        <w:ind w:left="360" w:hanging="360"/>
        <w:jc w:val="both"/>
        <w:rPr>
          <w:lang w:eastAsia="he-IL"/>
        </w:rPr>
      </w:pPr>
      <w:r>
        <w:rPr>
          <w:rFonts w:hint="cs"/>
          <w:rtl/>
          <w:lang w:eastAsia="he-IL"/>
        </w:rPr>
        <w:t>15.</w:t>
      </w:r>
      <w:r>
        <w:rPr>
          <w:rFonts w:hint="cs"/>
          <w:rtl/>
          <w:lang w:eastAsia="he-IL"/>
        </w:rPr>
        <w:tab/>
        <w:t xml:space="preserve">לאחר שלקחתי בחשבון כל אלה, מצאתי לנכון לאמץ את המלצת שירות המבחן, לגזור את עונשו של הנאשם ברף התחתון של המתחם </w:t>
      </w:r>
    </w:p>
    <w:p w14:paraId="054B2B27" w14:textId="77777777" w:rsidR="00BA4119" w:rsidRDefault="00BA4119" w:rsidP="00BA4119">
      <w:pPr>
        <w:snapToGrid w:val="0"/>
        <w:spacing w:before="120"/>
        <w:jc w:val="both"/>
        <w:rPr>
          <w:rtl/>
          <w:lang w:eastAsia="he-IL"/>
        </w:rPr>
      </w:pPr>
      <w:r>
        <w:rPr>
          <w:rFonts w:hint="cs"/>
          <w:rtl/>
          <w:lang w:eastAsia="he-IL"/>
        </w:rPr>
        <w:t>16.</w:t>
      </w:r>
      <w:r>
        <w:rPr>
          <w:rFonts w:hint="cs"/>
          <w:rtl/>
          <w:lang w:eastAsia="he-IL"/>
        </w:rPr>
        <w:tab/>
        <w:t xml:space="preserve">לפיכך, אני דנה את הנאשם לעונשים הבאים: </w:t>
      </w:r>
    </w:p>
    <w:p w14:paraId="2FC33C07" w14:textId="77777777" w:rsidR="00BA4119" w:rsidRDefault="00BA4119" w:rsidP="00BA4119">
      <w:pPr>
        <w:snapToGrid w:val="0"/>
        <w:spacing w:before="120"/>
        <w:jc w:val="both"/>
        <w:rPr>
          <w:rtl/>
          <w:lang w:eastAsia="he-IL"/>
        </w:rPr>
      </w:pPr>
    </w:p>
    <w:p w14:paraId="6FE2AF9B" w14:textId="77777777" w:rsidR="00BA4119" w:rsidRDefault="00BA4119" w:rsidP="00BA4119">
      <w:pPr>
        <w:snapToGrid w:val="0"/>
        <w:spacing w:before="120"/>
        <w:ind w:firstLine="720"/>
        <w:jc w:val="both"/>
        <w:rPr>
          <w:rtl/>
          <w:lang w:eastAsia="he-IL"/>
        </w:rPr>
      </w:pPr>
      <w:r>
        <w:rPr>
          <w:rFonts w:hint="cs"/>
          <w:rtl/>
          <w:lang w:eastAsia="he-IL"/>
        </w:rPr>
        <w:t>א.</w:t>
      </w:r>
      <w:r>
        <w:rPr>
          <w:rFonts w:hint="cs"/>
          <w:rtl/>
          <w:lang w:eastAsia="he-IL"/>
        </w:rPr>
        <w:tab/>
        <w:t xml:space="preserve">מאסר על תנאי בן 4 חודשים למשך 3 שנים שלא יעבור עבירות בניגוד </w:t>
      </w:r>
      <w:hyperlink r:id="rId26" w:history="1">
        <w:r w:rsidR="00F931CA" w:rsidRPr="00F931CA">
          <w:rPr>
            <w:color w:val="0000FF"/>
            <w:u w:val="single"/>
            <w:rtl/>
            <w:lang w:eastAsia="he-IL"/>
          </w:rPr>
          <w:t>לסעיף 144.</w:t>
        </w:r>
      </w:hyperlink>
    </w:p>
    <w:p w14:paraId="6677D00E" w14:textId="77777777" w:rsidR="00BA4119" w:rsidRDefault="00BA4119" w:rsidP="00BA4119">
      <w:pPr>
        <w:snapToGrid w:val="0"/>
        <w:spacing w:before="120"/>
        <w:ind w:firstLine="720"/>
        <w:jc w:val="both"/>
        <w:rPr>
          <w:rtl/>
          <w:lang w:eastAsia="he-IL"/>
        </w:rPr>
      </w:pPr>
    </w:p>
    <w:p w14:paraId="1D75A7F1" w14:textId="77777777" w:rsidR="00BA4119" w:rsidRDefault="00BA4119" w:rsidP="00BA4119">
      <w:pPr>
        <w:ind w:left="1440" w:hanging="720"/>
        <w:jc w:val="both"/>
        <w:rPr>
          <w:rFonts w:ascii="David" w:eastAsia="David" w:hAnsi="David"/>
          <w:sz w:val="22"/>
          <w:rtl/>
        </w:rPr>
      </w:pPr>
      <w:r>
        <w:rPr>
          <w:rFonts w:hint="cs"/>
          <w:rtl/>
          <w:lang w:eastAsia="he-IL"/>
        </w:rPr>
        <w:t>ב.</w:t>
      </w:r>
      <w:r>
        <w:rPr>
          <w:rFonts w:hint="cs"/>
          <w:rtl/>
        </w:rPr>
        <w:tab/>
      </w:r>
      <w:r>
        <w:rPr>
          <w:rFonts w:hint="cs"/>
          <w:sz w:val="22"/>
          <w:rtl/>
        </w:rPr>
        <w:t xml:space="preserve">הנאשם יחתום על התחייבות כספית בסך 3,000 ₪ להימנע מביצוע עבירה בה הורשע והכל תוך שנתיים מהיום. </w:t>
      </w:r>
    </w:p>
    <w:p w14:paraId="45B88FE2" w14:textId="77777777" w:rsidR="00BA4119" w:rsidRDefault="00BA4119" w:rsidP="00BA4119">
      <w:pPr>
        <w:ind w:left="1440"/>
        <w:jc w:val="both"/>
        <w:rPr>
          <w:sz w:val="22"/>
          <w:rtl/>
        </w:rPr>
      </w:pPr>
      <w:r>
        <w:rPr>
          <w:rFonts w:hint="cs"/>
          <w:sz w:val="22"/>
          <w:rtl/>
        </w:rPr>
        <w:t>ההתחייבות תחתם במזכירות בית משפט עוד היום. לא יחתום הנאשם כאמור, יאסר למשך 15 יום.</w:t>
      </w:r>
    </w:p>
    <w:p w14:paraId="5474A7F1" w14:textId="77777777" w:rsidR="00BA4119" w:rsidRDefault="00BA4119" w:rsidP="00BA4119">
      <w:pPr>
        <w:snapToGrid w:val="0"/>
        <w:spacing w:before="120"/>
        <w:jc w:val="both"/>
        <w:rPr>
          <w:lang w:eastAsia="he-IL"/>
        </w:rPr>
      </w:pPr>
    </w:p>
    <w:p w14:paraId="1A5BB666" w14:textId="77777777" w:rsidR="00BA4119" w:rsidRDefault="00BA4119" w:rsidP="00BA4119">
      <w:pPr>
        <w:snapToGrid w:val="0"/>
        <w:spacing w:before="120"/>
        <w:jc w:val="both"/>
        <w:rPr>
          <w:rFonts w:ascii="David" w:hAnsi="David"/>
          <w:b/>
          <w:bCs/>
          <w:color w:val="000000"/>
          <w:rtl/>
          <w:lang w:eastAsia="he-IL"/>
        </w:rPr>
      </w:pPr>
      <w:r>
        <w:rPr>
          <w:rFonts w:hint="cs"/>
          <w:b/>
          <w:bCs/>
          <w:rtl/>
          <w:lang w:eastAsia="he-IL"/>
        </w:rPr>
        <w:t>לאח</w:t>
      </w:r>
      <w:r>
        <w:rPr>
          <w:rFonts w:hint="cs"/>
          <w:b/>
          <w:bCs/>
          <w:color w:val="000000"/>
          <w:rtl/>
          <w:lang w:eastAsia="he-IL"/>
        </w:rPr>
        <w:t>ר היות גזר הדין חלוט, אביזרי הנשק והתחמושת יושמדו או יחולטו, לפי שיקול דעת רשם המוצגים.</w:t>
      </w:r>
    </w:p>
    <w:p w14:paraId="4B712578" w14:textId="77777777" w:rsidR="00BA4119" w:rsidRDefault="00BA4119" w:rsidP="00BA4119">
      <w:pPr>
        <w:snapToGrid w:val="0"/>
        <w:spacing w:before="120"/>
        <w:jc w:val="both"/>
        <w:rPr>
          <w:b/>
          <w:bCs/>
          <w:color w:val="000000"/>
          <w:rtl/>
          <w:lang w:eastAsia="he-IL"/>
        </w:rPr>
      </w:pPr>
    </w:p>
    <w:p w14:paraId="4EB75232" w14:textId="77777777" w:rsidR="00BA4119" w:rsidRPr="00BA4119" w:rsidRDefault="00BA4119" w:rsidP="00BA4119">
      <w:pPr>
        <w:spacing w:after="200" w:line="276" w:lineRule="auto"/>
        <w:jc w:val="both"/>
        <w:rPr>
          <w:rFonts w:ascii="Calibri" w:hAnsi="Calibri" w:cs="Arial"/>
          <w:sz w:val="22"/>
          <w:szCs w:val="22"/>
          <w:rtl/>
        </w:rPr>
      </w:pPr>
      <w:r w:rsidRPr="00BA4119">
        <w:rPr>
          <w:rFonts w:ascii="Calibri" w:hAnsi="Calibri" w:hint="cs"/>
          <w:b/>
          <w:bCs/>
          <w:sz w:val="22"/>
          <w:rtl/>
        </w:rPr>
        <w:t>זכות ערעור תוך 45 יום לביהמ"ש המחוזי</w:t>
      </w:r>
    </w:p>
    <w:p w14:paraId="69D92DB1" w14:textId="77777777" w:rsidR="00BA4119" w:rsidRDefault="00BA4119" w:rsidP="00BA4119">
      <w:pPr>
        <w:jc w:val="both"/>
        <w:rPr>
          <w:rFonts w:ascii="David" w:eastAsia="David" w:hAnsi="David"/>
        </w:rPr>
      </w:pPr>
    </w:p>
    <w:p w14:paraId="4BBABDDC" w14:textId="77777777" w:rsidR="00BA4119" w:rsidRDefault="00BF09B4" w:rsidP="00BA4119">
      <w:pPr>
        <w:jc w:val="both"/>
        <w:rPr>
          <w:sz w:val="6"/>
          <w:szCs w:val="6"/>
          <w:rtl/>
        </w:rPr>
      </w:pPr>
      <w:r w:rsidRPr="00BF09B4">
        <w:rPr>
          <w:color w:val="FFFFFF"/>
          <w:sz w:val="2"/>
          <w:szCs w:val="2"/>
          <w:rtl/>
        </w:rPr>
        <w:t>5129371</w:t>
      </w:r>
      <w:r w:rsidR="00BA4119">
        <w:rPr>
          <w:rFonts w:hint="cs"/>
          <w:sz w:val="6"/>
          <w:szCs w:val="6"/>
          <w:rtl/>
        </w:rPr>
        <w:t>&lt;#3#&gt;</w:t>
      </w:r>
    </w:p>
    <w:p w14:paraId="5612839A" w14:textId="77777777" w:rsidR="00BA4119" w:rsidRDefault="00BF09B4" w:rsidP="00BA4119">
      <w:pPr>
        <w:rPr>
          <w:rFonts w:cs="FrankRuehl"/>
          <w:sz w:val="28"/>
          <w:szCs w:val="28"/>
          <w:rtl/>
        </w:rPr>
      </w:pPr>
      <w:r w:rsidRPr="00BF09B4">
        <w:rPr>
          <w:b/>
          <w:bCs/>
          <w:color w:val="FFFFFF"/>
          <w:sz w:val="2"/>
          <w:szCs w:val="2"/>
          <w:rtl/>
        </w:rPr>
        <w:t>54678313</w:t>
      </w:r>
      <w:r>
        <w:rPr>
          <w:b/>
          <w:bCs/>
          <w:rtl/>
        </w:rPr>
        <w:t xml:space="preserve">ניתנה והודעה היום ט"ז טבת תשע"ח, 03/01/2018 במעמד הנוכחים. </w:t>
      </w:r>
    </w:p>
    <w:p w14:paraId="1F4F8D41" w14:textId="77777777" w:rsidR="00BA4119" w:rsidRDefault="00BA4119" w:rsidP="00BA411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9EAB614" w14:textId="77777777" w:rsidR="00BA4119" w:rsidRDefault="00BA4119" w:rsidP="00BA4119">
      <w:pPr>
        <w:jc w:val="center"/>
        <w:rPr>
          <w:rFonts w:ascii="Arial" w:hAnsi="Arial" w:cs="FrankRuehl"/>
          <w:sz w:val="28"/>
          <w:szCs w:val="28"/>
          <w:rtl/>
        </w:rPr>
      </w:pPr>
    </w:p>
    <w:p w14:paraId="4C57F156" w14:textId="77777777" w:rsidR="00BA4119" w:rsidRDefault="00BA4119" w:rsidP="00BA4119">
      <w:pPr>
        <w:rPr>
          <w:rFonts w:cs="FrankRuehl"/>
          <w:sz w:val="28"/>
          <w:szCs w:val="28"/>
          <w:rtl/>
        </w:rPr>
      </w:pPr>
    </w:p>
    <w:p w14:paraId="64D24270" w14:textId="77777777" w:rsidR="00BA4119" w:rsidRDefault="00BA4119" w:rsidP="00BA4119">
      <w:pPr>
        <w:pStyle w:val="a3"/>
        <w:jc w:val="center"/>
        <w:rPr>
          <w:rtl/>
        </w:rPr>
      </w:pPr>
    </w:p>
    <w:p w14:paraId="714BA67D" w14:textId="77777777" w:rsidR="001C7DC4" w:rsidRPr="00BF09B4" w:rsidRDefault="001C7DC4" w:rsidP="00BF09B4">
      <w:pPr>
        <w:keepNext/>
        <w:rPr>
          <w:rFonts w:ascii="David" w:hAnsi="David"/>
          <w:color w:val="000000"/>
          <w:sz w:val="22"/>
          <w:szCs w:val="22"/>
          <w:rtl/>
        </w:rPr>
      </w:pPr>
    </w:p>
    <w:p w14:paraId="7E3F0783" w14:textId="77777777" w:rsidR="00BF09B4" w:rsidRPr="00BF09B4" w:rsidRDefault="00BF09B4" w:rsidP="00BF09B4">
      <w:pPr>
        <w:keepNext/>
        <w:rPr>
          <w:rFonts w:ascii="David" w:hAnsi="David"/>
          <w:color w:val="000000"/>
          <w:sz w:val="22"/>
          <w:szCs w:val="22"/>
          <w:rtl/>
        </w:rPr>
      </w:pPr>
      <w:r w:rsidRPr="00BF09B4">
        <w:rPr>
          <w:rFonts w:ascii="David" w:hAnsi="David"/>
          <w:color w:val="000000"/>
          <w:sz w:val="22"/>
          <w:szCs w:val="22"/>
          <w:rtl/>
        </w:rPr>
        <w:t>נועה חקלאי 54678313</w:t>
      </w:r>
    </w:p>
    <w:p w14:paraId="53102167" w14:textId="77777777" w:rsidR="00BF09B4" w:rsidRDefault="00BF09B4" w:rsidP="00BF09B4">
      <w:r w:rsidRPr="00BF09B4">
        <w:rPr>
          <w:color w:val="000000"/>
          <w:rtl/>
        </w:rPr>
        <w:t>נוסח מסמך זה כפוף לשינויי ניסוח ועריכה</w:t>
      </w:r>
    </w:p>
    <w:p w14:paraId="2CDE4D27" w14:textId="77777777" w:rsidR="00BF09B4" w:rsidRDefault="00BF09B4" w:rsidP="00BF09B4">
      <w:pPr>
        <w:rPr>
          <w:rtl/>
        </w:rPr>
      </w:pPr>
    </w:p>
    <w:p w14:paraId="674297C0" w14:textId="77777777" w:rsidR="00BF09B4" w:rsidRDefault="00BF09B4" w:rsidP="00BF09B4">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0C47EA4" w14:textId="77777777" w:rsidR="00BF09B4" w:rsidRPr="00BF09B4" w:rsidRDefault="00BF09B4" w:rsidP="00BF09B4">
      <w:pPr>
        <w:jc w:val="center"/>
        <w:rPr>
          <w:color w:val="0000FF"/>
          <w:u w:val="single"/>
        </w:rPr>
      </w:pPr>
    </w:p>
    <w:sectPr w:rsidR="00BF09B4" w:rsidRPr="00BF09B4" w:rsidSect="00BF09B4">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3507F" w14:textId="77777777" w:rsidR="00A354A7" w:rsidRDefault="00A354A7" w:rsidP="006676EF">
      <w:r>
        <w:separator/>
      </w:r>
    </w:p>
  </w:endnote>
  <w:endnote w:type="continuationSeparator" w:id="0">
    <w:p w14:paraId="5C99F16D" w14:textId="77777777" w:rsidR="00A354A7" w:rsidRDefault="00A354A7" w:rsidP="00667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BAF91" w14:textId="77777777" w:rsidR="00BF09B4" w:rsidRDefault="00BF09B4" w:rsidP="00BF09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AB0E44" w14:textId="77777777" w:rsidR="00A9260D" w:rsidRPr="00BF09B4" w:rsidRDefault="00BF09B4" w:rsidP="00BF09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DA25D" w14:textId="77777777" w:rsidR="00BF09B4" w:rsidRDefault="00BF09B4" w:rsidP="00BF09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367E">
      <w:rPr>
        <w:rFonts w:ascii="FrankRuehl" w:hAnsi="FrankRuehl" w:cs="FrankRuehl"/>
        <w:noProof/>
        <w:rtl/>
      </w:rPr>
      <w:t>1</w:t>
    </w:r>
    <w:r>
      <w:rPr>
        <w:rFonts w:ascii="FrankRuehl" w:hAnsi="FrankRuehl" w:cs="FrankRuehl"/>
        <w:rtl/>
      </w:rPr>
      <w:fldChar w:fldCharType="end"/>
    </w:r>
  </w:p>
  <w:p w14:paraId="42BA8CD9" w14:textId="77777777" w:rsidR="00A9260D" w:rsidRPr="00BF09B4" w:rsidRDefault="00BF09B4" w:rsidP="00BF09B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5E8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D9E88" w14:textId="77777777" w:rsidR="00A354A7" w:rsidRDefault="00A354A7" w:rsidP="006676EF">
      <w:r>
        <w:separator/>
      </w:r>
    </w:p>
  </w:footnote>
  <w:footnote w:type="continuationSeparator" w:id="0">
    <w:p w14:paraId="7C15CF0C" w14:textId="77777777" w:rsidR="00A354A7" w:rsidRDefault="00A354A7" w:rsidP="00667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699AF" w14:textId="77777777" w:rsidR="00BF09B4" w:rsidRPr="00BF09B4" w:rsidRDefault="00BF09B4" w:rsidP="00BF09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53098-05-17</w:t>
    </w:r>
    <w:r>
      <w:rPr>
        <w:rFonts w:ascii="David" w:hAnsi="David"/>
        <w:color w:val="000000"/>
        <w:sz w:val="22"/>
        <w:szCs w:val="22"/>
        <w:rtl/>
      </w:rPr>
      <w:tab/>
      <w:t xml:space="preserve"> מדינת ישראל נ' אלכסנדר שטיינפאייר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A1DBB" w14:textId="77777777" w:rsidR="00BF09B4" w:rsidRPr="00BF09B4" w:rsidRDefault="00BF09B4" w:rsidP="00BF09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53098-05-17</w:t>
    </w:r>
    <w:r>
      <w:rPr>
        <w:rFonts w:ascii="David" w:hAnsi="David"/>
        <w:color w:val="000000"/>
        <w:sz w:val="22"/>
        <w:szCs w:val="22"/>
        <w:rtl/>
      </w:rPr>
      <w:tab/>
      <w:t xml:space="preserve"> מדינת ישראל נ' אלכסנדר שטיינפאייר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D8D"/>
    <w:multiLevelType w:val="hybridMultilevel"/>
    <w:tmpl w:val="9D08DA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72848A5"/>
    <w:multiLevelType w:val="hybridMultilevel"/>
    <w:tmpl w:val="B2305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75035E1"/>
    <w:multiLevelType w:val="hybridMultilevel"/>
    <w:tmpl w:val="8ED4FA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668B3BEB"/>
    <w:multiLevelType w:val="hybridMultilevel"/>
    <w:tmpl w:val="0518CAB4"/>
    <w:lvl w:ilvl="0" w:tplc="0409000F">
      <w:start w:val="13"/>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280452313">
    <w:abstractNumId w:val="0"/>
  </w:num>
  <w:num w:numId="2" w16cid:durableId="117652617">
    <w:abstractNumId w:val="3"/>
  </w:num>
  <w:num w:numId="3" w16cid:durableId="479226904">
    <w:abstractNumId w:val="4"/>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4860108">
    <w:abstractNumId w:val="1"/>
  </w:num>
  <w:num w:numId="5" w16cid:durableId="358706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4119"/>
    <w:rsid w:val="0009367E"/>
    <w:rsid w:val="001C7DC4"/>
    <w:rsid w:val="00431098"/>
    <w:rsid w:val="006676EF"/>
    <w:rsid w:val="00A354A7"/>
    <w:rsid w:val="00A9260D"/>
    <w:rsid w:val="00BA4119"/>
    <w:rsid w:val="00BF09B4"/>
    <w:rsid w:val="00E92112"/>
    <w:rsid w:val="00EE416C"/>
    <w:rsid w:val="00F77E8A"/>
    <w:rsid w:val="00F931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19F7C93"/>
  <w15:chartTrackingRefBased/>
  <w15:docId w15:val="{37B47D4B-8299-4707-B1C5-5062C8A9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41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4119"/>
    <w:pPr>
      <w:tabs>
        <w:tab w:val="center" w:pos="4153"/>
        <w:tab w:val="right" w:pos="8306"/>
      </w:tabs>
    </w:pPr>
  </w:style>
  <w:style w:type="character" w:customStyle="1" w:styleId="a4">
    <w:name w:val="כותרת עליונה תו"/>
    <w:link w:val="a3"/>
    <w:rsid w:val="00BA4119"/>
    <w:rPr>
      <w:rFonts w:ascii="Times New Roman" w:eastAsia="Times New Roman" w:hAnsi="Times New Roman" w:cs="David"/>
      <w:sz w:val="24"/>
      <w:szCs w:val="24"/>
    </w:rPr>
  </w:style>
  <w:style w:type="paragraph" w:styleId="a5">
    <w:name w:val="footer"/>
    <w:basedOn w:val="a"/>
    <w:link w:val="a6"/>
    <w:rsid w:val="00BA4119"/>
    <w:pPr>
      <w:tabs>
        <w:tab w:val="center" w:pos="4153"/>
        <w:tab w:val="right" w:pos="8306"/>
      </w:tabs>
    </w:pPr>
  </w:style>
  <w:style w:type="character" w:customStyle="1" w:styleId="a6">
    <w:name w:val="כותרת תחתונה תו"/>
    <w:link w:val="a5"/>
    <w:rsid w:val="00BA4119"/>
    <w:rPr>
      <w:rFonts w:ascii="Times New Roman" w:eastAsia="Times New Roman" w:hAnsi="Times New Roman" w:cs="David"/>
      <w:sz w:val="24"/>
      <w:szCs w:val="24"/>
    </w:rPr>
  </w:style>
  <w:style w:type="table" w:styleId="a7">
    <w:name w:val="Table Grid"/>
    <w:basedOn w:val="a1"/>
    <w:rsid w:val="00BA41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4119"/>
  </w:style>
  <w:style w:type="character" w:styleId="Hyperlink">
    <w:name w:val="Hyperlink"/>
    <w:rsid w:val="00BF09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531551" TargetMode="External"/><Relationship Id="rId18" Type="http://schemas.openxmlformats.org/officeDocument/2006/relationships/hyperlink" Target="http://www.nevo.co.il/case/18066399" TargetMode="External"/><Relationship Id="rId26" Type="http://schemas.openxmlformats.org/officeDocument/2006/relationships/hyperlink" Target="http://www.nevo.co.il/law/70301/144" TargetMode="External"/><Relationship Id="rId3" Type="http://schemas.openxmlformats.org/officeDocument/2006/relationships/settings" Target="settings.xml"/><Relationship Id="rId21" Type="http://schemas.openxmlformats.org/officeDocument/2006/relationships/hyperlink" Target="http://www.nevo.co.il/case/357120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907465" TargetMode="External"/><Relationship Id="rId25" Type="http://schemas.openxmlformats.org/officeDocument/2006/relationships/hyperlink" Target="http://www.nevo.co.il/case/581078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8099950" TargetMode="External"/><Relationship Id="rId20" Type="http://schemas.openxmlformats.org/officeDocument/2006/relationships/hyperlink" Target="http://www.nevo.co.il/case/20724837"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616138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8439165" TargetMode="External"/><Relationship Id="rId28"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hyperlink" Target="http://www.nevo.co.il/case/1303104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0262809" TargetMode="External"/><Relationship Id="rId22" Type="http://schemas.openxmlformats.org/officeDocument/2006/relationships/hyperlink" Target="http://www.nevo.co.il/case/1807174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1669</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9998</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3276916</vt:i4>
      </vt:variant>
      <vt:variant>
        <vt:i4>54</vt:i4>
      </vt:variant>
      <vt:variant>
        <vt:i4>0</vt:i4>
      </vt:variant>
      <vt:variant>
        <vt:i4>5</vt:i4>
      </vt:variant>
      <vt:variant>
        <vt:lpwstr>http://www.nevo.co.il/case/5810781</vt:lpwstr>
      </vt:variant>
      <vt:variant>
        <vt:lpwstr/>
      </vt:variant>
      <vt:variant>
        <vt:i4>3539068</vt:i4>
      </vt:variant>
      <vt:variant>
        <vt:i4>51</vt:i4>
      </vt:variant>
      <vt:variant>
        <vt:i4>0</vt:i4>
      </vt:variant>
      <vt:variant>
        <vt:i4>5</vt:i4>
      </vt:variant>
      <vt:variant>
        <vt:lpwstr>http://www.nevo.co.il/case/6161385</vt:lpwstr>
      </vt:variant>
      <vt:variant>
        <vt:lpwstr/>
      </vt:variant>
      <vt:variant>
        <vt:i4>4128895</vt:i4>
      </vt:variant>
      <vt:variant>
        <vt:i4>48</vt:i4>
      </vt:variant>
      <vt:variant>
        <vt:i4>0</vt:i4>
      </vt:variant>
      <vt:variant>
        <vt:i4>5</vt:i4>
      </vt:variant>
      <vt:variant>
        <vt:lpwstr>http://www.nevo.co.il/case/8439165</vt:lpwstr>
      </vt:variant>
      <vt:variant>
        <vt:lpwstr/>
      </vt:variant>
      <vt:variant>
        <vt:i4>3407996</vt:i4>
      </vt:variant>
      <vt:variant>
        <vt:i4>45</vt:i4>
      </vt:variant>
      <vt:variant>
        <vt:i4>0</vt:i4>
      </vt:variant>
      <vt:variant>
        <vt:i4>5</vt:i4>
      </vt:variant>
      <vt:variant>
        <vt:lpwstr>http://www.nevo.co.il/case/18071740</vt:lpwstr>
      </vt:variant>
      <vt:variant>
        <vt:lpwstr/>
      </vt:variant>
      <vt:variant>
        <vt:i4>3604592</vt:i4>
      </vt:variant>
      <vt:variant>
        <vt:i4>42</vt:i4>
      </vt:variant>
      <vt:variant>
        <vt:i4>0</vt:i4>
      </vt:variant>
      <vt:variant>
        <vt:i4>5</vt:i4>
      </vt:variant>
      <vt:variant>
        <vt:lpwstr>http://www.nevo.co.il/case/3571201</vt:lpwstr>
      </vt:variant>
      <vt:variant>
        <vt:lpwstr/>
      </vt:variant>
      <vt:variant>
        <vt:i4>3276926</vt:i4>
      </vt:variant>
      <vt:variant>
        <vt:i4>39</vt:i4>
      </vt:variant>
      <vt:variant>
        <vt:i4>0</vt:i4>
      </vt:variant>
      <vt:variant>
        <vt:i4>5</vt:i4>
      </vt:variant>
      <vt:variant>
        <vt:lpwstr>http://www.nevo.co.il/case/20724837</vt:lpwstr>
      </vt:variant>
      <vt:variant>
        <vt:lpwstr/>
      </vt:variant>
      <vt:variant>
        <vt:i4>3407988</vt:i4>
      </vt:variant>
      <vt:variant>
        <vt:i4>36</vt:i4>
      </vt:variant>
      <vt:variant>
        <vt:i4>0</vt:i4>
      </vt:variant>
      <vt:variant>
        <vt:i4>5</vt:i4>
      </vt:variant>
      <vt:variant>
        <vt:lpwstr>http://www.nevo.co.il/case/13031045</vt:lpwstr>
      </vt:variant>
      <vt:variant>
        <vt:lpwstr/>
      </vt:variant>
      <vt:variant>
        <vt:i4>4063353</vt:i4>
      </vt:variant>
      <vt:variant>
        <vt:i4>33</vt:i4>
      </vt:variant>
      <vt:variant>
        <vt:i4>0</vt:i4>
      </vt:variant>
      <vt:variant>
        <vt:i4>5</vt:i4>
      </vt:variant>
      <vt:variant>
        <vt:lpwstr>http://www.nevo.co.il/case/18066399</vt:lpwstr>
      </vt:variant>
      <vt:variant>
        <vt:lpwstr/>
      </vt:variant>
      <vt:variant>
        <vt:i4>3342460</vt:i4>
      </vt:variant>
      <vt:variant>
        <vt:i4>30</vt:i4>
      </vt:variant>
      <vt:variant>
        <vt:i4>0</vt:i4>
      </vt:variant>
      <vt:variant>
        <vt:i4>5</vt:i4>
      </vt:variant>
      <vt:variant>
        <vt:lpwstr>http://www.nevo.co.il/case/2907465</vt:lpwstr>
      </vt:variant>
      <vt:variant>
        <vt:lpwstr/>
      </vt:variant>
      <vt:variant>
        <vt:i4>3997820</vt:i4>
      </vt:variant>
      <vt:variant>
        <vt:i4>27</vt:i4>
      </vt:variant>
      <vt:variant>
        <vt:i4>0</vt:i4>
      </vt:variant>
      <vt:variant>
        <vt:i4>5</vt:i4>
      </vt:variant>
      <vt:variant>
        <vt:lpwstr>http://www.nevo.co.il/case/18099950</vt:lpwstr>
      </vt:variant>
      <vt:variant>
        <vt:lpwstr/>
      </vt:variant>
      <vt:variant>
        <vt:i4>8257637</vt:i4>
      </vt:variant>
      <vt:variant>
        <vt:i4>24</vt:i4>
      </vt:variant>
      <vt:variant>
        <vt:i4>0</vt:i4>
      </vt:variant>
      <vt:variant>
        <vt:i4>5</vt:i4>
      </vt:variant>
      <vt:variant>
        <vt:lpwstr>http://www.nevo.co.il/law/4216</vt:lpwstr>
      </vt:variant>
      <vt:variant>
        <vt:lpwstr/>
      </vt:variant>
      <vt:variant>
        <vt:i4>3276922</vt:i4>
      </vt:variant>
      <vt:variant>
        <vt:i4>21</vt:i4>
      </vt:variant>
      <vt:variant>
        <vt:i4>0</vt:i4>
      </vt:variant>
      <vt:variant>
        <vt:i4>5</vt:i4>
      </vt:variant>
      <vt:variant>
        <vt:lpwstr>http://www.nevo.co.il/case/20262809</vt:lpwstr>
      </vt:variant>
      <vt:variant>
        <vt:lpwstr/>
      </vt:variant>
      <vt:variant>
        <vt:i4>3342448</vt:i4>
      </vt:variant>
      <vt:variant>
        <vt:i4>18</vt:i4>
      </vt:variant>
      <vt:variant>
        <vt:i4>0</vt:i4>
      </vt:variant>
      <vt:variant>
        <vt:i4>5</vt:i4>
      </vt:variant>
      <vt:variant>
        <vt:lpwstr>http://www.nevo.co.il/case/22531551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53098</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אלכסנדר שטיינפאייר</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20180103</vt:lpwstr>
  </property>
  <property fmtid="{D5CDD505-2E9C-101B-9397-08002B2CF9AE}" pid="13" name="TYPE_N_DATE">
    <vt:lpwstr>38020180103</vt:lpwstr>
  </property>
  <property fmtid="{D5CDD505-2E9C-101B-9397-08002B2CF9AE}" pid="14" name="CASESLISTTMP1">
    <vt:lpwstr>22531551;20262809;18099950;2907465;18066399;13031045;20724837;3571201;18071740;8439165;6161385;5810781</vt:lpwstr>
  </property>
  <property fmtid="{D5CDD505-2E9C-101B-9397-08002B2CF9AE}" pid="15" name="WORDNUMPAGES">
    <vt:lpwstr>6</vt:lpwstr>
  </property>
  <property fmtid="{D5CDD505-2E9C-101B-9397-08002B2CF9AE}" pid="16" name="TYPE_ABS_DATE">
    <vt:lpwstr>380020180103</vt:lpwstr>
  </property>
  <property fmtid="{D5CDD505-2E9C-101B-9397-08002B2CF9AE}" pid="17" name="ISABSTRACT">
    <vt:lpwstr>Y</vt:lpwstr>
  </property>
  <property fmtid="{D5CDD505-2E9C-101B-9397-08002B2CF9AE}" pid="18" name="LAWLISTTMP1">
    <vt:lpwstr>70301/144.a;144</vt:lpwstr>
  </property>
  <property fmtid="{D5CDD505-2E9C-101B-9397-08002B2CF9AE}" pid="19" name="LAWLISTTMP2">
    <vt:lpwstr>4216</vt:lpwstr>
  </property>
</Properties>
</file>