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C6274B" w:rsidRPr="00232899" w14:paraId="2739A382" w14:textId="77777777" w:rsidTr="00A05A7D">
        <w:trPr>
          <w:trHeight w:hRule="exact" w:val="418"/>
          <w:jc w:val="center"/>
        </w:trPr>
        <w:tc>
          <w:tcPr>
            <w:tcW w:w="8721" w:type="dxa"/>
            <w:gridSpan w:val="2"/>
          </w:tcPr>
          <w:p w14:paraId="6C5F8336" w14:textId="77777777" w:rsidR="00C6274B" w:rsidRPr="00232899" w:rsidRDefault="00C6274B" w:rsidP="002F68A8">
            <w:pPr>
              <w:pStyle w:val="a3"/>
              <w:jc w:val="center"/>
              <w:rPr>
                <w:rFonts w:ascii="Tahoma" w:hAnsi="Tahoma" w:cs="Tahoma"/>
                <w:color w:val="000080"/>
                <w:rtl/>
              </w:rPr>
            </w:pPr>
            <w:bookmarkStart w:id="0" w:name="FirstLawyer"/>
            <w:bookmarkStart w:id="1" w:name="LastJudge"/>
            <w:r w:rsidRPr="00232899">
              <w:rPr>
                <w:rFonts w:ascii="Tahoma" w:hAnsi="Tahoma" w:cs="Tahoma"/>
                <w:b/>
                <w:bCs/>
                <w:color w:val="000080"/>
                <w:rtl/>
              </w:rPr>
              <w:t>בית משפט השלום בירושלים</w:t>
            </w:r>
          </w:p>
        </w:tc>
      </w:tr>
      <w:tr w:rsidR="00C6274B" w:rsidRPr="00232899" w14:paraId="66237D6C" w14:textId="77777777" w:rsidTr="00A05A7D">
        <w:trPr>
          <w:trHeight w:val="337"/>
          <w:jc w:val="center"/>
        </w:trPr>
        <w:tc>
          <w:tcPr>
            <w:tcW w:w="5055" w:type="dxa"/>
          </w:tcPr>
          <w:p w14:paraId="6942737D" w14:textId="77777777" w:rsidR="00C6274B" w:rsidRPr="00232899" w:rsidRDefault="00C6274B" w:rsidP="002F68A8">
            <w:pPr>
              <w:rPr>
                <w:rFonts w:cs="FrankRuehl"/>
                <w:b/>
                <w:bCs/>
                <w:sz w:val="30"/>
                <w:szCs w:val="30"/>
                <w:rtl/>
              </w:rPr>
            </w:pPr>
            <w:r w:rsidRPr="00232899">
              <w:rPr>
                <w:rFonts w:cs="FrankRuehl"/>
                <w:b/>
                <w:bCs/>
                <w:sz w:val="30"/>
                <w:szCs w:val="30"/>
                <w:rtl/>
              </w:rPr>
              <w:t>ת"פ</w:t>
            </w:r>
            <w:r w:rsidRPr="00232899">
              <w:rPr>
                <w:rFonts w:cs="FrankRuehl" w:hint="cs"/>
                <w:b/>
                <w:bCs/>
                <w:sz w:val="30"/>
                <w:szCs w:val="30"/>
                <w:rtl/>
              </w:rPr>
              <w:t xml:space="preserve"> </w:t>
            </w:r>
            <w:r w:rsidRPr="00232899">
              <w:rPr>
                <w:rFonts w:cs="FrankRuehl"/>
                <w:b/>
                <w:bCs/>
                <w:sz w:val="30"/>
                <w:szCs w:val="30"/>
                <w:rtl/>
              </w:rPr>
              <w:t>58413-06-17</w:t>
            </w:r>
            <w:r w:rsidRPr="00232899">
              <w:rPr>
                <w:rFonts w:cs="FrankRuehl" w:hint="cs"/>
                <w:b/>
                <w:bCs/>
                <w:sz w:val="30"/>
                <w:szCs w:val="30"/>
                <w:rtl/>
              </w:rPr>
              <w:t xml:space="preserve"> </w:t>
            </w:r>
            <w:r w:rsidRPr="00232899">
              <w:rPr>
                <w:rFonts w:cs="FrankRuehl"/>
                <w:b/>
                <w:bCs/>
                <w:sz w:val="30"/>
                <w:szCs w:val="30"/>
                <w:rtl/>
              </w:rPr>
              <w:t>מדינת ישראל נ' וזנה</w:t>
            </w:r>
          </w:p>
          <w:p w14:paraId="35556444" w14:textId="77777777" w:rsidR="00C6274B" w:rsidRPr="00232899" w:rsidRDefault="00C6274B" w:rsidP="002F68A8">
            <w:pPr>
              <w:pStyle w:val="a3"/>
              <w:rPr>
                <w:rFonts w:cs="FrankRuehl"/>
                <w:sz w:val="28"/>
                <w:szCs w:val="28"/>
                <w:rtl/>
              </w:rPr>
            </w:pPr>
          </w:p>
        </w:tc>
        <w:tc>
          <w:tcPr>
            <w:tcW w:w="3666" w:type="dxa"/>
          </w:tcPr>
          <w:p w14:paraId="27F46716" w14:textId="77777777" w:rsidR="00C6274B" w:rsidRPr="00232899" w:rsidRDefault="00C6274B" w:rsidP="002F68A8">
            <w:pPr>
              <w:pStyle w:val="a3"/>
              <w:jc w:val="right"/>
              <w:rPr>
                <w:rFonts w:cs="FrankRuehl"/>
                <w:sz w:val="28"/>
                <w:szCs w:val="28"/>
                <w:rtl/>
              </w:rPr>
            </w:pPr>
          </w:p>
        </w:tc>
      </w:tr>
    </w:tbl>
    <w:p w14:paraId="7A8F8E8B" w14:textId="77777777" w:rsidR="00C6274B" w:rsidRPr="00232899" w:rsidRDefault="00C6274B" w:rsidP="00C6274B">
      <w:pPr>
        <w:pStyle w:val="a3"/>
        <w:rPr>
          <w:rtl/>
        </w:rPr>
      </w:pPr>
      <w:r w:rsidRPr="00232899">
        <w:rPr>
          <w:rFonts w:hint="cs"/>
          <w:rtl/>
        </w:rPr>
        <w:t xml:space="preserve"> </w:t>
      </w:r>
    </w:p>
    <w:p w14:paraId="705C636E" w14:textId="77777777" w:rsidR="00C6274B" w:rsidRPr="00232899" w:rsidRDefault="00C6274B" w:rsidP="00C6274B">
      <w:pPr>
        <w:rPr>
          <w:rFonts w:cs="FrankRuehl"/>
          <w:sz w:val="30"/>
          <w:szCs w:val="30"/>
          <w:rtl/>
        </w:rPr>
      </w:pPr>
    </w:p>
    <w:p w14:paraId="235F5365" w14:textId="77777777" w:rsidR="00C6274B" w:rsidRPr="00232899" w:rsidRDefault="00C6274B" w:rsidP="00C6274B">
      <w:pPr>
        <w:rPr>
          <w:rFonts w:cs="FrankRuehl"/>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490"/>
        <w:gridCol w:w="3407"/>
      </w:tblGrid>
      <w:tr w:rsidR="00C6274B" w:rsidRPr="00232899" w14:paraId="431A71ED" w14:textId="77777777" w:rsidTr="00C6274B">
        <w:trPr>
          <w:trHeight w:val="295"/>
          <w:jc w:val="center"/>
        </w:trPr>
        <w:tc>
          <w:tcPr>
            <w:tcW w:w="923" w:type="dxa"/>
            <w:tcBorders>
              <w:top w:val="nil"/>
              <w:left w:val="nil"/>
              <w:bottom w:val="nil"/>
              <w:right w:val="nil"/>
            </w:tcBorders>
            <w:shd w:val="clear" w:color="auto" w:fill="auto"/>
          </w:tcPr>
          <w:p w14:paraId="1B0F1AD7" w14:textId="77777777" w:rsidR="00C6274B" w:rsidRPr="00232899" w:rsidRDefault="00C6274B" w:rsidP="00C6274B">
            <w:pPr>
              <w:jc w:val="both"/>
              <w:rPr>
                <w:rFonts w:ascii="Arial" w:hAnsi="Arial" w:cs="FrankRuehl"/>
                <w:b/>
                <w:bCs/>
                <w:sz w:val="30"/>
                <w:szCs w:val="30"/>
              </w:rPr>
            </w:pPr>
            <w:r w:rsidRPr="00232899">
              <w:rPr>
                <w:rFonts w:ascii="Arial" w:hAnsi="Arial" w:cs="FrankRuehl" w:hint="cs"/>
                <w:b/>
                <w:bCs/>
                <w:sz w:val="30"/>
                <w:szCs w:val="30"/>
                <w:rtl/>
              </w:rPr>
              <w:t>ב</w:t>
            </w:r>
            <w:r w:rsidRPr="00232899">
              <w:rPr>
                <w:rFonts w:ascii="Arial" w:hAnsi="Arial" w:cs="FrankRuehl"/>
                <w:b/>
                <w:bCs/>
                <w:sz w:val="30"/>
                <w:szCs w:val="30"/>
                <w:rtl/>
              </w:rPr>
              <w:t xml:space="preserve">פני </w:t>
            </w:r>
          </w:p>
        </w:tc>
        <w:tc>
          <w:tcPr>
            <w:tcW w:w="7897" w:type="dxa"/>
            <w:gridSpan w:val="2"/>
            <w:tcBorders>
              <w:top w:val="nil"/>
              <w:left w:val="nil"/>
              <w:bottom w:val="nil"/>
              <w:right w:val="nil"/>
            </w:tcBorders>
            <w:shd w:val="clear" w:color="auto" w:fill="auto"/>
          </w:tcPr>
          <w:p w14:paraId="2D857915" w14:textId="77777777" w:rsidR="00C6274B" w:rsidRPr="00232899" w:rsidRDefault="00C6274B" w:rsidP="002F68A8">
            <w:pPr>
              <w:rPr>
                <w:rFonts w:ascii="Arial" w:hAnsi="Arial" w:cs="FrankRuehl"/>
                <w:b/>
                <w:bCs/>
                <w:sz w:val="30"/>
                <w:szCs w:val="30"/>
                <w:rtl/>
              </w:rPr>
            </w:pPr>
            <w:r w:rsidRPr="00232899">
              <w:rPr>
                <w:rFonts w:ascii="Arial" w:hAnsi="Arial" w:cs="FrankRuehl" w:hint="cs"/>
                <w:b/>
                <w:bCs/>
                <w:sz w:val="30"/>
                <w:szCs w:val="30"/>
                <w:rtl/>
              </w:rPr>
              <w:t>כב' ה</w:t>
            </w:r>
            <w:r w:rsidRPr="00232899">
              <w:rPr>
                <w:rFonts w:ascii="Arial" w:hAnsi="Arial" w:cs="FrankRuehl"/>
                <w:b/>
                <w:bCs/>
                <w:sz w:val="30"/>
                <w:szCs w:val="30"/>
                <w:rtl/>
              </w:rPr>
              <w:t>שופט</w:t>
            </w:r>
            <w:r w:rsidRPr="00232899">
              <w:rPr>
                <w:rFonts w:ascii="Arial" w:hAnsi="Arial" w:cs="FrankRuehl" w:hint="cs"/>
                <w:b/>
                <w:bCs/>
                <w:sz w:val="30"/>
                <w:szCs w:val="30"/>
                <w:rtl/>
              </w:rPr>
              <w:t xml:space="preserve">  </w:t>
            </w:r>
            <w:r w:rsidRPr="00232899">
              <w:rPr>
                <w:rFonts w:ascii="Arial" w:hAnsi="Arial" w:cs="FrankRuehl"/>
                <w:b/>
                <w:bCs/>
                <w:sz w:val="30"/>
                <w:szCs w:val="30"/>
                <w:rtl/>
              </w:rPr>
              <w:t>אילן סלע</w:t>
            </w:r>
          </w:p>
          <w:p w14:paraId="7482DF56" w14:textId="77777777" w:rsidR="00C6274B" w:rsidRPr="00232899" w:rsidRDefault="00C6274B" w:rsidP="002F68A8">
            <w:pPr>
              <w:rPr>
                <w:rFonts w:cs="FrankRuehl"/>
                <w:b/>
                <w:bCs/>
                <w:sz w:val="30"/>
                <w:szCs w:val="30"/>
                <w:rtl/>
              </w:rPr>
            </w:pPr>
          </w:p>
          <w:p w14:paraId="5BBED5BC" w14:textId="77777777" w:rsidR="00C6274B" w:rsidRPr="00232899" w:rsidRDefault="00C6274B" w:rsidP="00C6274B">
            <w:pPr>
              <w:jc w:val="both"/>
              <w:rPr>
                <w:rFonts w:ascii="Arial" w:hAnsi="Arial" w:cs="FrankRuehl"/>
                <w:b/>
                <w:bCs/>
                <w:sz w:val="30"/>
                <w:szCs w:val="30"/>
              </w:rPr>
            </w:pPr>
          </w:p>
        </w:tc>
      </w:tr>
      <w:tr w:rsidR="00C6274B" w:rsidRPr="00232899" w14:paraId="00BABC69" w14:textId="77777777" w:rsidTr="00C6274B">
        <w:trPr>
          <w:trHeight w:val="355"/>
          <w:jc w:val="center"/>
        </w:trPr>
        <w:tc>
          <w:tcPr>
            <w:tcW w:w="923" w:type="dxa"/>
            <w:tcBorders>
              <w:top w:val="nil"/>
              <w:left w:val="nil"/>
              <w:bottom w:val="nil"/>
              <w:right w:val="nil"/>
            </w:tcBorders>
            <w:shd w:val="clear" w:color="auto" w:fill="auto"/>
          </w:tcPr>
          <w:p w14:paraId="689168C3" w14:textId="77777777" w:rsidR="00C6274B" w:rsidRPr="00232899" w:rsidRDefault="00C6274B" w:rsidP="00C6274B">
            <w:pPr>
              <w:jc w:val="both"/>
              <w:rPr>
                <w:rFonts w:ascii="Arial" w:hAnsi="Arial" w:cs="FrankRuehl"/>
                <w:b/>
                <w:bCs/>
                <w:sz w:val="30"/>
                <w:szCs w:val="30"/>
              </w:rPr>
            </w:pPr>
            <w:bookmarkStart w:id="2" w:name="FirstAppellant"/>
            <w:r w:rsidRPr="00232899">
              <w:rPr>
                <w:rFonts w:ascii="Arial" w:hAnsi="Arial" w:cs="FrankRuehl" w:hint="cs"/>
                <w:b/>
                <w:bCs/>
                <w:sz w:val="30"/>
                <w:szCs w:val="30"/>
                <w:rtl/>
              </w:rPr>
              <w:t>בעניין:</w:t>
            </w:r>
          </w:p>
        </w:tc>
        <w:tc>
          <w:tcPr>
            <w:tcW w:w="4490" w:type="dxa"/>
            <w:tcBorders>
              <w:top w:val="nil"/>
              <w:left w:val="nil"/>
              <w:bottom w:val="nil"/>
              <w:right w:val="nil"/>
            </w:tcBorders>
            <w:shd w:val="clear" w:color="auto" w:fill="auto"/>
          </w:tcPr>
          <w:p w14:paraId="2D6CEE9C" w14:textId="77777777" w:rsidR="00C6274B" w:rsidRPr="00232899" w:rsidRDefault="00C6274B" w:rsidP="002F68A8">
            <w:pPr>
              <w:rPr>
                <w:rFonts w:cs="FrankRuehl"/>
                <w:b/>
                <w:bCs/>
                <w:sz w:val="30"/>
                <w:szCs w:val="30"/>
              </w:rPr>
            </w:pPr>
            <w:r w:rsidRPr="00232899">
              <w:rPr>
                <w:rFonts w:ascii="Arial" w:hAnsi="Arial" w:cs="FrankRuehl"/>
                <w:b/>
                <w:bCs/>
                <w:sz w:val="30"/>
                <w:szCs w:val="30"/>
                <w:rtl/>
              </w:rPr>
              <w:t>מדינת ישראל</w:t>
            </w:r>
          </w:p>
        </w:tc>
        <w:tc>
          <w:tcPr>
            <w:tcW w:w="3407" w:type="dxa"/>
            <w:tcBorders>
              <w:top w:val="nil"/>
              <w:left w:val="nil"/>
              <w:bottom w:val="nil"/>
              <w:right w:val="nil"/>
            </w:tcBorders>
            <w:shd w:val="clear" w:color="auto" w:fill="auto"/>
          </w:tcPr>
          <w:p w14:paraId="470AB47B" w14:textId="77777777" w:rsidR="00C6274B" w:rsidRPr="00232899" w:rsidRDefault="00C6274B" w:rsidP="00C6274B">
            <w:pPr>
              <w:jc w:val="both"/>
              <w:rPr>
                <w:rFonts w:ascii="Arial" w:hAnsi="Arial" w:cs="FrankRuehl"/>
                <w:b/>
                <w:bCs/>
                <w:sz w:val="30"/>
                <w:szCs w:val="30"/>
              </w:rPr>
            </w:pPr>
          </w:p>
        </w:tc>
      </w:tr>
      <w:bookmarkEnd w:id="2"/>
      <w:tr w:rsidR="00C6274B" w:rsidRPr="00232899" w14:paraId="4426C441" w14:textId="77777777" w:rsidTr="00C6274B">
        <w:trPr>
          <w:trHeight w:val="355"/>
          <w:jc w:val="center"/>
        </w:trPr>
        <w:tc>
          <w:tcPr>
            <w:tcW w:w="923" w:type="dxa"/>
            <w:tcBorders>
              <w:top w:val="nil"/>
              <w:left w:val="nil"/>
              <w:bottom w:val="nil"/>
              <w:right w:val="nil"/>
            </w:tcBorders>
            <w:shd w:val="clear" w:color="auto" w:fill="auto"/>
          </w:tcPr>
          <w:p w14:paraId="16DAC6F0" w14:textId="77777777" w:rsidR="00C6274B" w:rsidRPr="00232899" w:rsidRDefault="00C6274B" w:rsidP="00C6274B">
            <w:pPr>
              <w:jc w:val="both"/>
              <w:rPr>
                <w:rFonts w:ascii="Arial" w:hAnsi="Arial" w:cs="FrankRuehl"/>
                <w:sz w:val="30"/>
                <w:szCs w:val="30"/>
                <w:rtl/>
              </w:rPr>
            </w:pPr>
          </w:p>
        </w:tc>
        <w:tc>
          <w:tcPr>
            <w:tcW w:w="4490" w:type="dxa"/>
            <w:tcBorders>
              <w:top w:val="nil"/>
              <w:left w:val="nil"/>
              <w:bottom w:val="nil"/>
              <w:right w:val="nil"/>
            </w:tcBorders>
            <w:shd w:val="clear" w:color="auto" w:fill="auto"/>
          </w:tcPr>
          <w:p w14:paraId="620EA0E8" w14:textId="77777777" w:rsidR="00C6274B" w:rsidRPr="00232899" w:rsidRDefault="00C6274B" w:rsidP="00C6274B">
            <w:pPr>
              <w:jc w:val="both"/>
              <w:rPr>
                <w:rFonts w:cs="FrankRuehl"/>
                <w:b/>
                <w:bCs/>
                <w:sz w:val="30"/>
                <w:szCs w:val="30"/>
                <w:rtl/>
              </w:rPr>
            </w:pPr>
            <w:r w:rsidRPr="00232899">
              <w:rPr>
                <w:rFonts w:cs="FrankRuehl" w:hint="cs"/>
                <w:b/>
                <w:bCs/>
                <w:sz w:val="30"/>
                <w:szCs w:val="30"/>
                <w:rtl/>
              </w:rPr>
              <w:t>באמצעות פרקליטות מחוז ירושלים (פלילי),</w:t>
            </w:r>
          </w:p>
          <w:p w14:paraId="663FC0B4" w14:textId="77777777" w:rsidR="00C6274B" w:rsidRPr="00232899" w:rsidRDefault="00C6274B" w:rsidP="00C6274B">
            <w:pPr>
              <w:jc w:val="both"/>
              <w:rPr>
                <w:rFonts w:cs="FrankRuehl"/>
                <w:b/>
                <w:bCs/>
                <w:sz w:val="30"/>
                <w:szCs w:val="30"/>
                <w:rtl/>
              </w:rPr>
            </w:pPr>
            <w:r w:rsidRPr="00232899">
              <w:rPr>
                <w:rFonts w:cs="FrankRuehl" w:hint="cs"/>
                <w:b/>
                <w:bCs/>
                <w:sz w:val="30"/>
                <w:szCs w:val="30"/>
                <w:rtl/>
              </w:rPr>
              <w:t>ע"י עו"ד מיכל בלומנטל</w:t>
            </w:r>
          </w:p>
        </w:tc>
        <w:tc>
          <w:tcPr>
            <w:tcW w:w="3407" w:type="dxa"/>
            <w:tcBorders>
              <w:top w:val="nil"/>
              <w:left w:val="nil"/>
              <w:bottom w:val="nil"/>
              <w:right w:val="nil"/>
            </w:tcBorders>
            <w:shd w:val="clear" w:color="auto" w:fill="auto"/>
          </w:tcPr>
          <w:p w14:paraId="36D0A86F" w14:textId="77777777" w:rsidR="00C6274B" w:rsidRPr="00232899" w:rsidRDefault="00C6274B" w:rsidP="00C6274B">
            <w:pPr>
              <w:jc w:val="right"/>
              <w:rPr>
                <w:rFonts w:ascii="Arial" w:hAnsi="Arial" w:cs="FrankRuehl"/>
                <w:b/>
                <w:bCs/>
                <w:sz w:val="30"/>
                <w:szCs w:val="30"/>
                <w:rtl/>
              </w:rPr>
            </w:pPr>
          </w:p>
          <w:p w14:paraId="7DDA8B81" w14:textId="77777777" w:rsidR="00C6274B" w:rsidRPr="00232899" w:rsidRDefault="00C6274B" w:rsidP="00C6274B">
            <w:pPr>
              <w:jc w:val="right"/>
              <w:rPr>
                <w:rFonts w:ascii="Arial" w:hAnsi="Arial" w:cs="FrankRuehl"/>
                <w:b/>
                <w:bCs/>
                <w:sz w:val="30"/>
                <w:szCs w:val="30"/>
                <w:rtl/>
              </w:rPr>
            </w:pPr>
            <w:r w:rsidRPr="00232899">
              <w:rPr>
                <w:rFonts w:ascii="Arial" w:hAnsi="Arial" w:cs="FrankRuehl" w:hint="cs"/>
                <w:b/>
                <w:bCs/>
                <w:sz w:val="30"/>
                <w:szCs w:val="30"/>
                <w:rtl/>
              </w:rPr>
              <w:t>ה</w:t>
            </w:r>
            <w:r w:rsidRPr="00232899">
              <w:rPr>
                <w:rFonts w:ascii="Arial" w:hAnsi="Arial" w:cs="FrankRuehl"/>
                <w:b/>
                <w:bCs/>
                <w:sz w:val="30"/>
                <w:szCs w:val="30"/>
                <w:rtl/>
              </w:rPr>
              <w:t>מאשימה</w:t>
            </w:r>
          </w:p>
        </w:tc>
      </w:tr>
      <w:tr w:rsidR="00C6274B" w:rsidRPr="00232899" w14:paraId="414F9F7C" w14:textId="77777777" w:rsidTr="00C6274B">
        <w:trPr>
          <w:trHeight w:val="355"/>
          <w:jc w:val="center"/>
        </w:trPr>
        <w:tc>
          <w:tcPr>
            <w:tcW w:w="923" w:type="dxa"/>
            <w:tcBorders>
              <w:top w:val="nil"/>
              <w:left w:val="nil"/>
              <w:bottom w:val="nil"/>
              <w:right w:val="nil"/>
            </w:tcBorders>
            <w:shd w:val="clear" w:color="auto" w:fill="auto"/>
          </w:tcPr>
          <w:p w14:paraId="1E43DD23" w14:textId="77777777" w:rsidR="00C6274B" w:rsidRPr="00232899" w:rsidRDefault="00C6274B" w:rsidP="00C6274B">
            <w:pPr>
              <w:jc w:val="both"/>
              <w:rPr>
                <w:rFonts w:ascii="Arial" w:hAnsi="Arial" w:cs="FrankRuehl"/>
                <w:sz w:val="30"/>
                <w:szCs w:val="30"/>
                <w:rtl/>
              </w:rPr>
            </w:pPr>
          </w:p>
        </w:tc>
        <w:tc>
          <w:tcPr>
            <w:tcW w:w="7897" w:type="dxa"/>
            <w:gridSpan w:val="2"/>
            <w:tcBorders>
              <w:top w:val="nil"/>
              <w:left w:val="nil"/>
              <w:bottom w:val="nil"/>
              <w:right w:val="nil"/>
            </w:tcBorders>
            <w:shd w:val="clear" w:color="auto" w:fill="auto"/>
          </w:tcPr>
          <w:p w14:paraId="2C87544B" w14:textId="77777777" w:rsidR="00C6274B" w:rsidRPr="00232899" w:rsidRDefault="00C6274B" w:rsidP="00C6274B">
            <w:pPr>
              <w:jc w:val="center"/>
              <w:rPr>
                <w:rFonts w:ascii="Arial" w:hAnsi="Arial" w:cs="FrankRuehl"/>
                <w:b/>
                <w:bCs/>
                <w:sz w:val="30"/>
                <w:szCs w:val="30"/>
                <w:rtl/>
              </w:rPr>
            </w:pPr>
          </w:p>
          <w:p w14:paraId="5EB98D26" w14:textId="77777777" w:rsidR="00C6274B" w:rsidRPr="00232899" w:rsidRDefault="00C6274B" w:rsidP="00C6274B">
            <w:pPr>
              <w:jc w:val="center"/>
              <w:rPr>
                <w:rFonts w:ascii="Arial" w:hAnsi="Arial" w:cs="FrankRuehl"/>
                <w:b/>
                <w:bCs/>
                <w:sz w:val="30"/>
                <w:szCs w:val="30"/>
                <w:rtl/>
              </w:rPr>
            </w:pPr>
            <w:r w:rsidRPr="00232899">
              <w:rPr>
                <w:rFonts w:ascii="Arial" w:hAnsi="Arial" w:cs="FrankRuehl"/>
                <w:b/>
                <w:bCs/>
                <w:sz w:val="30"/>
                <w:szCs w:val="30"/>
                <w:rtl/>
              </w:rPr>
              <w:t>נגד</w:t>
            </w:r>
          </w:p>
          <w:p w14:paraId="0F68C4B9" w14:textId="77777777" w:rsidR="00C6274B" w:rsidRPr="00232899" w:rsidRDefault="00C6274B" w:rsidP="00C6274B">
            <w:pPr>
              <w:jc w:val="both"/>
              <w:rPr>
                <w:rFonts w:ascii="Arial" w:hAnsi="Arial" w:cs="FrankRuehl"/>
                <w:sz w:val="30"/>
                <w:szCs w:val="30"/>
              </w:rPr>
            </w:pPr>
          </w:p>
        </w:tc>
      </w:tr>
      <w:tr w:rsidR="00C6274B" w:rsidRPr="00232899" w14:paraId="6DA20C83" w14:textId="77777777" w:rsidTr="00C6274B">
        <w:trPr>
          <w:trHeight w:val="355"/>
          <w:jc w:val="center"/>
        </w:trPr>
        <w:tc>
          <w:tcPr>
            <w:tcW w:w="923" w:type="dxa"/>
            <w:tcBorders>
              <w:top w:val="nil"/>
              <w:left w:val="nil"/>
              <w:bottom w:val="nil"/>
              <w:right w:val="nil"/>
            </w:tcBorders>
            <w:shd w:val="clear" w:color="auto" w:fill="auto"/>
          </w:tcPr>
          <w:p w14:paraId="26A62D51" w14:textId="77777777" w:rsidR="00C6274B" w:rsidRPr="00232899" w:rsidRDefault="00C6274B" w:rsidP="002F68A8">
            <w:pPr>
              <w:rPr>
                <w:rFonts w:ascii="Arial" w:hAnsi="Arial" w:cs="FrankRuehl"/>
                <w:sz w:val="30"/>
                <w:szCs w:val="30"/>
                <w:rtl/>
              </w:rPr>
            </w:pPr>
          </w:p>
        </w:tc>
        <w:tc>
          <w:tcPr>
            <w:tcW w:w="4490" w:type="dxa"/>
            <w:tcBorders>
              <w:top w:val="nil"/>
              <w:left w:val="nil"/>
              <w:bottom w:val="nil"/>
              <w:right w:val="nil"/>
            </w:tcBorders>
            <w:shd w:val="clear" w:color="auto" w:fill="auto"/>
          </w:tcPr>
          <w:p w14:paraId="50254B06" w14:textId="77777777" w:rsidR="00C6274B" w:rsidRPr="00232899" w:rsidRDefault="00C6274B" w:rsidP="002F68A8">
            <w:pPr>
              <w:rPr>
                <w:rFonts w:cs="FrankRuehl"/>
                <w:sz w:val="30"/>
                <w:szCs w:val="30"/>
                <w:rtl/>
              </w:rPr>
            </w:pPr>
            <w:r w:rsidRPr="00232899">
              <w:rPr>
                <w:rFonts w:ascii="Arial" w:hAnsi="Arial" w:cs="FrankRuehl"/>
                <w:b/>
                <w:bCs/>
                <w:sz w:val="30"/>
                <w:szCs w:val="30"/>
                <w:rtl/>
              </w:rPr>
              <w:t>אלירן וזנה</w:t>
            </w:r>
            <w:r w:rsidRPr="00232899">
              <w:rPr>
                <w:rFonts w:ascii="Arial" w:hAnsi="Arial" w:cs="FrankRuehl"/>
                <w:b/>
                <w:bCs/>
                <w:sz w:val="30"/>
                <w:szCs w:val="30"/>
                <w:rtl/>
              </w:rPr>
              <w:br/>
            </w:r>
            <w:r w:rsidRPr="00232899">
              <w:rPr>
                <w:rFonts w:cs="FrankRuehl" w:hint="cs"/>
                <w:b/>
                <w:bCs/>
                <w:sz w:val="30"/>
                <w:szCs w:val="30"/>
                <w:rtl/>
              </w:rPr>
              <w:t>ע"י ב"כ עו"ד שאול עזרא</w:t>
            </w:r>
          </w:p>
        </w:tc>
        <w:tc>
          <w:tcPr>
            <w:tcW w:w="3407" w:type="dxa"/>
            <w:tcBorders>
              <w:top w:val="nil"/>
              <w:left w:val="nil"/>
              <w:bottom w:val="nil"/>
              <w:right w:val="nil"/>
            </w:tcBorders>
            <w:shd w:val="clear" w:color="auto" w:fill="auto"/>
          </w:tcPr>
          <w:p w14:paraId="41BC13C6" w14:textId="77777777" w:rsidR="00C6274B" w:rsidRPr="00232899" w:rsidRDefault="00C6274B" w:rsidP="00C6274B">
            <w:pPr>
              <w:jc w:val="right"/>
              <w:rPr>
                <w:rFonts w:ascii="Arial" w:hAnsi="Arial" w:cs="FrankRuehl"/>
                <w:sz w:val="30"/>
                <w:szCs w:val="30"/>
                <w:rtl/>
              </w:rPr>
            </w:pPr>
          </w:p>
          <w:p w14:paraId="674F70AA" w14:textId="77777777" w:rsidR="00C6274B" w:rsidRPr="00232899" w:rsidRDefault="00C6274B" w:rsidP="00C6274B">
            <w:pPr>
              <w:jc w:val="center"/>
              <w:rPr>
                <w:rFonts w:ascii="Arial" w:hAnsi="Arial" w:cs="FrankRuehl"/>
                <w:sz w:val="30"/>
                <w:szCs w:val="30"/>
              </w:rPr>
            </w:pPr>
          </w:p>
        </w:tc>
      </w:tr>
      <w:tr w:rsidR="00C6274B" w:rsidRPr="00232899" w14:paraId="6BB9345A" w14:textId="77777777" w:rsidTr="00C6274B">
        <w:trPr>
          <w:trHeight w:val="355"/>
          <w:jc w:val="center"/>
        </w:trPr>
        <w:tc>
          <w:tcPr>
            <w:tcW w:w="923" w:type="dxa"/>
            <w:tcBorders>
              <w:top w:val="nil"/>
              <w:left w:val="nil"/>
              <w:bottom w:val="nil"/>
              <w:right w:val="nil"/>
            </w:tcBorders>
            <w:shd w:val="clear" w:color="auto" w:fill="auto"/>
          </w:tcPr>
          <w:p w14:paraId="7CC6E6DC" w14:textId="77777777" w:rsidR="00C6274B" w:rsidRPr="00232899" w:rsidRDefault="00C6274B" w:rsidP="00C6274B">
            <w:pPr>
              <w:jc w:val="both"/>
              <w:rPr>
                <w:rFonts w:ascii="Arial" w:hAnsi="Arial" w:cs="FrankRuehl"/>
                <w:sz w:val="30"/>
                <w:szCs w:val="30"/>
                <w:rtl/>
              </w:rPr>
            </w:pPr>
          </w:p>
        </w:tc>
        <w:tc>
          <w:tcPr>
            <w:tcW w:w="4490" w:type="dxa"/>
            <w:tcBorders>
              <w:top w:val="nil"/>
              <w:left w:val="nil"/>
              <w:bottom w:val="nil"/>
              <w:right w:val="nil"/>
            </w:tcBorders>
            <w:shd w:val="clear" w:color="auto" w:fill="auto"/>
          </w:tcPr>
          <w:p w14:paraId="75938E10" w14:textId="77777777" w:rsidR="00C6274B" w:rsidRPr="00232899" w:rsidRDefault="00C6274B" w:rsidP="00C6274B">
            <w:pPr>
              <w:jc w:val="both"/>
              <w:rPr>
                <w:rFonts w:cs="FrankRuehl"/>
                <w:sz w:val="30"/>
                <w:szCs w:val="30"/>
                <w:rtl/>
              </w:rPr>
            </w:pPr>
          </w:p>
        </w:tc>
        <w:tc>
          <w:tcPr>
            <w:tcW w:w="3407" w:type="dxa"/>
            <w:tcBorders>
              <w:top w:val="nil"/>
              <w:left w:val="nil"/>
              <w:bottom w:val="nil"/>
              <w:right w:val="nil"/>
            </w:tcBorders>
            <w:shd w:val="clear" w:color="auto" w:fill="auto"/>
          </w:tcPr>
          <w:p w14:paraId="38BDFDAA" w14:textId="77777777" w:rsidR="00C6274B" w:rsidRPr="00232899" w:rsidRDefault="00C6274B" w:rsidP="00C6274B">
            <w:pPr>
              <w:jc w:val="right"/>
              <w:rPr>
                <w:rFonts w:ascii="Arial" w:hAnsi="Arial" w:cs="FrankRuehl"/>
                <w:b/>
                <w:bCs/>
                <w:sz w:val="30"/>
                <w:szCs w:val="30"/>
              </w:rPr>
            </w:pPr>
            <w:r w:rsidRPr="00232899">
              <w:rPr>
                <w:rFonts w:ascii="Arial" w:hAnsi="Arial" w:cs="FrankRuehl" w:hint="cs"/>
                <w:b/>
                <w:bCs/>
                <w:sz w:val="30"/>
                <w:szCs w:val="30"/>
                <w:rtl/>
              </w:rPr>
              <w:t>ה</w:t>
            </w:r>
            <w:r w:rsidRPr="00232899">
              <w:rPr>
                <w:rFonts w:ascii="Arial" w:hAnsi="Arial" w:cs="FrankRuehl"/>
                <w:b/>
                <w:bCs/>
                <w:sz w:val="30"/>
                <w:szCs w:val="30"/>
                <w:rtl/>
              </w:rPr>
              <w:t>נאשם</w:t>
            </w:r>
          </w:p>
        </w:tc>
      </w:tr>
    </w:tbl>
    <w:p w14:paraId="3B1A597B" w14:textId="77777777" w:rsidR="00C6274B" w:rsidRPr="00232899" w:rsidRDefault="00C6274B" w:rsidP="00C6274B">
      <w:pPr>
        <w:rPr>
          <w:rFonts w:cs="FrankRuehl"/>
          <w:sz w:val="30"/>
          <w:szCs w:val="30"/>
          <w:rtl/>
        </w:rPr>
      </w:pPr>
    </w:p>
    <w:p w14:paraId="7CE79607" w14:textId="77777777" w:rsidR="00A05A7D" w:rsidRDefault="00A05A7D" w:rsidP="00C6274B">
      <w:pPr>
        <w:rPr>
          <w:rFonts w:cs="FrankRuehl"/>
          <w:sz w:val="30"/>
          <w:szCs w:val="30"/>
          <w:rtl/>
        </w:rPr>
      </w:pPr>
      <w:bookmarkStart w:id="3" w:name="LawTable"/>
      <w:bookmarkEnd w:id="3"/>
    </w:p>
    <w:p w14:paraId="5B737C48" w14:textId="77777777" w:rsidR="00A05A7D" w:rsidRPr="00A05A7D" w:rsidRDefault="00A05A7D" w:rsidP="00A05A7D">
      <w:pPr>
        <w:spacing w:after="120" w:line="240" w:lineRule="exact"/>
        <w:ind w:left="283" w:hanging="283"/>
        <w:jc w:val="both"/>
        <w:rPr>
          <w:rFonts w:ascii="FrankRuehl" w:hAnsi="FrankRuehl" w:cs="FrankRuehl"/>
          <w:rtl/>
        </w:rPr>
      </w:pPr>
    </w:p>
    <w:p w14:paraId="7873CC2A" w14:textId="77777777" w:rsidR="00A05A7D" w:rsidRPr="00A05A7D" w:rsidRDefault="00A05A7D" w:rsidP="00A05A7D">
      <w:pPr>
        <w:spacing w:after="120" w:line="240" w:lineRule="exact"/>
        <w:ind w:left="283" w:hanging="283"/>
        <w:jc w:val="both"/>
        <w:rPr>
          <w:rFonts w:ascii="FrankRuehl" w:hAnsi="FrankRuehl" w:cs="FrankRuehl"/>
          <w:rtl/>
        </w:rPr>
      </w:pPr>
      <w:r w:rsidRPr="00A05A7D">
        <w:rPr>
          <w:rFonts w:ascii="FrankRuehl" w:hAnsi="FrankRuehl" w:cs="FrankRuehl"/>
          <w:rtl/>
        </w:rPr>
        <w:t xml:space="preserve">חקיקה שאוזכרה: </w:t>
      </w:r>
    </w:p>
    <w:p w14:paraId="0D6C6AAF" w14:textId="77777777" w:rsidR="00A05A7D" w:rsidRPr="00A05A7D" w:rsidRDefault="00A05A7D" w:rsidP="00A05A7D">
      <w:pPr>
        <w:spacing w:after="120" w:line="240" w:lineRule="exact"/>
        <w:ind w:left="283" w:hanging="283"/>
        <w:jc w:val="both"/>
        <w:rPr>
          <w:rFonts w:ascii="FrankRuehl" w:hAnsi="FrankRuehl" w:cs="FrankRuehl"/>
          <w:rtl/>
        </w:rPr>
      </w:pPr>
      <w:hyperlink r:id="rId7" w:history="1">
        <w:r w:rsidRPr="00A05A7D">
          <w:rPr>
            <w:rFonts w:ascii="FrankRuehl" w:hAnsi="FrankRuehl" w:cs="FrankRuehl"/>
            <w:color w:val="0000FF"/>
            <w:u w:val="single"/>
            <w:rtl/>
          </w:rPr>
          <w:t>חוק העונשין, תשל"ז-1977</w:t>
        </w:r>
      </w:hyperlink>
      <w:r w:rsidRPr="00A05A7D">
        <w:rPr>
          <w:rFonts w:ascii="FrankRuehl" w:hAnsi="FrankRuehl" w:cs="FrankRuehl"/>
          <w:rtl/>
        </w:rPr>
        <w:t xml:space="preserve">: סע'  </w:t>
      </w:r>
      <w:hyperlink r:id="rId8" w:history="1">
        <w:r w:rsidRPr="00A05A7D">
          <w:rPr>
            <w:rFonts w:ascii="FrankRuehl" w:hAnsi="FrankRuehl" w:cs="FrankRuehl"/>
            <w:color w:val="0000FF"/>
            <w:u w:val="single"/>
            <w:rtl/>
          </w:rPr>
          <w:t>144.א</w:t>
        </w:r>
      </w:hyperlink>
      <w:r w:rsidRPr="00A05A7D">
        <w:rPr>
          <w:rFonts w:ascii="FrankRuehl" w:hAnsi="FrankRuehl" w:cs="FrankRuehl"/>
          <w:rtl/>
        </w:rPr>
        <w:t xml:space="preserve">, </w:t>
      </w:r>
      <w:hyperlink r:id="rId9" w:history="1">
        <w:r w:rsidRPr="00A05A7D">
          <w:rPr>
            <w:rFonts w:ascii="FrankRuehl" w:hAnsi="FrankRuehl" w:cs="FrankRuehl"/>
            <w:color w:val="0000FF"/>
            <w:u w:val="single"/>
            <w:rtl/>
          </w:rPr>
          <w:t>380</w:t>
        </w:r>
      </w:hyperlink>
      <w:r w:rsidRPr="00A05A7D">
        <w:rPr>
          <w:rFonts w:ascii="FrankRuehl" w:hAnsi="FrankRuehl" w:cs="FrankRuehl"/>
          <w:rtl/>
        </w:rPr>
        <w:t xml:space="preserve">, </w:t>
      </w:r>
      <w:hyperlink r:id="rId10" w:history="1">
        <w:r w:rsidRPr="00A05A7D">
          <w:rPr>
            <w:rFonts w:ascii="FrankRuehl" w:hAnsi="FrankRuehl" w:cs="FrankRuehl"/>
            <w:color w:val="0000FF"/>
            <w:u w:val="single"/>
            <w:rtl/>
          </w:rPr>
          <w:t>382</w:t>
        </w:r>
      </w:hyperlink>
      <w:r w:rsidRPr="00A05A7D">
        <w:rPr>
          <w:rFonts w:ascii="FrankRuehl" w:hAnsi="FrankRuehl" w:cs="FrankRuehl"/>
          <w:rtl/>
        </w:rPr>
        <w:t xml:space="preserve">, </w:t>
      </w:r>
      <w:hyperlink r:id="rId11" w:history="1">
        <w:r w:rsidRPr="00A05A7D">
          <w:rPr>
            <w:rFonts w:ascii="FrankRuehl" w:hAnsi="FrankRuehl" w:cs="FrankRuehl"/>
            <w:color w:val="0000FF"/>
            <w:u w:val="single"/>
            <w:rtl/>
          </w:rPr>
          <w:t>413ה'</w:t>
        </w:r>
      </w:hyperlink>
    </w:p>
    <w:p w14:paraId="13458622" w14:textId="77777777" w:rsidR="00A05A7D" w:rsidRPr="00A05A7D" w:rsidRDefault="00A05A7D" w:rsidP="00A05A7D">
      <w:pPr>
        <w:spacing w:after="120" w:line="240" w:lineRule="exact"/>
        <w:ind w:left="283" w:hanging="283"/>
        <w:jc w:val="both"/>
        <w:rPr>
          <w:rFonts w:ascii="FrankRuehl" w:hAnsi="FrankRuehl" w:cs="FrankRuehl"/>
          <w:rtl/>
        </w:rPr>
      </w:pPr>
    </w:p>
    <w:p w14:paraId="6D376F8F" w14:textId="77777777" w:rsidR="00232899" w:rsidRPr="00232899" w:rsidRDefault="00232899" w:rsidP="00232899">
      <w:pPr>
        <w:rPr>
          <w:rFonts w:ascii="Arial" w:hAnsi="Arial" w:cs="FrankRuehl"/>
          <w:sz w:val="28"/>
          <w:szCs w:val="28"/>
          <w:rtl/>
        </w:rPr>
      </w:pPr>
      <w:bookmarkStart w:id="4" w:name="LawTable_End"/>
      <w:bookmarkEnd w:id="4"/>
    </w:p>
    <w:p w14:paraId="02BFBD69" w14:textId="77777777" w:rsidR="00C6274B" w:rsidRPr="00232899" w:rsidRDefault="00C6274B" w:rsidP="00C6274B">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6274B" w:rsidRPr="00152D0F" w14:paraId="0356501F" w14:textId="77777777" w:rsidTr="00C6274B">
        <w:trPr>
          <w:trHeight w:val="355"/>
          <w:jc w:val="center"/>
        </w:trPr>
        <w:tc>
          <w:tcPr>
            <w:tcW w:w="8820" w:type="dxa"/>
            <w:tcBorders>
              <w:top w:val="nil"/>
              <w:left w:val="nil"/>
              <w:bottom w:val="nil"/>
              <w:right w:val="nil"/>
            </w:tcBorders>
            <w:shd w:val="clear" w:color="auto" w:fill="auto"/>
          </w:tcPr>
          <w:p w14:paraId="10D20D62" w14:textId="77777777" w:rsidR="00232899" w:rsidRPr="00232899" w:rsidRDefault="00232899" w:rsidP="00232899">
            <w:pPr>
              <w:jc w:val="center"/>
              <w:rPr>
                <w:rFonts w:ascii="Arial" w:hAnsi="Arial" w:cs="FrankRuehl"/>
                <w:b/>
                <w:bCs/>
                <w:sz w:val="36"/>
                <w:szCs w:val="36"/>
                <w:u w:val="single"/>
                <w:rtl/>
              </w:rPr>
            </w:pPr>
            <w:bookmarkStart w:id="5" w:name="PsakDin" w:colFirst="0" w:colLast="0"/>
            <w:bookmarkEnd w:id="0"/>
            <w:bookmarkEnd w:id="1"/>
            <w:r w:rsidRPr="00232899">
              <w:rPr>
                <w:rFonts w:ascii="Arial" w:hAnsi="Arial" w:cs="FrankRuehl"/>
                <w:b/>
                <w:bCs/>
                <w:sz w:val="36"/>
                <w:szCs w:val="36"/>
                <w:u w:val="single"/>
                <w:rtl/>
              </w:rPr>
              <w:t>גזר דין</w:t>
            </w:r>
          </w:p>
          <w:p w14:paraId="655830D5" w14:textId="77777777" w:rsidR="00C6274B" w:rsidRPr="00232899" w:rsidRDefault="00C6274B" w:rsidP="00232899">
            <w:pPr>
              <w:jc w:val="center"/>
              <w:rPr>
                <w:rFonts w:ascii="Arial" w:hAnsi="Arial" w:cs="FrankRuehl"/>
                <w:bCs/>
                <w:sz w:val="36"/>
                <w:szCs w:val="36"/>
                <w:u w:val="single"/>
                <w:rtl/>
              </w:rPr>
            </w:pPr>
          </w:p>
        </w:tc>
      </w:tr>
      <w:bookmarkEnd w:id="5"/>
    </w:tbl>
    <w:p w14:paraId="214C6897" w14:textId="77777777" w:rsidR="00C6274B" w:rsidRPr="00152D0F" w:rsidRDefault="00C6274B" w:rsidP="00C6274B">
      <w:pPr>
        <w:rPr>
          <w:rFonts w:ascii="Arial" w:hAnsi="Arial" w:cs="FrankRuehl"/>
          <w:sz w:val="28"/>
          <w:szCs w:val="28"/>
          <w:rtl/>
        </w:rPr>
      </w:pPr>
    </w:p>
    <w:p w14:paraId="0B552C98" w14:textId="77777777" w:rsidR="00C6274B" w:rsidRPr="00152D0F" w:rsidRDefault="00C6274B" w:rsidP="00C6274B">
      <w:pPr>
        <w:rPr>
          <w:rFonts w:ascii="Arial" w:hAnsi="Arial" w:cs="FrankRuehl"/>
          <w:sz w:val="28"/>
          <w:szCs w:val="28"/>
          <w:rtl/>
        </w:rPr>
      </w:pPr>
    </w:p>
    <w:p w14:paraId="5D9C7E7C" w14:textId="77777777" w:rsidR="00C6274B" w:rsidRPr="00152D0F" w:rsidRDefault="00C6274B" w:rsidP="00C6274B">
      <w:pPr>
        <w:rPr>
          <w:rFonts w:ascii="Arial" w:hAnsi="Arial" w:cs="FrankRuehl"/>
          <w:sz w:val="28"/>
          <w:szCs w:val="28"/>
          <w:rtl/>
        </w:rPr>
      </w:pPr>
    </w:p>
    <w:p w14:paraId="57AD4EE3" w14:textId="77777777" w:rsidR="00C6274B" w:rsidRPr="00462C5D" w:rsidRDefault="00C6274B" w:rsidP="00C6274B">
      <w:pPr>
        <w:spacing w:line="360" w:lineRule="auto"/>
        <w:rPr>
          <w:rFonts w:ascii="Arial" w:hAnsi="Arial" w:cs="FrankRuehl"/>
          <w:b/>
          <w:bCs/>
          <w:sz w:val="28"/>
          <w:szCs w:val="28"/>
          <w:u w:val="single"/>
          <w:rtl/>
        </w:rPr>
      </w:pPr>
      <w:r w:rsidRPr="00462C5D">
        <w:rPr>
          <w:rFonts w:ascii="Arial" w:hAnsi="Arial" w:cs="FrankRuehl" w:hint="cs"/>
          <w:b/>
          <w:bCs/>
          <w:sz w:val="28"/>
          <w:szCs w:val="28"/>
          <w:u w:val="single"/>
          <w:rtl/>
        </w:rPr>
        <w:t>הכרעת הדין</w:t>
      </w:r>
    </w:p>
    <w:p w14:paraId="2EB82D43" w14:textId="77777777" w:rsidR="00C6274B" w:rsidRPr="00152D0F" w:rsidRDefault="00C6274B" w:rsidP="00C6274B">
      <w:pPr>
        <w:spacing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6" w:name="ABSTRACT_START"/>
      <w:bookmarkEnd w:id="6"/>
      <w:r w:rsidRPr="00152D0F">
        <w:rPr>
          <w:rFonts w:ascii="Arial" w:hAnsi="Arial" w:cs="FrankRuehl" w:hint="cs"/>
          <w:sz w:val="28"/>
          <w:szCs w:val="28"/>
          <w:rtl/>
        </w:rPr>
        <w:t xml:space="preserve">הנאשם הורשע על פי הודאתו, שניתנה במסגרת הסדר טיעון, בעבירה של תקיפה הגורמת חבלה של ממש ממניע גזעני, עבירה לפי סעיפים </w:t>
      </w:r>
      <w:hyperlink r:id="rId12" w:history="1">
        <w:r w:rsidR="00A05A7D" w:rsidRPr="00A05A7D">
          <w:rPr>
            <w:rFonts w:ascii="Arial" w:hAnsi="Arial" w:cs="FrankRuehl"/>
            <w:color w:val="0000FF"/>
            <w:sz w:val="28"/>
            <w:szCs w:val="28"/>
            <w:u w:val="single"/>
            <w:rtl/>
          </w:rPr>
          <w:t>380 ו-144ו(א)</w:t>
        </w:r>
      </w:hyperlink>
      <w:r w:rsidRPr="00152D0F">
        <w:rPr>
          <w:rFonts w:ascii="Arial" w:hAnsi="Arial" w:cs="FrankRuehl" w:hint="cs"/>
          <w:sz w:val="28"/>
          <w:szCs w:val="28"/>
          <w:rtl/>
        </w:rPr>
        <w:t xml:space="preserve"> ל</w:t>
      </w:r>
      <w:hyperlink r:id="rId13" w:history="1">
        <w:r w:rsidR="00232899" w:rsidRPr="00232899">
          <w:rPr>
            <w:rFonts w:ascii="Arial" w:hAnsi="Arial" w:cs="FrankRuehl"/>
            <w:color w:val="0000FF"/>
            <w:sz w:val="28"/>
            <w:szCs w:val="28"/>
            <w:u w:val="single"/>
            <w:rtl/>
          </w:rPr>
          <w:t>חוק העונשין</w:t>
        </w:r>
      </w:hyperlink>
      <w:r w:rsidRPr="00152D0F">
        <w:rPr>
          <w:rFonts w:ascii="Arial" w:hAnsi="Arial" w:cs="FrankRuehl" w:hint="cs"/>
          <w:sz w:val="28"/>
          <w:szCs w:val="28"/>
          <w:rtl/>
        </w:rPr>
        <w:t xml:space="preserve">, התשל"ז-1977 </w:t>
      </w:r>
      <w:r>
        <w:rPr>
          <w:rFonts w:ascii="Arial" w:hAnsi="Arial" w:cs="FrankRuehl" w:hint="cs"/>
          <w:sz w:val="28"/>
          <w:szCs w:val="28"/>
          <w:rtl/>
        </w:rPr>
        <w:t>(</w:t>
      </w:r>
      <w:r w:rsidRPr="00152D0F">
        <w:rPr>
          <w:rFonts w:ascii="Arial" w:hAnsi="Arial" w:cs="FrankRuehl" w:hint="cs"/>
          <w:sz w:val="28"/>
          <w:szCs w:val="28"/>
          <w:rtl/>
        </w:rPr>
        <w:t xml:space="preserve">להלן: "החוק"), ובעבירה של חבלה במזיד לרכב, עבירה לפי </w:t>
      </w:r>
      <w:hyperlink r:id="rId14" w:history="1">
        <w:r w:rsidR="00A05A7D" w:rsidRPr="00A05A7D">
          <w:rPr>
            <w:rFonts w:ascii="Arial" w:hAnsi="Arial" w:cs="FrankRuehl"/>
            <w:color w:val="0000FF"/>
            <w:sz w:val="28"/>
            <w:szCs w:val="28"/>
            <w:u w:val="single"/>
            <w:rtl/>
          </w:rPr>
          <w:t>סעיף 413ה'</w:t>
        </w:r>
      </w:hyperlink>
      <w:r w:rsidRPr="00152D0F">
        <w:rPr>
          <w:rFonts w:ascii="Arial" w:hAnsi="Arial" w:cs="FrankRuehl" w:hint="cs"/>
          <w:sz w:val="28"/>
          <w:szCs w:val="28"/>
          <w:rtl/>
        </w:rPr>
        <w:t xml:space="preserve"> לחוק.</w:t>
      </w:r>
    </w:p>
    <w:p w14:paraId="6AAD322A" w14:textId="77777777" w:rsidR="00C6274B" w:rsidRPr="00152D0F" w:rsidRDefault="00C6274B" w:rsidP="00C6274B">
      <w:pPr>
        <w:spacing w:line="360" w:lineRule="auto"/>
        <w:jc w:val="both"/>
        <w:rPr>
          <w:rFonts w:ascii="Arial" w:hAnsi="Arial" w:cs="FrankRuehl"/>
          <w:sz w:val="28"/>
          <w:szCs w:val="28"/>
          <w:rtl/>
        </w:rPr>
      </w:pPr>
    </w:p>
    <w:p w14:paraId="116A5266" w14:textId="77777777" w:rsidR="00C6274B" w:rsidRPr="00152D0F" w:rsidRDefault="00C6274B" w:rsidP="00C6274B">
      <w:pPr>
        <w:spacing w:line="360" w:lineRule="auto"/>
        <w:jc w:val="both"/>
        <w:rPr>
          <w:rFonts w:ascii="Arial" w:hAnsi="Arial" w:cs="FrankRuehl"/>
          <w:sz w:val="28"/>
          <w:szCs w:val="28"/>
          <w:rtl/>
        </w:rPr>
      </w:pPr>
      <w:bookmarkStart w:id="7" w:name="ABSTRACT_END"/>
      <w:bookmarkEnd w:id="7"/>
      <w:r>
        <w:rPr>
          <w:rFonts w:ascii="Arial" w:hAnsi="Arial" w:cs="FrankRuehl" w:hint="cs"/>
          <w:sz w:val="28"/>
          <w:szCs w:val="28"/>
          <w:rtl/>
        </w:rPr>
        <w:lastRenderedPageBreak/>
        <w:t>2.</w:t>
      </w:r>
      <w:r>
        <w:rPr>
          <w:rFonts w:ascii="Arial" w:hAnsi="Arial" w:cs="FrankRuehl" w:hint="cs"/>
          <w:sz w:val="28"/>
          <w:szCs w:val="28"/>
          <w:rtl/>
        </w:rPr>
        <w:tab/>
      </w:r>
      <w:r w:rsidRPr="00152D0F">
        <w:rPr>
          <w:rFonts w:ascii="Arial" w:hAnsi="Arial" w:cs="FrankRuehl" w:hint="cs"/>
          <w:sz w:val="28"/>
          <w:szCs w:val="28"/>
          <w:rtl/>
        </w:rPr>
        <w:t>לפי המתואר בכתב האישום, ביום 15.06.17 בסמוך לחצות הלילה, ישבו פ' (להלן: "המתלונן") שהינו ממוצא ערבי עם חברתו ב', שהינה ממוצא יהודי, סמוך לתחנת הדלק בצומת אורנים בירושלים. באותה עת, עבר במקום הנאשם ברכבו. אחותו של הנאשם מסרה לו כי היא מכירה את ב' וכי היא "יוצאת" עם בחור ערבי.</w:t>
      </w:r>
    </w:p>
    <w:p w14:paraId="36E7BE10" w14:textId="77777777" w:rsidR="00C6274B" w:rsidRPr="00152D0F" w:rsidRDefault="00C6274B" w:rsidP="00C6274B">
      <w:pPr>
        <w:spacing w:line="360" w:lineRule="auto"/>
        <w:jc w:val="both"/>
        <w:rPr>
          <w:rFonts w:ascii="Arial" w:hAnsi="Arial" w:cs="FrankRuehl"/>
          <w:sz w:val="28"/>
          <w:szCs w:val="28"/>
          <w:rtl/>
        </w:rPr>
      </w:pPr>
    </w:p>
    <w:p w14:paraId="73734FB0" w14:textId="77777777" w:rsidR="00C6274B" w:rsidRPr="00152D0F" w:rsidRDefault="00C6274B" w:rsidP="00C6274B">
      <w:pPr>
        <w:spacing w:line="360" w:lineRule="auto"/>
        <w:jc w:val="both"/>
        <w:rPr>
          <w:rFonts w:ascii="Arial" w:hAnsi="Arial" w:cs="FrankRuehl"/>
          <w:sz w:val="28"/>
          <w:szCs w:val="28"/>
          <w:rtl/>
        </w:rPr>
      </w:pPr>
      <w:r>
        <w:rPr>
          <w:rFonts w:ascii="Arial" w:hAnsi="Arial" w:cs="FrankRuehl" w:hint="cs"/>
          <w:sz w:val="28"/>
          <w:szCs w:val="28"/>
          <w:rtl/>
        </w:rPr>
        <w:t>3.</w:t>
      </w:r>
      <w:r>
        <w:rPr>
          <w:rFonts w:ascii="Arial" w:hAnsi="Arial" w:cs="FrankRuehl" w:hint="cs"/>
          <w:sz w:val="28"/>
          <w:szCs w:val="28"/>
          <w:rtl/>
        </w:rPr>
        <w:tab/>
      </w:r>
      <w:r w:rsidRPr="00152D0F">
        <w:rPr>
          <w:rFonts w:ascii="Arial" w:hAnsi="Arial" w:cs="FrankRuehl" w:hint="cs"/>
          <w:sz w:val="28"/>
          <w:szCs w:val="28"/>
          <w:rtl/>
        </w:rPr>
        <w:t>הנאשם יצא מהרכב ושאל את המתלונן האם הוא ערבי ואת ב' אם הינה יהודיה והאם יש קשר ביניהם. לאחר שהשניים השיבו בחיוב, הכה הנאשם את המתלונן בשני אגרופים בפניו וגרם לו לדימום באף.</w:t>
      </w:r>
    </w:p>
    <w:p w14:paraId="29C51803" w14:textId="77777777" w:rsidR="00C6274B" w:rsidRPr="00152D0F" w:rsidRDefault="00C6274B" w:rsidP="00C6274B">
      <w:pPr>
        <w:spacing w:line="360" w:lineRule="auto"/>
        <w:jc w:val="both"/>
        <w:rPr>
          <w:rFonts w:ascii="Arial" w:hAnsi="Arial" w:cs="FrankRuehl"/>
          <w:sz w:val="28"/>
          <w:szCs w:val="28"/>
          <w:rtl/>
        </w:rPr>
      </w:pPr>
    </w:p>
    <w:p w14:paraId="0936F559" w14:textId="77777777" w:rsidR="00C6274B" w:rsidRPr="00152D0F" w:rsidRDefault="00C6274B" w:rsidP="00C6274B">
      <w:pPr>
        <w:spacing w:line="360" w:lineRule="auto"/>
        <w:jc w:val="both"/>
        <w:rPr>
          <w:rFonts w:ascii="Arial" w:hAnsi="Arial" w:cs="FrankRuehl"/>
          <w:sz w:val="28"/>
          <w:szCs w:val="28"/>
          <w:rtl/>
        </w:rPr>
      </w:pPr>
      <w:r>
        <w:rPr>
          <w:rFonts w:ascii="Arial" w:hAnsi="Arial" w:cs="FrankRuehl" w:hint="cs"/>
          <w:sz w:val="28"/>
          <w:szCs w:val="28"/>
          <w:rtl/>
        </w:rPr>
        <w:t>4.</w:t>
      </w:r>
      <w:r>
        <w:rPr>
          <w:rFonts w:ascii="Arial" w:hAnsi="Arial" w:cs="FrankRuehl" w:hint="cs"/>
          <w:sz w:val="28"/>
          <w:szCs w:val="28"/>
          <w:rtl/>
        </w:rPr>
        <w:tab/>
      </w:r>
      <w:r w:rsidRPr="00152D0F">
        <w:rPr>
          <w:rFonts w:ascii="Arial" w:hAnsi="Arial" w:cs="FrankRuehl" w:hint="cs"/>
          <w:sz w:val="28"/>
          <w:szCs w:val="28"/>
          <w:rtl/>
        </w:rPr>
        <w:t>המתלונן ברח לתחנת הדלק הסמוכה והנאשם רדף אחריו כשדודו, חיים מזרחי, שהיה עמו ברכב, הצטרף אליו. בתחנת הדלק, זרק הנאשם מגב לעבר המתלונן ופגע בו. המתלונן אחז בידו מקל על מנת להגן על עצמו וברח מאחורי רכבו של עלאא אבו סארה, מתדלק בתחנה, שחנה במקום. מזרחי רדף אחר המתלונן ולקח את המקל מידו.</w:t>
      </w:r>
      <w:r>
        <w:rPr>
          <w:rFonts w:ascii="Arial" w:hAnsi="Arial" w:cs="FrankRuehl" w:hint="cs"/>
          <w:sz w:val="28"/>
          <w:szCs w:val="28"/>
          <w:rtl/>
        </w:rPr>
        <w:t xml:space="preserve"> בשלב זה, </w:t>
      </w:r>
      <w:r w:rsidRPr="00152D0F">
        <w:rPr>
          <w:rFonts w:ascii="Arial" w:hAnsi="Arial" w:cs="FrankRuehl" w:hint="cs"/>
          <w:sz w:val="28"/>
          <w:szCs w:val="28"/>
          <w:rtl/>
        </w:rPr>
        <w:t xml:space="preserve">עלה הנאשם על הרכב של עלאא על מנת להגיע אל המתלונן, לקח את המקל מידו של מזרחי והמשיך לרוץ אחר המתלונן כשהוא אוחז במקל. המתלונן נמלט מהמקום והנאשם לא השיגו. בעקבות מעשיו של הנאשם נגרם לרכבו של עלאא נזק למכסה המנוע ולגג הרכב בשווי של 3,276 ₪. </w:t>
      </w:r>
    </w:p>
    <w:p w14:paraId="1C6F0B09" w14:textId="77777777" w:rsidR="00C6274B" w:rsidRPr="00152D0F" w:rsidRDefault="00C6274B" w:rsidP="00C6274B">
      <w:pPr>
        <w:spacing w:line="360" w:lineRule="auto"/>
        <w:jc w:val="both"/>
        <w:rPr>
          <w:rFonts w:ascii="Arial" w:hAnsi="Arial" w:cs="FrankRuehl"/>
          <w:sz w:val="28"/>
          <w:szCs w:val="28"/>
          <w:rtl/>
        </w:rPr>
      </w:pPr>
      <w:r w:rsidRPr="00152D0F">
        <w:rPr>
          <w:rFonts w:ascii="Arial" w:hAnsi="Arial" w:cs="FrankRuehl" w:hint="cs"/>
          <w:sz w:val="28"/>
          <w:szCs w:val="28"/>
          <w:rtl/>
        </w:rPr>
        <w:t xml:space="preserve">    </w:t>
      </w:r>
    </w:p>
    <w:p w14:paraId="6B07187B" w14:textId="77777777" w:rsidR="00C6274B" w:rsidRPr="00912913" w:rsidRDefault="00C6274B" w:rsidP="00C6274B">
      <w:pPr>
        <w:spacing w:line="360" w:lineRule="auto"/>
        <w:jc w:val="both"/>
        <w:rPr>
          <w:rFonts w:ascii="Arial" w:hAnsi="Arial" w:cs="FrankRuehl"/>
          <w:b/>
          <w:bCs/>
          <w:sz w:val="28"/>
          <w:szCs w:val="28"/>
          <w:u w:val="single"/>
          <w:rtl/>
        </w:rPr>
      </w:pPr>
      <w:r w:rsidRPr="00912913">
        <w:rPr>
          <w:rFonts w:ascii="Arial" w:hAnsi="Arial" w:cs="FrankRuehl" w:hint="cs"/>
          <w:b/>
          <w:bCs/>
          <w:sz w:val="28"/>
          <w:szCs w:val="28"/>
          <w:u w:val="single"/>
          <w:rtl/>
        </w:rPr>
        <w:t>תסקירי שירות המבחן</w:t>
      </w:r>
    </w:p>
    <w:p w14:paraId="0A431A14" w14:textId="77777777" w:rsidR="00C6274B" w:rsidRPr="00152D0F" w:rsidRDefault="00C6274B" w:rsidP="00C6274B">
      <w:pPr>
        <w:spacing w:line="360" w:lineRule="auto"/>
        <w:jc w:val="both"/>
        <w:rPr>
          <w:rFonts w:ascii="Arial" w:hAnsi="Arial" w:cs="FrankRuehl"/>
          <w:sz w:val="28"/>
          <w:szCs w:val="28"/>
          <w:rtl/>
        </w:rPr>
      </w:pPr>
      <w:r>
        <w:rPr>
          <w:rFonts w:ascii="Arial" w:hAnsi="Arial" w:cs="FrankRuehl" w:hint="cs"/>
          <w:sz w:val="28"/>
          <w:szCs w:val="28"/>
          <w:rtl/>
        </w:rPr>
        <w:t>5.</w:t>
      </w:r>
      <w:r>
        <w:rPr>
          <w:rFonts w:ascii="Arial" w:hAnsi="Arial" w:cs="FrankRuehl" w:hint="cs"/>
          <w:sz w:val="28"/>
          <w:szCs w:val="28"/>
          <w:rtl/>
        </w:rPr>
        <w:tab/>
      </w:r>
      <w:r w:rsidRPr="00152D0F">
        <w:rPr>
          <w:rFonts w:ascii="Arial" w:hAnsi="Arial" w:cs="FrankRuehl" w:hint="cs"/>
          <w:sz w:val="28"/>
          <w:szCs w:val="28"/>
          <w:rtl/>
        </w:rPr>
        <w:t xml:space="preserve">נתבקש והוגש תסקיר שירות מבחן מיום 24.12.18 ממנו נלמד אודות הנאשם ונסיבות חייו. קצין המבחן  ציין כי הנאשם נטל אחריות מלאה על מעשיו, אך הוא התרשם כי הנאשם מתקשה לבטא תובנה לחומרת המעשה והשלכותיו על המעורבים והוא מתקשה לגלות אמפטיה כלפי המתלונן. כן ציין כי הנאשם חש עצמו קרבן של האירוע, מייחס אלימות כלפיו מצד המתלונן וחש כי הוא משלם מחיר בגין ההליך הפלילי. הנאשם ביטא נכונות להשתלב בהליך טיפולי על מנת לערוך שינוי בהתנהלותו. ואכן, הנאשם שולב בקבוצה טיפולית לעצורי בית ושיתף פעולה באופן מלא. קצין המבחן ביקש להגיש תסקיר נוסף בחלוף שלושה חודשים לצורך העמקת האבחון בתחום השימוש בסמים שעלה במסגרת הטיפול. </w:t>
      </w:r>
    </w:p>
    <w:p w14:paraId="4B4C1A40" w14:textId="77777777" w:rsidR="00C6274B" w:rsidRPr="00152D0F" w:rsidRDefault="00C6274B" w:rsidP="00C6274B">
      <w:pPr>
        <w:spacing w:line="360" w:lineRule="auto"/>
        <w:jc w:val="both"/>
        <w:rPr>
          <w:rFonts w:ascii="Arial" w:hAnsi="Arial" w:cs="FrankRuehl"/>
          <w:sz w:val="28"/>
          <w:szCs w:val="28"/>
          <w:rtl/>
        </w:rPr>
      </w:pPr>
    </w:p>
    <w:p w14:paraId="4197F0CD" w14:textId="77777777" w:rsidR="00C6274B" w:rsidRPr="00152D0F" w:rsidRDefault="00C6274B" w:rsidP="00C6274B">
      <w:pPr>
        <w:spacing w:line="360" w:lineRule="auto"/>
        <w:jc w:val="both"/>
        <w:rPr>
          <w:rFonts w:ascii="Arial" w:hAnsi="Arial" w:cs="FrankRuehl"/>
          <w:sz w:val="28"/>
          <w:szCs w:val="28"/>
          <w:rtl/>
        </w:rPr>
      </w:pPr>
      <w:r>
        <w:rPr>
          <w:rFonts w:ascii="Arial" w:hAnsi="Arial" w:cs="FrankRuehl" w:hint="cs"/>
          <w:sz w:val="28"/>
          <w:szCs w:val="28"/>
          <w:rtl/>
        </w:rPr>
        <w:t>6.</w:t>
      </w:r>
      <w:r>
        <w:rPr>
          <w:rFonts w:ascii="Arial" w:hAnsi="Arial" w:cs="FrankRuehl" w:hint="cs"/>
          <w:sz w:val="28"/>
          <w:szCs w:val="28"/>
          <w:rtl/>
        </w:rPr>
        <w:tab/>
      </w:r>
      <w:r w:rsidRPr="00152D0F">
        <w:rPr>
          <w:rFonts w:ascii="Arial" w:hAnsi="Arial" w:cs="FrankRuehl" w:hint="cs"/>
          <w:sz w:val="28"/>
          <w:szCs w:val="28"/>
          <w:rtl/>
        </w:rPr>
        <w:t xml:space="preserve">בתסקיר נוסף מיום 28.03.19 ציין קצין המבחן, כי חרף המוטיבציה שגילה הנאשם בתחילה, הוא הביע בפניו קושי להשתתף בהליך טיפולי בשל עיסוקו. לאחרונה, הוא שב והביע רצון להשתלב בהליך. משכך, נתבקשה דחייה נוספת לשלושה חודשים. בתסקיר נוסף מיום </w:t>
      </w:r>
      <w:r w:rsidRPr="00152D0F">
        <w:rPr>
          <w:rFonts w:ascii="Arial" w:hAnsi="Arial" w:cs="FrankRuehl" w:hint="cs"/>
          <w:sz w:val="28"/>
          <w:szCs w:val="28"/>
          <w:rtl/>
        </w:rPr>
        <w:lastRenderedPageBreak/>
        <w:t xml:space="preserve">3.07.19, ציין קצין המבחן כי הנאשם השתלב בקבוצה טיפולית ונתבקשה דחייה עד לתום הטיפול.      </w:t>
      </w:r>
    </w:p>
    <w:p w14:paraId="7CFDC35B" w14:textId="77777777" w:rsidR="00C6274B" w:rsidRPr="00152D0F" w:rsidRDefault="00C6274B" w:rsidP="00C6274B">
      <w:pPr>
        <w:spacing w:line="360" w:lineRule="auto"/>
        <w:jc w:val="both"/>
        <w:rPr>
          <w:rFonts w:ascii="Arial" w:hAnsi="Arial" w:cs="FrankRuehl"/>
          <w:sz w:val="28"/>
          <w:szCs w:val="28"/>
          <w:rtl/>
        </w:rPr>
      </w:pPr>
    </w:p>
    <w:p w14:paraId="2E3C86ED" w14:textId="77777777" w:rsidR="00C6274B" w:rsidRPr="00152D0F" w:rsidRDefault="00C6274B" w:rsidP="00C6274B">
      <w:pPr>
        <w:spacing w:line="360" w:lineRule="auto"/>
        <w:jc w:val="both"/>
        <w:rPr>
          <w:rFonts w:ascii="Arial" w:hAnsi="Arial" w:cs="FrankRuehl"/>
          <w:sz w:val="28"/>
          <w:szCs w:val="28"/>
          <w:u w:val="single"/>
          <w:rtl/>
        </w:rPr>
      </w:pPr>
      <w:r>
        <w:rPr>
          <w:rFonts w:ascii="Arial" w:hAnsi="Arial" w:cs="FrankRuehl" w:hint="cs"/>
          <w:sz w:val="28"/>
          <w:szCs w:val="28"/>
          <w:rtl/>
        </w:rPr>
        <w:t>7.</w:t>
      </w:r>
      <w:r>
        <w:rPr>
          <w:rFonts w:ascii="Arial" w:hAnsi="Arial" w:cs="FrankRuehl" w:hint="cs"/>
          <w:sz w:val="28"/>
          <w:szCs w:val="28"/>
          <w:rtl/>
        </w:rPr>
        <w:tab/>
      </w:r>
      <w:r w:rsidRPr="00152D0F">
        <w:rPr>
          <w:rFonts w:ascii="Arial" w:hAnsi="Arial" w:cs="FrankRuehl" w:hint="cs"/>
          <w:sz w:val="28"/>
          <w:szCs w:val="28"/>
          <w:rtl/>
        </w:rPr>
        <w:t>בתסקיר המסכם מיום 5.11.19 ציין קצין המבחן את התייחסותו המצמצמת של הנאשם למעשיו ואת הקושי לגלות תובנות מעמיקות באשר למניעים שהביאו אותו לפגיעה במתלונן. לצד זאת, הנאשם נטל אחריות וביטא צער על מעורבות בפלילים. קצין המבחן ציין</w:t>
      </w:r>
      <w:r>
        <w:rPr>
          <w:rFonts w:ascii="Arial" w:hAnsi="Arial" w:cs="FrankRuehl" w:hint="cs"/>
          <w:sz w:val="28"/>
          <w:szCs w:val="28"/>
          <w:rtl/>
        </w:rPr>
        <w:t>,</w:t>
      </w:r>
      <w:r w:rsidRPr="00152D0F">
        <w:rPr>
          <w:rFonts w:ascii="Arial" w:hAnsi="Arial" w:cs="FrankRuehl" w:hint="cs"/>
          <w:sz w:val="28"/>
          <w:szCs w:val="28"/>
          <w:rtl/>
        </w:rPr>
        <w:t xml:space="preserve"> כי ענישה מחמירה של מאסר בפועל או בעבודות שירות עלול להביא לפגיעה כלכלית ומשפחתית משמעותית ממנה יתקשה הנאשם להתאושש ולעמוד מחדש על רגליו. בשל כך, בא קצין המבחן בהמלצה להשית על הנאשם 400 שעות של"צ לצד ענישה מותנית. </w:t>
      </w:r>
    </w:p>
    <w:p w14:paraId="6310F827" w14:textId="77777777" w:rsidR="00C6274B" w:rsidRPr="00152D0F" w:rsidRDefault="00C6274B" w:rsidP="00C6274B">
      <w:pPr>
        <w:spacing w:line="360" w:lineRule="auto"/>
        <w:jc w:val="both"/>
        <w:rPr>
          <w:rFonts w:ascii="Arial" w:hAnsi="Arial" w:cs="FrankRuehl"/>
          <w:sz w:val="28"/>
          <w:szCs w:val="28"/>
          <w:u w:val="single"/>
          <w:rtl/>
        </w:rPr>
      </w:pPr>
    </w:p>
    <w:p w14:paraId="1D0CEA01" w14:textId="77777777" w:rsidR="00C6274B" w:rsidRPr="00912913" w:rsidRDefault="00C6274B" w:rsidP="00C6274B">
      <w:pPr>
        <w:spacing w:line="360" w:lineRule="auto"/>
        <w:jc w:val="both"/>
        <w:rPr>
          <w:rFonts w:ascii="Arial" w:hAnsi="Arial" w:cs="FrankRuehl"/>
          <w:b/>
          <w:bCs/>
          <w:sz w:val="28"/>
          <w:szCs w:val="28"/>
          <w:rtl/>
        </w:rPr>
      </w:pPr>
      <w:r w:rsidRPr="00912913">
        <w:rPr>
          <w:rFonts w:ascii="Arial" w:hAnsi="Arial" w:cs="FrankRuehl" w:hint="cs"/>
          <w:b/>
          <w:bCs/>
          <w:sz w:val="28"/>
          <w:szCs w:val="28"/>
          <w:u w:val="single"/>
          <w:rtl/>
        </w:rPr>
        <w:t>הראיות לעונש</w:t>
      </w:r>
      <w:r w:rsidRPr="00912913">
        <w:rPr>
          <w:rFonts w:ascii="Arial" w:hAnsi="Arial" w:cs="FrankRuehl" w:hint="cs"/>
          <w:b/>
          <w:bCs/>
          <w:sz w:val="28"/>
          <w:szCs w:val="28"/>
          <w:rtl/>
        </w:rPr>
        <w:t xml:space="preserve"> </w:t>
      </w:r>
    </w:p>
    <w:p w14:paraId="1379E92E" w14:textId="77777777" w:rsidR="00C6274B" w:rsidRDefault="00C6274B" w:rsidP="00C6274B">
      <w:pPr>
        <w:spacing w:line="360" w:lineRule="auto"/>
        <w:jc w:val="both"/>
        <w:rPr>
          <w:rFonts w:cs="FrankRuehl"/>
          <w:sz w:val="28"/>
          <w:szCs w:val="28"/>
          <w:rtl/>
        </w:rPr>
      </w:pPr>
      <w:r>
        <w:rPr>
          <w:rFonts w:ascii="Arial" w:hAnsi="Arial" w:cs="FrankRuehl" w:hint="cs"/>
          <w:sz w:val="28"/>
          <w:szCs w:val="28"/>
          <w:rtl/>
        </w:rPr>
        <w:t>8.</w:t>
      </w:r>
      <w:r>
        <w:rPr>
          <w:rFonts w:ascii="Arial" w:hAnsi="Arial" w:cs="FrankRuehl" w:hint="cs"/>
          <w:sz w:val="28"/>
          <w:szCs w:val="28"/>
          <w:rtl/>
        </w:rPr>
        <w:tab/>
      </w:r>
      <w:r w:rsidRPr="00152D0F">
        <w:rPr>
          <w:rFonts w:ascii="Arial" w:hAnsi="Arial" w:cs="FrankRuehl" w:hint="cs"/>
          <w:sz w:val="28"/>
          <w:szCs w:val="28"/>
          <w:rtl/>
        </w:rPr>
        <w:t xml:space="preserve">המאשימה הצטיידה עם </w:t>
      </w:r>
      <w:r w:rsidRPr="00152D0F">
        <w:rPr>
          <w:rFonts w:cs="FrankRuehl" w:hint="cs"/>
          <w:sz w:val="28"/>
          <w:szCs w:val="28"/>
          <w:rtl/>
        </w:rPr>
        <w:t>ת</w:t>
      </w:r>
      <w:r w:rsidRPr="00152D0F">
        <w:rPr>
          <w:rFonts w:cs="FrankRuehl"/>
          <w:sz w:val="28"/>
          <w:szCs w:val="28"/>
          <w:rtl/>
        </w:rPr>
        <w:t>צהיר נפגע עבירה</w:t>
      </w:r>
      <w:r>
        <w:rPr>
          <w:rFonts w:cs="FrankRuehl" w:hint="cs"/>
          <w:sz w:val="28"/>
          <w:szCs w:val="28"/>
          <w:rtl/>
        </w:rPr>
        <w:t>, במסגרתו ציין המתלונן כי כתוצאה ממעשי הנאשם נגרם לו שבר באף וכי הוא מודאג מתקיפה נוספת.</w:t>
      </w:r>
    </w:p>
    <w:p w14:paraId="46F341C2" w14:textId="77777777" w:rsidR="00C6274B" w:rsidRPr="00152D0F" w:rsidRDefault="00C6274B" w:rsidP="00C6274B">
      <w:pPr>
        <w:spacing w:line="360" w:lineRule="auto"/>
        <w:jc w:val="both"/>
        <w:rPr>
          <w:rFonts w:cs="FrankRuehl"/>
          <w:sz w:val="28"/>
          <w:szCs w:val="28"/>
          <w:rtl/>
        </w:rPr>
      </w:pPr>
    </w:p>
    <w:p w14:paraId="7D2E8438" w14:textId="77777777" w:rsidR="00C6274B" w:rsidRDefault="00C6274B" w:rsidP="00C6274B">
      <w:pPr>
        <w:spacing w:line="360" w:lineRule="auto"/>
        <w:jc w:val="both"/>
        <w:rPr>
          <w:rFonts w:cs="FrankRuehl"/>
          <w:sz w:val="28"/>
          <w:szCs w:val="28"/>
          <w:rtl/>
        </w:rPr>
      </w:pPr>
      <w:r w:rsidRPr="00152D0F">
        <w:rPr>
          <w:rFonts w:cs="FrankRuehl" w:hint="cs"/>
          <w:sz w:val="28"/>
          <w:szCs w:val="28"/>
          <w:rtl/>
        </w:rPr>
        <w:t>הנאשם הצטייד עם עדות אביו ועדות בת זוגו.</w:t>
      </w:r>
      <w:r>
        <w:rPr>
          <w:rFonts w:cs="FrankRuehl" w:hint="cs"/>
          <w:sz w:val="28"/>
          <w:szCs w:val="28"/>
          <w:rtl/>
        </w:rPr>
        <w:t xml:space="preserve"> </w:t>
      </w:r>
    </w:p>
    <w:p w14:paraId="7C9342E3" w14:textId="77777777" w:rsidR="00C6274B" w:rsidRPr="00152D0F" w:rsidRDefault="00C6274B" w:rsidP="00C6274B">
      <w:pPr>
        <w:spacing w:line="360" w:lineRule="auto"/>
        <w:jc w:val="both"/>
        <w:rPr>
          <w:rFonts w:cs="FrankRuehl"/>
          <w:sz w:val="28"/>
          <w:szCs w:val="28"/>
          <w:rtl/>
        </w:rPr>
      </w:pPr>
    </w:p>
    <w:p w14:paraId="387A0A0F" w14:textId="77777777" w:rsidR="00C6274B" w:rsidRPr="00152D0F" w:rsidRDefault="00C6274B" w:rsidP="00C6274B">
      <w:pPr>
        <w:pStyle w:val="David"/>
        <w:rPr>
          <w:rFonts w:cs="FrankRuehl"/>
          <w:sz w:val="28"/>
          <w:szCs w:val="28"/>
          <w:rtl/>
        </w:rPr>
      </w:pPr>
      <w:r>
        <w:rPr>
          <w:rFonts w:cs="FrankRuehl" w:hint="cs"/>
          <w:sz w:val="28"/>
          <w:szCs w:val="28"/>
          <w:rtl/>
        </w:rPr>
        <w:t>9.</w:t>
      </w:r>
      <w:r>
        <w:rPr>
          <w:rFonts w:cs="FrankRuehl" w:hint="cs"/>
          <w:sz w:val="28"/>
          <w:szCs w:val="28"/>
          <w:rtl/>
        </w:rPr>
        <w:tab/>
      </w:r>
      <w:r w:rsidRPr="00152D0F">
        <w:rPr>
          <w:rFonts w:cs="FrankRuehl" w:hint="cs"/>
          <w:sz w:val="28"/>
          <w:szCs w:val="28"/>
          <w:rtl/>
        </w:rPr>
        <w:t>אביו של הנאשם ציין</w:t>
      </w:r>
      <w:r>
        <w:rPr>
          <w:rFonts w:cs="FrankRuehl" w:hint="cs"/>
          <w:sz w:val="28"/>
          <w:szCs w:val="28"/>
          <w:rtl/>
        </w:rPr>
        <w:t>,</w:t>
      </w:r>
      <w:r w:rsidRPr="00152D0F">
        <w:rPr>
          <w:rFonts w:cs="FrankRuehl" w:hint="cs"/>
          <w:sz w:val="28"/>
          <w:szCs w:val="28"/>
          <w:rtl/>
        </w:rPr>
        <w:t xml:space="preserve"> כי בנו גדל כילד נורמטיבי ואך נקלע </w:t>
      </w:r>
      <w:r w:rsidRPr="00152D0F">
        <w:rPr>
          <w:rFonts w:cs="FrankRuehl"/>
          <w:sz w:val="28"/>
          <w:szCs w:val="28"/>
          <w:rtl/>
        </w:rPr>
        <w:t>לסיטואציה של עימות</w:t>
      </w:r>
      <w:r w:rsidRPr="00152D0F">
        <w:rPr>
          <w:rFonts w:cs="FrankRuehl" w:hint="cs"/>
          <w:sz w:val="28"/>
          <w:szCs w:val="28"/>
          <w:rtl/>
        </w:rPr>
        <w:t xml:space="preserve">. בהמשך, בנו עבר סדנה לשליטה בכעסים, למד את הלקח, וכיום הוא מתון יותר. </w:t>
      </w:r>
    </w:p>
    <w:p w14:paraId="3CE0A436" w14:textId="77777777" w:rsidR="00C6274B" w:rsidRPr="00152D0F" w:rsidRDefault="00C6274B" w:rsidP="00C6274B">
      <w:pPr>
        <w:pStyle w:val="David"/>
        <w:rPr>
          <w:rFonts w:cs="FrankRuehl"/>
          <w:sz w:val="28"/>
          <w:szCs w:val="28"/>
          <w:rtl/>
        </w:rPr>
      </w:pPr>
    </w:p>
    <w:p w14:paraId="11087F64" w14:textId="77777777" w:rsidR="00C6274B" w:rsidRPr="00152D0F" w:rsidRDefault="00C6274B" w:rsidP="00C6274B">
      <w:pPr>
        <w:pStyle w:val="David"/>
        <w:rPr>
          <w:rFonts w:cs="FrankRuehl"/>
          <w:sz w:val="28"/>
          <w:szCs w:val="28"/>
          <w:rtl/>
        </w:rPr>
      </w:pPr>
      <w:r>
        <w:rPr>
          <w:rFonts w:cs="FrankRuehl" w:hint="cs"/>
          <w:sz w:val="28"/>
          <w:szCs w:val="28"/>
          <w:rtl/>
        </w:rPr>
        <w:t>10.</w:t>
      </w:r>
      <w:r>
        <w:rPr>
          <w:rFonts w:cs="FrankRuehl" w:hint="cs"/>
          <w:sz w:val="28"/>
          <w:szCs w:val="28"/>
          <w:rtl/>
        </w:rPr>
        <w:tab/>
      </w:r>
      <w:r w:rsidRPr="00152D0F">
        <w:rPr>
          <w:rFonts w:cs="FrankRuehl" w:hint="cs"/>
          <w:sz w:val="28"/>
          <w:szCs w:val="28"/>
          <w:rtl/>
        </w:rPr>
        <w:t>בת הזוג</w:t>
      </w:r>
      <w:r>
        <w:rPr>
          <w:rFonts w:cs="FrankRuehl" w:hint="cs"/>
          <w:sz w:val="28"/>
          <w:szCs w:val="28"/>
          <w:rtl/>
        </w:rPr>
        <w:t xml:space="preserve"> של הנאשם</w:t>
      </w:r>
      <w:r w:rsidRPr="00152D0F">
        <w:rPr>
          <w:rFonts w:cs="FrankRuehl" w:hint="cs"/>
          <w:sz w:val="28"/>
          <w:szCs w:val="28"/>
          <w:rtl/>
        </w:rPr>
        <w:t xml:space="preserve"> סיפרה על הקשיים שחוו היא והנאשם מאז תחילת ההליך. גם היא ציינה כי הנאשם הבין </w:t>
      </w:r>
      <w:r w:rsidRPr="00152D0F">
        <w:rPr>
          <w:rFonts w:cs="FrankRuehl"/>
          <w:sz w:val="28"/>
          <w:szCs w:val="28"/>
          <w:rtl/>
        </w:rPr>
        <w:t xml:space="preserve">את הטעות שעשה והוא מתחרט </w:t>
      </w:r>
      <w:r w:rsidRPr="00152D0F">
        <w:rPr>
          <w:rFonts w:cs="FrankRuehl" w:hint="cs"/>
          <w:sz w:val="28"/>
          <w:szCs w:val="28"/>
          <w:rtl/>
        </w:rPr>
        <w:t xml:space="preserve">על כך. </w:t>
      </w:r>
    </w:p>
    <w:p w14:paraId="0E0BD5A8" w14:textId="77777777" w:rsidR="00C6274B" w:rsidRPr="00152D0F" w:rsidRDefault="00C6274B" w:rsidP="00C6274B">
      <w:pPr>
        <w:pStyle w:val="David"/>
        <w:rPr>
          <w:rFonts w:cs="FrankRuehl"/>
          <w:sz w:val="28"/>
          <w:szCs w:val="28"/>
          <w:rtl/>
        </w:rPr>
      </w:pPr>
    </w:p>
    <w:p w14:paraId="77103597" w14:textId="77777777" w:rsidR="00C6274B" w:rsidRPr="00A521AA" w:rsidRDefault="00C6274B" w:rsidP="00C6274B">
      <w:pPr>
        <w:pStyle w:val="David"/>
        <w:rPr>
          <w:rFonts w:cs="FrankRuehl"/>
          <w:b/>
          <w:bCs/>
          <w:sz w:val="28"/>
          <w:szCs w:val="28"/>
          <w:u w:val="single"/>
          <w:rtl/>
        </w:rPr>
      </w:pPr>
      <w:r w:rsidRPr="00A521AA">
        <w:rPr>
          <w:rFonts w:cs="FrankRuehl" w:hint="cs"/>
          <w:b/>
          <w:bCs/>
          <w:sz w:val="28"/>
          <w:szCs w:val="28"/>
          <w:u w:val="single"/>
          <w:rtl/>
        </w:rPr>
        <w:t>הטיעונים לעונש</w:t>
      </w:r>
    </w:p>
    <w:p w14:paraId="43E4DE76" w14:textId="77777777" w:rsidR="00C6274B" w:rsidRPr="00152D0F" w:rsidRDefault="00C6274B" w:rsidP="00C6274B">
      <w:pPr>
        <w:pStyle w:val="David"/>
        <w:rPr>
          <w:rFonts w:cs="FrankRuehl"/>
          <w:sz w:val="28"/>
          <w:szCs w:val="28"/>
          <w:rtl/>
        </w:rPr>
      </w:pPr>
      <w:r>
        <w:rPr>
          <w:rFonts w:cs="FrankRuehl" w:hint="cs"/>
          <w:sz w:val="28"/>
          <w:szCs w:val="28"/>
          <w:rtl/>
        </w:rPr>
        <w:t>11.</w:t>
      </w:r>
      <w:r>
        <w:rPr>
          <w:rFonts w:cs="FrankRuehl" w:hint="cs"/>
          <w:sz w:val="28"/>
          <w:szCs w:val="28"/>
          <w:rtl/>
        </w:rPr>
        <w:tab/>
      </w:r>
      <w:r w:rsidRPr="00152D0F">
        <w:rPr>
          <w:rFonts w:cs="FrankRuehl" w:hint="cs"/>
          <w:sz w:val="28"/>
          <w:szCs w:val="28"/>
          <w:rtl/>
        </w:rPr>
        <w:t xml:space="preserve">ב"כ המאשימה עמדה על הפגיעה הקשה והחמורה של הערכים שנפגעו ממעשיו של הנאשם, </w:t>
      </w:r>
      <w:r w:rsidRPr="00152D0F">
        <w:rPr>
          <w:rFonts w:cs="FrankRuehl"/>
          <w:sz w:val="28"/>
          <w:szCs w:val="28"/>
          <w:rtl/>
        </w:rPr>
        <w:t>כבוד האדם</w:t>
      </w:r>
      <w:r w:rsidRPr="00152D0F">
        <w:rPr>
          <w:rFonts w:cs="FrankRuehl" w:hint="cs"/>
          <w:sz w:val="28"/>
          <w:szCs w:val="28"/>
          <w:rtl/>
        </w:rPr>
        <w:t xml:space="preserve">, שלמות </w:t>
      </w:r>
      <w:r w:rsidRPr="00152D0F">
        <w:rPr>
          <w:rFonts w:cs="FrankRuehl"/>
          <w:sz w:val="28"/>
          <w:szCs w:val="28"/>
          <w:rtl/>
        </w:rPr>
        <w:t>גופו</w:t>
      </w:r>
      <w:r w:rsidRPr="00152D0F">
        <w:rPr>
          <w:rFonts w:cs="FrankRuehl" w:hint="cs"/>
          <w:sz w:val="28"/>
          <w:szCs w:val="28"/>
          <w:rtl/>
        </w:rPr>
        <w:t xml:space="preserve"> וזכות ה</w:t>
      </w:r>
      <w:r w:rsidRPr="00152D0F">
        <w:rPr>
          <w:rFonts w:cs="FrankRuehl"/>
          <w:sz w:val="28"/>
          <w:szCs w:val="28"/>
          <w:rtl/>
        </w:rPr>
        <w:t>קניין.</w:t>
      </w:r>
      <w:r w:rsidRPr="00152D0F">
        <w:rPr>
          <w:rFonts w:cs="FrankRuehl" w:hint="cs"/>
          <w:sz w:val="28"/>
          <w:szCs w:val="28"/>
          <w:rtl/>
        </w:rPr>
        <w:t xml:space="preserve"> היא הפנתה להלכות של בית המשפט העליון באשר לחומרה שיש לייחס למעשים הנעשים ע</w:t>
      </w:r>
      <w:r w:rsidRPr="00152D0F">
        <w:rPr>
          <w:rFonts w:cs="FrankRuehl"/>
          <w:sz w:val="28"/>
          <w:szCs w:val="28"/>
          <w:rtl/>
        </w:rPr>
        <w:t>ל רקע גזעני</w:t>
      </w:r>
      <w:r w:rsidRPr="00152D0F">
        <w:rPr>
          <w:rFonts w:cs="FrankRuehl" w:hint="cs"/>
          <w:sz w:val="28"/>
          <w:szCs w:val="28"/>
          <w:rtl/>
        </w:rPr>
        <w:t xml:space="preserve">. לדבריה, יש להוקיע מעשים אלו בענישה מחמירה שתעביר מסר מרתיע לציבור שלא ניתן להשלים עם מעשים מעין אלו. באשר לנסיבות ביצוע העבירה היא ציינה, כי לא היה מדובר במעשה </w:t>
      </w:r>
      <w:r w:rsidRPr="00152D0F">
        <w:rPr>
          <w:rFonts w:cs="FrankRuehl"/>
          <w:sz w:val="28"/>
          <w:szCs w:val="28"/>
          <w:rtl/>
        </w:rPr>
        <w:t>ספונטנ</w:t>
      </w:r>
      <w:r>
        <w:rPr>
          <w:rFonts w:cs="FrankRuehl" w:hint="cs"/>
          <w:sz w:val="28"/>
          <w:szCs w:val="28"/>
          <w:rtl/>
        </w:rPr>
        <w:t>י. הנאשם</w:t>
      </w:r>
      <w:r w:rsidRPr="00152D0F">
        <w:rPr>
          <w:rFonts w:cs="FrankRuehl" w:hint="cs"/>
          <w:sz w:val="28"/>
          <w:szCs w:val="28"/>
          <w:rtl/>
        </w:rPr>
        <w:t xml:space="preserve"> פעל באלימות כנגד המתלונן, וגם כשזה נסוג מפניו, הנאשם רדף אחריו והמשיך להכותו. היא הצביע</w:t>
      </w:r>
      <w:r>
        <w:rPr>
          <w:rFonts w:cs="FrankRuehl" w:hint="cs"/>
          <w:sz w:val="28"/>
          <w:szCs w:val="28"/>
          <w:rtl/>
        </w:rPr>
        <w:t>ה</w:t>
      </w:r>
      <w:r w:rsidRPr="00152D0F">
        <w:rPr>
          <w:rFonts w:cs="FrankRuehl" w:hint="cs"/>
          <w:sz w:val="28"/>
          <w:szCs w:val="28"/>
          <w:rtl/>
        </w:rPr>
        <w:t xml:space="preserve"> על הנזק שנגרם למתלונן, דימום מהאף, ההשפלה שעבר, ו</w:t>
      </w:r>
      <w:r>
        <w:rPr>
          <w:rFonts w:cs="FrankRuehl" w:hint="cs"/>
          <w:sz w:val="28"/>
          <w:szCs w:val="28"/>
          <w:rtl/>
        </w:rPr>
        <w:t xml:space="preserve">על </w:t>
      </w:r>
      <w:r w:rsidRPr="00152D0F">
        <w:rPr>
          <w:rFonts w:cs="FrankRuehl" w:hint="cs"/>
          <w:sz w:val="28"/>
          <w:szCs w:val="28"/>
          <w:rtl/>
        </w:rPr>
        <w:t xml:space="preserve">הנזק הממוני של עלאא, בעל הרכב. היא הוסיפה כי האירוע יכול היה להיגמר באופן חמור עוד יותר. היא הציגה מספר פסקי דין שיש בהם ללמד על </w:t>
      </w:r>
      <w:r w:rsidRPr="00152D0F">
        <w:rPr>
          <w:rFonts w:cs="FrankRuehl"/>
          <w:sz w:val="28"/>
          <w:szCs w:val="28"/>
          <w:rtl/>
        </w:rPr>
        <w:t xml:space="preserve">מדינות </w:t>
      </w:r>
      <w:r w:rsidRPr="00152D0F">
        <w:rPr>
          <w:rFonts w:cs="FrankRuehl" w:hint="cs"/>
          <w:sz w:val="28"/>
          <w:szCs w:val="28"/>
          <w:rtl/>
        </w:rPr>
        <w:t>ה</w:t>
      </w:r>
      <w:r w:rsidRPr="00152D0F">
        <w:rPr>
          <w:rFonts w:cs="FrankRuehl"/>
          <w:sz w:val="28"/>
          <w:szCs w:val="28"/>
          <w:rtl/>
        </w:rPr>
        <w:t xml:space="preserve">ענישה </w:t>
      </w:r>
      <w:r w:rsidRPr="00152D0F">
        <w:rPr>
          <w:rFonts w:cs="FrankRuehl" w:hint="cs"/>
          <w:sz w:val="28"/>
          <w:szCs w:val="28"/>
          <w:rtl/>
        </w:rPr>
        <w:t>ה</w:t>
      </w:r>
      <w:r w:rsidRPr="00152D0F">
        <w:rPr>
          <w:rFonts w:cs="FrankRuehl"/>
          <w:sz w:val="28"/>
          <w:szCs w:val="28"/>
          <w:rtl/>
        </w:rPr>
        <w:t>נהוגה</w:t>
      </w:r>
      <w:r w:rsidRPr="00152D0F">
        <w:rPr>
          <w:rFonts w:cs="FrankRuehl" w:hint="cs"/>
          <w:sz w:val="28"/>
          <w:szCs w:val="28"/>
          <w:rtl/>
        </w:rPr>
        <w:t xml:space="preserve">, על פיהם ביקשה לקבוע מתחם עונש הולם למקרה זה בנסיבותיו, של מאסר לתקופה שבין 10 ל-30 חודשים. </w:t>
      </w:r>
    </w:p>
    <w:p w14:paraId="3E373167" w14:textId="77777777" w:rsidR="00C6274B" w:rsidRPr="00152D0F" w:rsidRDefault="00C6274B" w:rsidP="00C6274B">
      <w:pPr>
        <w:pStyle w:val="David"/>
        <w:rPr>
          <w:rFonts w:cs="FrankRuehl"/>
          <w:sz w:val="28"/>
          <w:szCs w:val="28"/>
          <w:rtl/>
        </w:rPr>
      </w:pPr>
    </w:p>
    <w:p w14:paraId="666F22C5" w14:textId="77777777" w:rsidR="00C6274B" w:rsidRPr="00152D0F" w:rsidRDefault="00C6274B" w:rsidP="00C6274B">
      <w:pPr>
        <w:pStyle w:val="David"/>
        <w:rPr>
          <w:rFonts w:cs="FrankRuehl"/>
          <w:sz w:val="28"/>
          <w:szCs w:val="28"/>
          <w:rtl/>
        </w:rPr>
      </w:pPr>
      <w:r>
        <w:rPr>
          <w:rFonts w:cs="FrankRuehl" w:hint="cs"/>
          <w:sz w:val="28"/>
          <w:szCs w:val="28"/>
          <w:rtl/>
        </w:rPr>
        <w:t>12.</w:t>
      </w:r>
      <w:r>
        <w:rPr>
          <w:rFonts w:cs="FrankRuehl" w:hint="cs"/>
          <w:sz w:val="28"/>
          <w:szCs w:val="28"/>
          <w:rtl/>
        </w:rPr>
        <w:tab/>
      </w:r>
      <w:r w:rsidRPr="00152D0F">
        <w:rPr>
          <w:rFonts w:cs="FrankRuehl" w:hint="cs"/>
          <w:sz w:val="28"/>
          <w:szCs w:val="28"/>
          <w:rtl/>
        </w:rPr>
        <w:t xml:space="preserve">באשר לנאשם ציינה ב"כ המאשימה, את גילו הצעיר, את התקופה שחלפה ממועד ביצוע העבירות, ואת השתתפותו בהליך טיפולי, הגם שהוא לא נטל בו חלק באופן מלא. היא ציינה את נטילת האחריות של הנאשם, אך הצביעה על כך שמהתסקיר נלמד כי הנאשם לא הפנים את הפסול והכיעור שבמעשה שעשה, בפרט בהיבט הגזעני שבו. </w:t>
      </w:r>
      <w:r>
        <w:rPr>
          <w:rFonts w:cs="FrankRuehl" w:hint="cs"/>
          <w:sz w:val="28"/>
          <w:szCs w:val="28"/>
          <w:rtl/>
        </w:rPr>
        <w:t xml:space="preserve">עוד עולה מהתסקיר, כי </w:t>
      </w:r>
      <w:r w:rsidRPr="00152D0F">
        <w:rPr>
          <w:rFonts w:cs="FrankRuehl" w:hint="cs"/>
          <w:sz w:val="28"/>
          <w:szCs w:val="28"/>
          <w:rtl/>
        </w:rPr>
        <w:t>הנאשם עסוק בעיקר במחירים האישיים שלו נוכח ההליך הפלילי. משכך, אין מקום לחרוג ממתחם העונש ההולם משיקולי שיקום. בשולי דבריה, עתרה למיקום עונשו של הנאשם ב</w:t>
      </w:r>
      <w:r w:rsidRPr="00152D0F">
        <w:rPr>
          <w:rFonts w:cs="FrankRuehl"/>
          <w:sz w:val="28"/>
          <w:szCs w:val="28"/>
          <w:rtl/>
        </w:rPr>
        <w:t>אמצע של השליש התחתון</w:t>
      </w:r>
      <w:r w:rsidRPr="00152D0F">
        <w:rPr>
          <w:rFonts w:cs="FrankRuehl" w:hint="cs"/>
          <w:sz w:val="28"/>
          <w:szCs w:val="28"/>
          <w:rtl/>
        </w:rPr>
        <w:t xml:space="preserve"> של המתחם, </w:t>
      </w:r>
      <w:r w:rsidRPr="00152D0F">
        <w:rPr>
          <w:rFonts w:cs="FrankRuehl"/>
          <w:sz w:val="28"/>
          <w:szCs w:val="28"/>
          <w:rtl/>
        </w:rPr>
        <w:t xml:space="preserve">לצד מאסר על תנאי ופיצוי לשני המתלוננים. </w:t>
      </w:r>
    </w:p>
    <w:p w14:paraId="5095BE0D" w14:textId="77777777" w:rsidR="00C6274B" w:rsidRPr="00152D0F" w:rsidRDefault="00C6274B" w:rsidP="00C6274B">
      <w:pPr>
        <w:pStyle w:val="David"/>
        <w:rPr>
          <w:rFonts w:cs="FrankRuehl"/>
          <w:sz w:val="28"/>
          <w:szCs w:val="28"/>
          <w:rtl/>
        </w:rPr>
      </w:pPr>
    </w:p>
    <w:p w14:paraId="1BA8D470" w14:textId="77777777" w:rsidR="00C6274B" w:rsidRPr="00152D0F" w:rsidRDefault="00C6274B" w:rsidP="00C6274B">
      <w:pPr>
        <w:pStyle w:val="David"/>
        <w:rPr>
          <w:rFonts w:cs="FrankRuehl"/>
          <w:sz w:val="28"/>
          <w:szCs w:val="28"/>
          <w:rtl/>
        </w:rPr>
      </w:pPr>
      <w:r>
        <w:rPr>
          <w:rFonts w:cs="FrankRuehl" w:hint="cs"/>
          <w:sz w:val="28"/>
          <w:szCs w:val="28"/>
          <w:rtl/>
        </w:rPr>
        <w:t>13.</w:t>
      </w:r>
      <w:r>
        <w:rPr>
          <w:rFonts w:cs="FrankRuehl" w:hint="cs"/>
          <w:sz w:val="28"/>
          <w:szCs w:val="28"/>
          <w:rtl/>
        </w:rPr>
        <w:tab/>
      </w:r>
      <w:r w:rsidRPr="00152D0F">
        <w:rPr>
          <w:rFonts w:cs="FrankRuehl" w:hint="cs"/>
          <w:sz w:val="28"/>
          <w:szCs w:val="28"/>
          <w:rtl/>
        </w:rPr>
        <w:t xml:space="preserve">ב"כ הנאשם טען מנגד כי אין מדובר באירוע מתוכנן, ואין מקום לייחס לנאשם נזקים אפשריים שלא אירעו בפועל. באשר לפסיקה הנוהגת, הוא הדגיש כי במקרה זה הנאשם הורשע בעבירה לפי </w:t>
      </w:r>
      <w:hyperlink r:id="rId15" w:history="1">
        <w:r w:rsidR="00A05A7D" w:rsidRPr="00A05A7D">
          <w:rPr>
            <w:rFonts w:cs="FrankRuehl"/>
            <w:color w:val="0000FF"/>
            <w:sz w:val="28"/>
            <w:szCs w:val="28"/>
            <w:u w:val="single"/>
            <w:rtl/>
          </w:rPr>
          <w:t>סעיף 380</w:t>
        </w:r>
      </w:hyperlink>
      <w:r w:rsidRPr="00152D0F">
        <w:rPr>
          <w:rFonts w:cs="FrankRuehl" w:hint="cs"/>
          <w:sz w:val="28"/>
          <w:szCs w:val="28"/>
          <w:rtl/>
        </w:rPr>
        <w:t xml:space="preserve"> לחוק </w:t>
      </w:r>
      <w:r w:rsidRPr="00152D0F">
        <w:rPr>
          <w:rFonts w:cs="FrankRuehl"/>
          <w:sz w:val="28"/>
          <w:szCs w:val="28"/>
          <w:rtl/>
        </w:rPr>
        <w:t>–</w:t>
      </w:r>
      <w:r w:rsidRPr="00152D0F">
        <w:rPr>
          <w:rFonts w:cs="FrankRuehl" w:hint="cs"/>
          <w:sz w:val="28"/>
          <w:szCs w:val="28"/>
          <w:rtl/>
        </w:rPr>
        <w:t xml:space="preserve"> תקיפה הגורמת חבלה ממשית, אך לא בנסיבות מחמירות לפי </w:t>
      </w:r>
      <w:hyperlink r:id="rId16" w:history="1">
        <w:r w:rsidR="00A05A7D" w:rsidRPr="00A05A7D">
          <w:rPr>
            <w:rFonts w:cs="FrankRuehl"/>
            <w:color w:val="0000FF"/>
            <w:sz w:val="28"/>
            <w:szCs w:val="28"/>
            <w:u w:val="single"/>
            <w:rtl/>
          </w:rPr>
          <w:t>סעיף 382</w:t>
        </w:r>
      </w:hyperlink>
      <w:r w:rsidRPr="00152D0F">
        <w:rPr>
          <w:rFonts w:cs="FrankRuehl" w:hint="cs"/>
          <w:sz w:val="28"/>
          <w:szCs w:val="28"/>
          <w:rtl/>
        </w:rPr>
        <w:t xml:space="preserve"> לחוק. כן ציין, כי </w:t>
      </w:r>
      <w:r w:rsidRPr="00152D0F">
        <w:rPr>
          <w:rFonts w:cs="FrankRuehl"/>
          <w:sz w:val="28"/>
          <w:szCs w:val="28"/>
          <w:rtl/>
        </w:rPr>
        <w:t>הנזק</w:t>
      </w:r>
      <w:r w:rsidRPr="00152D0F">
        <w:rPr>
          <w:rFonts w:cs="FrankRuehl" w:hint="cs"/>
          <w:sz w:val="28"/>
          <w:szCs w:val="28"/>
          <w:rtl/>
        </w:rPr>
        <w:t xml:space="preserve"> שנגרם</w:t>
      </w:r>
      <w:r w:rsidRPr="00152D0F">
        <w:rPr>
          <w:rFonts w:cs="FrankRuehl"/>
          <w:sz w:val="28"/>
          <w:szCs w:val="28"/>
          <w:rtl/>
        </w:rPr>
        <w:t xml:space="preserve"> </w:t>
      </w:r>
      <w:r w:rsidRPr="00152D0F">
        <w:rPr>
          <w:rFonts w:cs="FrankRuehl" w:hint="cs"/>
          <w:sz w:val="28"/>
          <w:szCs w:val="28"/>
          <w:rtl/>
        </w:rPr>
        <w:t xml:space="preserve">לבעל הרכב, </w:t>
      </w:r>
      <w:r w:rsidRPr="00152D0F">
        <w:rPr>
          <w:rFonts w:cs="FrankRuehl"/>
          <w:sz w:val="28"/>
          <w:szCs w:val="28"/>
          <w:rtl/>
        </w:rPr>
        <w:t>שולם</w:t>
      </w:r>
      <w:r w:rsidRPr="00152D0F">
        <w:rPr>
          <w:rFonts w:cs="FrankRuehl" w:hint="cs"/>
          <w:sz w:val="28"/>
          <w:szCs w:val="28"/>
          <w:rtl/>
        </w:rPr>
        <w:t>.</w:t>
      </w:r>
    </w:p>
    <w:p w14:paraId="36EA8CC1" w14:textId="77777777" w:rsidR="00C6274B" w:rsidRPr="00152D0F" w:rsidRDefault="00C6274B" w:rsidP="00C6274B">
      <w:pPr>
        <w:pStyle w:val="David"/>
        <w:rPr>
          <w:rFonts w:cs="FrankRuehl"/>
          <w:sz w:val="28"/>
          <w:szCs w:val="28"/>
          <w:rtl/>
        </w:rPr>
      </w:pPr>
    </w:p>
    <w:p w14:paraId="5F268734" w14:textId="77777777" w:rsidR="00C6274B" w:rsidRPr="00152D0F" w:rsidRDefault="00C6274B" w:rsidP="00C6274B">
      <w:pPr>
        <w:pStyle w:val="David"/>
        <w:rPr>
          <w:rFonts w:cs="FrankRuehl"/>
          <w:sz w:val="28"/>
          <w:szCs w:val="28"/>
          <w:rtl/>
        </w:rPr>
      </w:pPr>
      <w:r>
        <w:rPr>
          <w:rFonts w:cs="FrankRuehl" w:hint="cs"/>
          <w:sz w:val="28"/>
          <w:szCs w:val="28"/>
          <w:rtl/>
        </w:rPr>
        <w:t>14.</w:t>
      </w:r>
      <w:r>
        <w:rPr>
          <w:rFonts w:cs="FrankRuehl" w:hint="cs"/>
          <w:sz w:val="28"/>
          <w:szCs w:val="28"/>
          <w:rtl/>
        </w:rPr>
        <w:tab/>
      </w:r>
      <w:r w:rsidRPr="00152D0F">
        <w:rPr>
          <w:rFonts w:cs="FrankRuehl" w:hint="cs"/>
          <w:sz w:val="28"/>
          <w:szCs w:val="28"/>
          <w:rtl/>
        </w:rPr>
        <w:t xml:space="preserve">באשר לנאשם ציין הסנגור, כי מדובר באדם נורמטיבי שמעד מעידה חד פעמית. הנאשם הביע צער וחרטה על מעשיו ואין אפוא, מקום לדברים שנכתבו בעניין זה על ידי קצין המבחן. הוא ציין כי </w:t>
      </w:r>
      <w:r w:rsidRPr="00152D0F">
        <w:rPr>
          <w:rFonts w:cs="FrankRuehl"/>
          <w:sz w:val="28"/>
          <w:szCs w:val="28"/>
          <w:rtl/>
        </w:rPr>
        <w:t>הנאשם הודה בכתב האישום</w:t>
      </w:r>
      <w:r w:rsidRPr="00152D0F">
        <w:rPr>
          <w:rFonts w:cs="FrankRuehl" w:hint="cs"/>
          <w:sz w:val="28"/>
          <w:szCs w:val="28"/>
          <w:rtl/>
        </w:rPr>
        <w:t>, ולמעשה הודה במיוחס לו כבר בתחנת המשטרה לאחר שנעצר. בכך הוא קיבל אחריות על מעשיו</w:t>
      </w:r>
      <w:r>
        <w:rPr>
          <w:rFonts w:cs="FrankRuehl" w:hint="cs"/>
          <w:sz w:val="28"/>
          <w:szCs w:val="28"/>
          <w:rtl/>
        </w:rPr>
        <w:t>,</w:t>
      </w:r>
      <w:r w:rsidRPr="00152D0F">
        <w:rPr>
          <w:rFonts w:cs="FrankRuehl" w:hint="cs"/>
          <w:sz w:val="28"/>
          <w:szCs w:val="28"/>
          <w:rtl/>
        </w:rPr>
        <w:t xml:space="preserve"> וחסך זמן שיפוטי. לדבריו, בניגוד לדברי ב"כ המאשימה, תסקיר המבחן בעניינו של הנאשם, חיובי, ואף מצדיק חריגה מהמתחם משיקולי שיקום. הסנגור, תמך גם הוא את טיעוניו בפסיקה, ועתר לאימוץ המלצת שירות המבחן.</w:t>
      </w:r>
    </w:p>
    <w:p w14:paraId="641DAD7B" w14:textId="77777777" w:rsidR="00C6274B" w:rsidRPr="00152D0F" w:rsidRDefault="00C6274B" w:rsidP="00C6274B">
      <w:pPr>
        <w:pStyle w:val="David"/>
        <w:rPr>
          <w:rFonts w:cs="FrankRuehl"/>
          <w:sz w:val="28"/>
          <w:szCs w:val="28"/>
          <w:rtl/>
        </w:rPr>
      </w:pPr>
    </w:p>
    <w:p w14:paraId="61952E7C" w14:textId="77777777" w:rsidR="00C6274B" w:rsidRPr="00152D0F" w:rsidRDefault="00C6274B" w:rsidP="00C6274B">
      <w:pPr>
        <w:pStyle w:val="David"/>
        <w:rPr>
          <w:rFonts w:cs="FrankRuehl"/>
          <w:sz w:val="28"/>
          <w:szCs w:val="28"/>
          <w:rtl/>
        </w:rPr>
      </w:pPr>
      <w:r>
        <w:rPr>
          <w:rFonts w:cs="FrankRuehl" w:hint="cs"/>
          <w:sz w:val="28"/>
          <w:szCs w:val="28"/>
          <w:rtl/>
        </w:rPr>
        <w:t>15.</w:t>
      </w:r>
      <w:r>
        <w:rPr>
          <w:rFonts w:cs="FrankRuehl" w:hint="cs"/>
          <w:sz w:val="28"/>
          <w:szCs w:val="28"/>
          <w:rtl/>
        </w:rPr>
        <w:tab/>
      </w:r>
      <w:r w:rsidRPr="00152D0F">
        <w:rPr>
          <w:rFonts w:cs="FrankRuehl" w:hint="cs"/>
          <w:sz w:val="28"/>
          <w:szCs w:val="28"/>
          <w:rtl/>
        </w:rPr>
        <w:t>הנאשם ציין</w:t>
      </w:r>
      <w:r>
        <w:rPr>
          <w:rFonts w:cs="FrankRuehl" w:hint="cs"/>
          <w:sz w:val="28"/>
          <w:szCs w:val="28"/>
          <w:rtl/>
        </w:rPr>
        <w:t>,</w:t>
      </w:r>
      <w:r w:rsidRPr="00152D0F">
        <w:rPr>
          <w:rFonts w:cs="FrankRuehl" w:hint="cs"/>
          <w:sz w:val="28"/>
          <w:szCs w:val="28"/>
          <w:rtl/>
        </w:rPr>
        <w:t xml:space="preserve"> כי </w:t>
      </w:r>
      <w:r w:rsidRPr="00152D0F">
        <w:rPr>
          <w:rFonts w:cs="FrankRuehl"/>
          <w:sz w:val="28"/>
          <w:szCs w:val="28"/>
          <w:rtl/>
        </w:rPr>
        <w:t>נקלע לסיטואציה</w:t>
      </w:r>
      <w:r w:rsidRPr="00152D0F">
        <w:rPr>
          <w:rFonts w:cs="FrankRuehl" w:hint="cs"/>
          <w:sz w:val="28"/>
          <w:szCs w:val="28"/>
          <w:rtl/>
        </w:rPr>
        <w:t xml:space="preserve"> ברגע אחד, כשקודם לכן הוא לא העלה בדעתו כי הוא יקום ויצא מרכבו כדי להכות אדם, בין אם הוא </w:t>
      </w:r>
      <w:r w:rsidRPr="00152D0F">
        <w:rPr>
          <w:rFonts w:cs="FrankRuehl"/>
          <w:sz w:val="28"/>
          <w:szCs w:val="28"/>
          <w:rtl/>
        </w:rPr>
        <w:t xml:space="preserve">יהודי </w:t>
      </w:r>
      <w:r w:rsidRPr="00152D0F">
        <w:rPr>
          <w:rFonts w:cs="FrankRuehl" w:hint="cs"/>
          <w:sz w:val="28"/>
          <w:szCs w:val="28"/>
          <w:rtl/>
        </w:rPr>
        <w:t xml:space="preserve">ובין אם הוא </w:t>
      </w:r>
      <w:r w:rsidRPr="00152D0F">
        <w:rPr>
          <w:rFonts w:cs="FrankRuehl"/>
          <w:sz w:val="28"/>
          <w:szCs w:val="28"/>
          <w:rtl/>
        </w:rPr>
        <w:t>ערבי</w:t>
      </w:r>
      <w:r w:rsidRPr="00152D0F">
        <w:rPr>
          <w:rFonts w:cs="FrankRuehl" w:hint="cs"/>
          <w:sz w:val="28"/>
          <w:szCs w:val="28"/>
          <w:rtl/>
        </w:rPr>
        <w:t xml:space="preserve">. לדבריו, הוא לא היה שפוי </w:t>
      </w:r>
      <w:r w:rsidRPr="00152D0F">
        <w:rPr>
          <w:rFonts w:cs="FrankRuehl"/>
          <w:sz w:val="28"/>
          <w:szCs w:val="28"/>
          <w:rtl/>
        </w:rPr>
        <w:t>באותו הרגע ו</w:t>
      </w:r>
      <w:r w:rsidRPr="00152D0F">
        <w:rPr>
          <w:rFonts w:cs="FrankRuehl" w:hint="cs"/>
          <w:sz w:val="28"/>
          <w:szCs w:val="28"/>
          <w:rtl/>
        </w:rPr>
        <w:t>על כך הוא משלם את המחיר. לדבריו, הוא עבר ה</w:t>
      </w:r>
      <w:r w:rsidRPr="00152D0F">
        <w:rPr>
          <w:rFonts w:cs="FrankRuehl"/>
          <w:sz w:val="28"/>
          <w:szCs w:val="28"/>
          <w:rtl/>
        </w:rPr>
        <w:t>ליך שיקומי של שנתיים וחצי</w:t>
      </w:r>
      <w:r w:rsidRPr="00152D0F">
        <w:rPr>
          <w:rFonts w:cs="FrankRuehl" w:hint="cs"/>
          <w:sz w:val="28"/>
          <w:szCs w:val="28"/>
          <w:rtl/>
        </w:rPr>
        <w:t xml:space="preserve">. כיום, הוא בעל עסק בתחום הובלת דירות, ומעסיק </w:t>
      </w:r>
      <w:r>
        <w:rPr>
          <w:rFonts w:cs="FrankRuehl" w:hint="cs"/>
          <w:sz w:val="28"/>
          <w:szCs w:val="28"/>
          <w:rtl/>
        </w:rPr>
        <w:t xml:space="preserve">עוברים, ביניהם </w:t>
      </w:r>
      <w:r w:rsidRPr="00152D0F">
        <w:rPr>
          <w:rFonts w:cs="FrankRuehl" w:hint="cs"/>
          <w:sz w:val="28"/>
          <w:szCs w:val="28"/>
          <w:rtl/>
        </w:rPr>
        <w:t>ארבעה נהגי משאיות, חלקם ערבים</w:t>
      </w:r>
      <w:r>
        <w:rPr>
          <w:rFonts w:cs="FrankRuehl" w:hint="cs"/>
          <w:sz w:val="28"/>
          <w:szCs w:val="28"/>
          <w:rtl/>
        </w:rPr>
        <w:t>.</w:t>
      </w:r>
      <w:r w:rsidRPr="00152D0F">
        <w:rPr>
          <w:rFonts w:cs="FrankRuehl" w:hint="cs"/>
          <w:sz w:val="28"/>
          <w:szCs w:val="28"/>
          <w:rtl/>
        </w:rPr>
        <w:t xml:space="preserve">  </w:t>
      </w:r>
    </w:p>
    <w:p w14:paraId="33252CFB" w14:textId="77777777" w:rsidR="00C6274B" w:rsidRPr="00152D0F" w:rsidRDefault="00C6274B" w:rsidP="00C6274B">
      <w:pPr>
        <w:pStyle w:val="David"/>
        <w:rPr>
          <w:rFonts w:cs="FrankRuehl"/>
          <w:sz w:val="28"/>
          <w:szCs w:val="28"/>
          <w:rtl/>
        </w:rPr>
      </w:pPr>
    </w:p>
    <w:p w14:paraId="343B5C2C" w14:textId="77777777" w:rsidR="00C6274B" w:rsidRPr="00152D0F" w:rsidRDefault="00C6274B" w:rsidP="00C6274B">
      <w:pPr>
        <w:pStyle w:val="David"/>
        <w:rPr>
          <w:rFonts w:cs="FrankRuehl"/>
          <w:b/>
          <w:bCs/>
          <w:sz w:val="28"/>
          <w:szCs w:val="28"/>
          <w:u w:val="single"/>
          <w:rtl/>
        </w:rPr>
      </w:pPr>
      <w:r w:rsidRPr="00152D0F">
        <w:rPr>
          <w:rFonts w:cs="FrankRuehl" w:hint="cs"/>
          <w:b/>
          <w:bCs/>
          <w:sz w:val="28"/>
          <w:szCs w:val="28"/>
          <w:u w:val="single"/>
          <w:rtl/>
        </w:rPr>
        <w:t>דיון והכרעה</w:t>
      </w:r>
    </w:p>
    <w:p w14:paraId="644BC64B" w14:textId="77777777" w:rsidR="00C6274B" w:rsidRDefault="00C6274B" w:rsidP="00C6274B">
      <w:pPr>
        <w:pStyle w:val="David"/>
        <w:rPr>
          <w:rFonts w:cs="FrankRuehl"/>
          <w:sz w:val="28"/>
          <w:szCs w:val="28"/>
          <w:rtl/>
        </w:rPr>
      </w:pPr>
      <w:r>
        <w:rPr>
          <w:rFonts w:cs="FrankRuehl" w:hint="cs"/>
          <w:sz w:val="28"/>
          <w:szCs w:val="28"/>
          <w:rtl/>
        </w:rPr>
        <w:t>16.</w:t>
      </w:r>
      <w:r>
        <w:rPr>
          <w:rFonts w:cs="FrankRuehl" w:hint="cs"/>
          <w:sz w:val="28"/>
          <w:szCs w:val="28"/>
          <w:rtl/>
        </w:rPr>
        <w:tab/>
        <w:t>הערכים החברתיים שנפגעו במעשי הנאשם הם ערכים הקשורים בהגנה על שלום הציבור, כבודו, בטחונו, שלמות גופו ורכושו. החומרה המיוחדת של עבירת התקיפה במקרה זה היא בהיותה על רקע גזעני, עבירה שיש בה פגיעה של ממש בכבוד האדם והיא "חותרת תחת עצם מהותנו, הן כמדינת חוק הן כמדינה יהודית ודמוקרטית" (</w:t>
      </w:r>
      <w:hyperlink r:id="rId17" w:history="1">
        <w:r w:rsidR="00232899" w:rsidRPr="00232899">
          <w:rPr>
            <w:rFonts w:cs="FrankRuehl"/>
            <w:color w:val="0000FF"/>
            <w:sz w:val="28"/>
            <w:szCs w:val="28"/>
            <w:u w:val="single"/>
            <w:rtl/>
          </w:rPr>
          <w:t>ע"פ 5469/13</w:t>
        </w:r>
      </w:hyperlink>
      <w:r>
        <w:rPr>
          <w:rFonts w:cs="FrankRuehl" w:hint="cs"/>
          <w:sz w:val="28"/>
          <w:szCs w:val="28"/>
          <w:rtl/>
        </w:rPr>
        <w:t xml:space="preserve"> </w:t>
      </w:r>
      <w:r w:rsidRPr="00E160D1">
        <w:rPr>
          <w:rFonts w:cs="FrankRuehl" w:hint="cs"/>
          <w:b/>
          <w:bCs/>
          <w:sz w:val="28"/>
          <w:szCs w:val="28"/>
          <w:rtl/>
        </w:rPr>
        <w:t>פלוני נ' מדינת ישראל</w:t>
      </w:r>
      <w:r>
        <w:rPr>
          <w:rFonts w:cs="FrankRuehl" w:hint="cs"/>
          <w:sz w:val="28"/>
          <w:szCs w:val="28"/>
          <w:rtl/>
        </w:rPr>
        <w:t xml:space="preserve"> (פורסם בנבו, 13.04.14)). מדובר במעשים בזויים בהיבט המוסרי שיש בהם כדי להכתים את דמותה של המדינה בארץ ומחוצה לה (</w:t>
      </w:r>
      <w:hyperlink r:id="rId18" w:history="1">
        <w:r w:rsidR="00232899" w:rsidRPr="00232899">
          <w:rPr>
            <w:rFonts w:cs="FrankRuehl"/>
            <w:color w:val="0000FF"/>
            <w:sz w:val="28"/>
            <w:szCs w:val="28"/>
            <w:u w:val="single"/>
            <w:rtl/>
          </w:rPr>
          <w:t>ע"פ 3981/14</w:t>
        </w:r>
      </w:hyperlink>
      <w:r>
        <w:rPr>
          <w:rFonts w:cs="FrankRuehl" w:hint="cs"/>
          <w:sz w:val="28"/>
          <w:szCs w:val="28"/>
          <w:rtl/>
        </w:rPr>
        <w:t xml:space="preserve"> </w:t>
      </w:r>
      <w:r w:rsidRPr="00E160D1">
        <w:rPr>
          <w:rFonts w:cs="FrankRuehl" w:hint="cs"/>
          <w:b/>
          <w:bCs/>
          <w:sz w:val="28"/>
          <w:szCs w:val="28"/>
          <w:rtl/>
        </w:rPr>
        <w:t>פלוני נ' מדינת ישראל</w:t>
      </w:r>
      <w:r>
        <w:rPr>
          <w:rFonts w:cs="FrankRuehl" w:hint="cs"/>
          <w:sz w:val="28"/>
          <w:szCs w:val="28"/>
          <w:rtl/>
        </w:rPr>
        <w:t xml:space="preserve"> (פורסם בנבו, 3.08.14)). לא בכדי נקבע בחוק, כי העונש על ביצוע עבירה ממניע גזעני הוא כפל העונש הקבוע לאותה עבירה. בית המשפט ציין כי "העונש המוטל בגין מעשי עבירה המבוצעים על רקע גזעני, צריך לתת ביטוי לסלידת החברה בישראל ממעשים מסוג זה, ולבטא באופן חד משמעי מסר מרתיע, לבל יעז איש להצית את אש הגזענות בקרבנו, ולפגוע באדם תמים בשל מוצאו" (</w:t>
      </w:r>
      <w:hyperlink r:id="rId19" w:history="1">
        <w:r w:rsidR="00232899" w:rsidRPr="00232899">
          <w:rPr>
            <w:rFonts w:cs="FrankRuehl"/>
            <w:color w:val="0000FF"/>
            <w:sz w:val="28"/>
            <w:szCs w:val="28"/>
            <w:u w:val="single"/>
            <w:rtl/>
          </w:rPr>
          <w:t>ע"פ 9507/11</w:t>
        </w:r>
      </w:hyperlink>
      <w:r>
        <w:rPr>
          <w:rFonts w:cs="FrankRuehl" w:hint="cs"/>
          <w:sz w:val="28"/>
          <w:szCs w:val="28"/>
          <w:rtl/>
        </w:rPr>
        <w:t xml:space="preserve"> </w:t>
      </w:r>
      <w:r w:rsidRPr="00196768">
        <w:rPr>
          <w:rFonts w:cs="FrankRuehl" w:hint="cs"/>
          <w:b/>
          <w:bCs/>
          <w:sz w:val="28"/>
          <w:szCs w:val="28"/>
          <w:rtl/>
        </w:rPr>
        <w:t>סביליה נ' מדינת ישראל</w:t>
      </w:r>
      <w:r>
        <w:rPr>
          <w:rFonts w:cs="FrankRuehl" w:hint="cs"/>
          <w:sz w:val="28"/>
          <w:szCs w:val="28"/>
          <w:rtl/>
        </w:rPr>
        <w:t xml:space="preserve"> (פורסם בנבו, 4.04.12)). </w:t>
      </w:r>
    </w:p>
    <w:p w14:paraId="4A0321EF" w14:textId="77777777" w:rsidR="00C6274B" w:rsidRDefault="00C6274B" w:rsidP="00C6274B">
      <w:pPr>
        <w:pStyle w:val="David"/>
        <w:rPr>
          <w:rFonts w:cs="FrankRuehl"/>
          <w:sz w:val="28"/>
          <w:szCs w:val="28"/>
          <w:rtl/>
        </w:rPr>
      </w:pPr>
    </w:p>
    <w:p w14:paraId="75399CDF" w14:textId="77777777" w:rsidR="00C6274B" w:rsidRDefault="00C6274B" w:rsidP="00C6274B">
      <w:pPr>
        <w:pStyle w:val="David"/>
        <w:rPr>
          <w:rFonts w:cs="FrankRuehl"/>
          <w:sz w:val="28"/>
          <w:szCs w:val="28"/>
          <w:rtl/>
        </w:rPr>
      </w:pPr>
      <w:r>
        <w:rPr>
          <w:rFonts w:cs="FrankRuehl" w:hint="cs"/>
          <w:sz w:val="28"/>
          <w:szCs w:val="28"/>
          <w:rtl/>
        </w:rPr>
        <w:t>17.</w:t>
      </w:r>
      <w:r>
        <w:rPr>
          <w:rFonts w:cs="FrankRuehl" w:hint="cs"/>
          <w:sz w:val="28"/>
          <w:szCs w:val="28"/>
          <w:rtl/>
        </w:rPr>
        <w:tab/>
        <w:t xml:space="preserve">בית המשפט גם עמד, לא פעם, על כך שיש צורך בענישה מרתיעה לצורך התמודדות עם גילויי אלימות על רקע גזעני, ועל כך שעבירות מהסוג הזה מחייבות, ככלל, הטלת מאסר בפועל, זאת הן כביטוי לסלידה מהמעשים והן כדי לשמש אמצעי הרתעה (ראו למשל: </w:t>
      </w:r>
      <w:hyperlink r:id="rId20" w:history="1">
        <w:r w:rsidR="00232899" w:rsidRPr="00232899">
          <w:rPr>
            <w:rFonts w:cs="FrankRuehl"/>
            <w:color w:val="0000FF"/>
            <w:sz w:val="28"/>
            <w:szCs w:val="28"/>
            <w:u w:val="single"/>
            <w:rtl/>
          </w:rPr>
          <w:t>ע"פ 2909/19</w:t>
        </w:r>
      </w:hyperlink>
      <w:r>
        <w:rPr>
          <w:rFonts w:cs="FrankRuehl" w:hint="cs"/>
          <w:sz w:val="28"/>
          <w:szCs w:val="28"/>
          <w:rtl/>
        </w:rPr>
        <w:t xml:space="preserve"> </w:t>
      </w:r>
      <w:r w:rsidRPr="00E160D1">
        <w:rPr>
          <w:rFonts w:cs="FrankRuehl" w:hint="cs"/>
          <w:b/>
          <w:bCs/>
          <w:sz w:val="28"/>
          <w:szCs w:val="28"/>
          <w:rtl/>
        </w:rPr>
        <w:t>פלוני נ' מדינת ישראל</w:t>
      </w:r>
      <w:r>
        <w:rPr>
          <w:rFonts w:cs="FrankRuehl" w:hint="cs"/>
          <w:sz w:val="28"/>
          <w:szCs w:val="28"/>
          <w:rtl/>
        </w:rPr>
        <w:t xml:space="preserve"> (פורסם בנבו, 14.07.19); </w:t>
      </w:r>
      <w:hyperlink r:id="rId21" w:history="1">
        <w:r w:rsidR="00232899" w:rsidRPr="00232899">
          <w:rPr>
            <w:rFonts w:cs="FrankRuehl"/>
            <w:color w:val="0000FF"/>
            <w:sz w:val="28"/>
            <w:szCs w:val="28"/>
            <w:u w:val="single"/>
            <w:rtl/>
          </w:rPr>
          <w:t>ע"פ 3657/16</w:t>
        </w:r>
      </w:hyperlink>
      <w:r>
        <w:rPr>
          <w:rFonts w:cs="FrankRuehl" w:hint="cs"/>
          <w:sz w:val="28"/>
          <w:szCs w:val="28"/>
          <w:rtl/>
        </w:rPr>
        <w:t xml:space="preserve"> </w:t>
      </w:r>
      <w:r w:rsidRPr="00E160D1">
        <w:rPr>
          <w:rFonts w:cs="FrankRuehl" w:hint="cs"/>
          <w:b/>
          <w:bCs/>
          <w:sz w:val="28"/>
          <w:szCs w:val="28"/>
          <w:rtl/>
        </w:rPr>
        <w:t>אל עוברה נ' מדינת ישראל</w:t>
      </w:r>
      <w:r>
        <w:rPr>
          <w:rFonts w:cs="FrankRuehl" w:hint="cs"/>
          <w:sz w:val="28"/>
          <w:szCs w:val="28"/>
          <w:rtl/>
        </w:rPr>
        <w:t xml:space="preserve"> (פורסם בנבו, 25.01.17); </w:t>
      </w:r>
      <w:hyperlink r:id="rId22" w:history="1">
        <w:r w:rsidR="00232899" w:rsidRPr="00232899">
          <w:rPr>
            <w:rFonts w:cs="FrankRuehl"/>
            <w:color w:val="0000FF"/>
            <w:sz w:val="28"/>
            <w:szCs w:val="28"/>
            <w:u w:val="single"/>
            <w:rtl/>
          </w:rPr>
          <w:t>ע"פ 3183/16</w:t>
        </w:r>
      </w:hyperlink>
      <w:r>
        <w:rPr>
          <w:rFonts w:cs="FrankRuehl" w:hint="cs"/>
          <w:sz w:val="28"/>
          <w:szCs w:val="28"/>
          <w:rtl/>
        </w:rPr>
        <w:t xml:space="preserve"> </w:t>
      </w:r>
      <w:r w:rsidRPr="00E160D1">
        <w:rPr>
          <w:rFonts w:cs="FrankRuehl" w:hint="cs"/>
          <w:b/>
          <w:bCs/>
          <w:sz w:val="28"/>
          <w:szCs w:val="28"/>
          <w:rtl/>
        </w:rPr>
        <w:t>עופרי נ' מדינת ישראל</w:t>
      </w:r>
      <w:r>
        <w:rPr>
          <w:rFonts w:cs="FrankRuehl" w:hint="cs"/>
          <w:sz w:val="28"/>
          <w:szCs w:val="28"/>
          <w:rtl/>
        </w:rPr>
        <w:t xml:space="preserve"> (פורסם בנבו, 8.03.17)), גם כאשר מדובר בקטינים (ראו: </w:t>
      </w:r>
      <w:hyperlink r:id="rId23" w:history="1">
        <w:r w:rsidR="00232899" w:rsidRPr="00232899">
          <w:rPr>
            <w:rFonts w:cs="FrankRuehl"/>
            <w:color w:val="0000FF"/>
            <w:sz w:val="28"/>
            <w:szCs w:val="28"/>
            <w:u w:val="single"/>
            <w:rtl/>
          </w:rPr>
          <w:t>ע"פ 2150/17</w:t>
        </w:r>
      </w:hyperlink>
      <w:r>
        <w:rPr>
          <w:rFonts w:cs="FrankRuehl" w:hint="cs"/>
          <w:sz w:val="28"/>
          <w:szCs w:val="28"/>
          <w:rtl/>
        </w:rPr>
        <w:t xml:space="preserve"> </w:t>
      </w:r>
      <w:r w:rsidRPr="00E160D1">
        <w:rPr>
          <w:rFonts w:cs="FrankRuehl" w:hint="cs"/>
          <w:b/>
          <w:bCs/>
          <w:sz w:val="28"/>
          <w:szCs w:val="28"/>
          <w:rtl/>
        </w:rPr>
        <w:t>פלוני נ' מדינת ישראל</w:t>
      </w:r>
      <w:r>
        <w:rPr>
          <w:rFonts w:cs="FrankRuehl" w:hint="cs"/>
          <w:sz w:val="28"/>
          <w:szCs w:val="28"/>
          <w:rtl/>
        </w:rPr>
        <w:t xml:space="preserve"> (פורסם בנבו, 14.05.18); </w:t>
      </w:r>
      <w:hyperlink r:id="rId24" w:history="1">
        <w:r w:rsidR="00232899" w:rsidRPr="00232899">
          <w:rPr>
            <w:rFonts w:cs="FrankRuehl"/>
            <w:color w:val="0000FF"/>
            <w:sz w:val="28"/>
            <w:szCs w:val="28"/>
            <w:u w:val="single"/>
            <w:rtl/>
          </w:rPr>
          <w:t>ע"פ 5469/13</w:t>
        </w:r>
      </w:hyperlink>
      <w:r>
        <w:rPr>
          <w:rFonts w:cs="FrankRuehl" w:hint="cs"/>
          <w:sz w:val="28"/>
          <w:szCs w:val="28"/>
          <w:rtl/>
        </w:rPr>
        <w:t xml:space="preserve"> </w:t>
      </w:r>
      <w:r w:rsidRPr="00E160D1">
        <w:rPr>
          <w:rFonts w:cs="FrankRuehl" w:hint="cs"/>
          <w:b/>
          <w:bCs/>
          <w:sz w:val="28"/>
          <w:szCs w:val="28"/>
          <w:rtl/>
        </w:rPr>
        <w:t>פלוני נ' מדינת ישראל</w:t>
      </w:r>
      <w:r>
        <w:rPr>
          <w:rFonts w:cs="FrankRuehl" w:hint="cs"/>
          <w:sz w:val="28"/>
          <w:szCs w:val="28"/>
          <w:rtl/>
        </w:rPr>
        <w:t xml:space="preserve"> (פורסם בנבו, 13.04.14)).</w:t>
      </w:r>
    </w:p>
    <w:p w14:paraId="3E44090E" w14:textId="77777777" w:rsidR="00C6274B" w:rsidRDefault="00C6274B" w:rsidP="00C6274B">
      <w:pPr>
        <w:pStyle w:val="David"/>
        <w:rPr>
          <w:rFonts w:cs="FrankRuehl"/>
          <w:sz w:val="28"/>
          <w:szCs w:val="28"/>
          <w:rtl/>
        </w:rPr>
      </w:pPr>
    </w:p>
    <w:p w14:paraId="531C233E" w14:textId="77777777" w:rsidR="00C6274B" w:rsidRPr="00152D0F" w:rsidRDefault="00C6274B" w:rsidP="00C6274B">
      <w:pPr>
        <w:pStyle w:val="David"/>
        <w:rPr>
          <w:rFonts w:ascii="Arial" w:hAnsi="Arial" w:cs="FrankRuehl"/>
          <w:sz w:val="28"/>
          <w:szCs w:val="28"/>
        </w:rPr>
      </w:pPr>
      <w:r>
        <w:rPr>
          <w:rFonts w:cs="FrankRuehl" w:hint="cs"/>
          <w:sz w:val="28"/>
          <w:szCs w:val="28"/>
          <w:rtl/>
        </w:rPr>
        <w:t>18.</w:t>
      </w:r>
      <w:r>
        <w:rPr>
          <w:rFonts w:cs="FrankRuehl" w:hint="cs"/>
          <w:sz w:val="28"/>
          <w:szCs w:val="28"/>
          <w:rtl/>
        </w:rPr>
        <w:tab/>
        <w:t>באשר לנסיבות ביצוע העבירה, מדובר בגילוי אלימות קשה כלפי המתלונן. אכן לא הוכח תכנון מוקדם, ואף לא נטען כי הנאשם הגיע למקום במטרה לבצע את העבירה אלא שהוא נקלע אליו. ברם, אין מדובר בפעולה אחת, אלא בפעולה נמשכת שנועדה להטיל מורא על המתלונן ולפגוע בו בשל מוצאו. הנאשם היכה את המתלונן, ויכול היה לחדול בשלב זה. ואולם, הוא בחר לרדוף אחר המתלונן שנמלט מפניו, ואף לא נתן למכשולים שנקרו בדרכו, כרכבו של עלאא, להפריע לו במטרתו לפגוע במתלונן. הוא עלה על הרכב במטרה להגיע אל המתלונן, גם במחיר גרימת נזק לא מבוטל לרכב של עלאא</w:t>
      </w:r>
      <w:r>
        <w:rPr>
          <w:rFonts w:ascii="Arial" w:hAnsi="Arial" w:cs="FrankRuehl" w:hint="cs"/>
          <w:sz w:val="28"/>
          <w:szCs w:val="28"/>
          <w:rtl/>
        </w:rPr>
        <w:t>.</w:t>
      </w:r>
    </w:p>
    <w:p w14:paraId="7980F476" w14:textId="77777777" w:rsidR="00C6274B" w:rsidRDefault="00C6274B" w:rsidP="00C6274B">
      <w:pPr>
        <w:pStyle w:val="David"/>
        <w:rPr>
          <w:rFonts w:cs="FrankRuehl"/>
          <w:sz w:val="28"/>
          <w:szCs w:val="28"/>
          <w:rtl/>
        </w:rPr>
      </w:pPr>
    </w:p>
    <w:p w14:paraId="632F4522" w14:textId="77777777" w:rsidR="00C6274B" w:rsidRDefault="00C6274B" w:rsidP="00C6274B">
      <w:pPr>
        <w:pStyle w:val="David"/>
        <w:rPr>
          <w:rFonts w:cs="FrankRuehl"/>
          <w:sz w:val="28"/>
          <w:szCs w:val="28"/>
          <w:rtl/>
        </w:rPr>
      </w:pPr>
      <w:r>
        <w:rPr>
          <w:rFonts w:cs="FrankRuehl" w:hint="cs"/>
          <w:sz w:val="28"/>
          <w:szCs w:val="28"/>
          <w:rtl/>
        </w:rPr>
        <w:t>19.</w:t>
      </w:r>
      <w:r>
        <w:rPr>
          <w:rFonts w:cs="FrankRuehl" w:hint="cs"/>
          <w:sz w:val="28"/>
          <w:szCs w:val="28"/>
          <w:rtl/>
        </w:rPr>
        <w:tab/>
        <w:t xml:space="preserve">הנזק הפיסי שנגרם למתלונן בפועל אמנם אינו במדרג חומרה גבוה, ולפי האמור בכתב האישום המכה גרמה לדימום באף. אולם לצד הנזק הפיסי, עומדים ההשפלה הביזוי, והפחד שחווה המתלונן, כפי שעולה מדברי המתלונן בתצהיר הנפגע שהגיש, כי הוא ירא מתקיפה נוספת. גם ללא דבריו, די ברור כי המעשה גרם לו לתחושות קשות. בהקשר זה יצוין, כי כשהצהרת נפגע העבירה מובאת כדי להציג את תחושותיו הסובייקטיביות של נפגע העבירה כתוצאה מהעבירה, להבדיל משימוש בהצהרת הנפגע לביסוס נתונים אובייקטיביים, העדר חקירה נגדית אינה כה משמעותית (ראו: </w:t>
      </w:r>
      <w:hyperlink r:id="rId25" w:history="1">
        <w:r w:rsidR="00232899" w:rsidRPr="00232899">
          <w:rPr>
            <w:rFonts w:cs="FrankRuehl"/>
            <w:color w:val="0000FF"/>
            <w:sz w:val="28"/>
            <w:szCs w:val="28"/>
            <w:u w:val="single"/>
            <w:rtl/>
          </w:rPr>
          <w:t>ע"פ 2906/19</w:t>
        </w:r>
      </w:hyperlink>
      <w:r>
        <w:rPr>
          <w:rFonts w:cs="FrankRuehl" w:hint="cs"/>
          <w:sz w:val="28"/>
          <w:szCs w:val="28"/>
          <w:rtl/>
        </w:rPr>
        <w:t xml:space="preserve"> בעניין </w:t>
      </w:r>
      <w:r w:rsidRPr="00E160D1">
        <w:rPr>
          <w:rFonts w:cs="FrankRuehl" w:hint="cs"/>
          <w:b/>
          <w:bCs/>
          <w:sz w:val="28"/>
          <w:szCs w:val="28"/>
          <w:rtl/>
        </w:rPr>
        <w:t>פלוני</w:t>
      </w:r>
      <w:r>
        <w:rPr>
          <w:rFonts w:cs="FrankRuehl" w:hint="cs"/>
          <w:sz w:val="28"/>
          <w:szCs w:val="28"/>
          <w:rtl/>
        </w:rPr>
        <w:t xml:space="preserve">). לכן, ברי כי אין מקום להתייחס לדבריו של המתלונן בדבר השבר שנגרם לו באפו, בפרט בשים לב כי הדבר לא יוחס לנאשם בכתב האישום המתוקן, אך תחושות הפחד הסובייקטיביות שלו ראויות להתייחסות, במשקל הראוי לכך, בהעדר חקירה.      </w:t>
      </w:r>
    </w:p>
    <w:p w14:paraId="277C0358" w14:textId="77777777" w:rsidR="00C6274B" w:rsidRDefault="00C6274B" w:rsidP="00C6274B">
      <w:pPr>
        <w:pStyle w:val="David"/>
        <w:rPr>
          <w:rFonts w:cs="FrankRuehl"/>
          <w:sz w:val="28"/>
          <w:szCs w:val="28"/>
          <w:rtl/>
        </w:rPr>
      </w:pPr>
    </w:p>
    <w:p w14:paraId="5B990036" w14:textId="77777777" w:rsidR="00C6274B" w:rsidRDefault="00C6274B" w:rsidP="00C6274B">
      <w:pPr>
        <w:pStyle w:val="David"/>
        <w:rPr>
          <w:rFonts w:cs="FrankRuehl"/>
          <w:sz w:val="28"/>
          <w:szCs w:val="28"/>
          <w:rtl/>
        </w:rPr>
      </w:pPr>
      <w:r>
        <w:rPr>
          <w:rFonts w:cs="FrankRuehl" w:hint="cs"/>
          <w:sz w:val="28"/>
          <w:szCs w:val="28"/>
          <w:rtl/>
        </w:rPr>
        <w:t>20.</w:t>
      </w:r>
      <w:r>
        <w:rPr>
          <w:rFonts w:cs="FrankRuehl" w:hint="cs"/>
          <w:sz w:val="28"/>
          <w:szCs w:val="28"/>
          <w:rtl/>
        </w:rPr>
        <w:tab/>
        <w:t xml:space="preserve">גם פוטנציאל הנזק של עבירות אלימות אלו הוא גבוה. על הנאשם היה לצפות, אף אם הדבר לא התממש בפועל, למרבה המזל, נזק חמור ורחב עוד יותר, הן בהיבט של הפגיעה הפיסית והנפשית במתלונן בשל ההשפלה והביזוי, והן בהיבט רחב יותר של הצתת אש נרחבת בין יהודים וערבים נוכח מעשים אלו (ראו: </w:t>
      </w:r>
      <w:hyperlink r:id="rId26" w:history="1">
        <w:r w:rsidR="00232899" w:rsidRPr="00232899">
          <w:rPr>
            <w:rFonts w:cs="FrankRuehl"/>
            <w:color w:val="0000FF"/>
            <w:sz w:val="28"/>
            <w:szCs w:val="28"/>
            <w:u w:val="single"/>
            <w:rtl/>
          </w:rPr>
          <w:t>תפ"ח (מחוזי-ב"ש) 35048-04-17</w:t>
        </w:r>
      </w:hyperlink>
      <w:r>
        <w:rPr>
          <w:rFonts w:cs="FrankRuehl" w:hint="cs"/>
          <w:sz w:val="28"/>
          <w:szCs w:val="28"/>
          <w:rtl/>
        </w:rPr>
        <w:t xml:space="preserve"> </w:t>
      </w:r>
      <w:r w:rsidRPr="0069315E">
        <w:rPr>
          <w:rFonts w:cs="FrankRuehl" w:hint="cs"/>
          <w:b/>
          <w:bCs/>
          <w:sz w:val="28"/>
          <w:szCs w:val="28"/>
          <w:rtl/>
        </w:rPr>
        <w:t>מדינת ישראל נ' עמיצור</w:t>
      </w:r>
      <w:r>
        <w:rPr>
          <w:rFonts w:cs="FrankRuehl" w:hint="cs"/>
          <w:sz w:val="28"/>
          <w:szCs w:val="28"/>
          <w:rtl/>
        </w:rPr>
        <w:t xml:space="preserve"> (פורסם בנבו, 5.11.18)). </w:t>
      </w:r>
    </w:p>
    <w:p w14:paraId="17AA0F21" w14:textId="77777777" w:rsidR="00C6274B" w:rsidRDefault="00C6274B" w:rsidP="00C6274B">
      <w:pPr>
        <w:pStyle w:val="David"/>
        <w:rPr>
          <w:rFonts w:cs="FrankRuehl"/>
          <w:sz w:val="28"/>
          <w:szCs w:val="28"/>
          <w:rtl/>
        </w:rPr>
      </w:pPr>
    </w:p>
    <w:p w14:paraId="721333F6" w14:textId="77777777" w:rsidR="00C6274B" w:rsidRDefault="00C6274B" w:rsidP="00C6274B">
      <w:pPr>
        <w:pStyle w:val="David"/>
        <w:rPr>
          <w:rFonts w:cs="FrankRuehl"/>
          <w:sz w:val="28"/>
          <w:szCs w:val="28"/>
          <w:rtl/>
        </w:rPr>
      </w:pPr>
      <w:r>
        <w:rPr>
          <w:rFonts w:cs="FrankRuehl" w:hint="cs"/>
          <w:sz w:val="28"/>
          <w:szCs w:val="28"/>
          <w:rtl/>
        </w:rPr>
        <w:t>21.</w:t>
      </w:r>
      <w:r>
        <w:rPr>
          <w:rFonts w:cs="FrankRuehl" w:hint="cs"/>
          <w:sz w:val="28"/>
          <w:szCs w:val="28"/>
          <w:rtl/>
        </w:rPr>
        <w:tab/>
        <w:t>באשר לפסיקה הנוהגת, כאמור, בתי המשפט ציינו כמעט בכל מקום בו נדונה עבירת אלימות ממניע גזעני, כי לא ניתן לפטור את הנאשם מבלי עונש מאסר מאחורי סורג ובריח.</w:t>
      </w:r>
    </w:p>
    <w:p w14:paraId="65BD4F70" w14:textId="77777777" w:rsidR="00C6274B" w:rsidRDefault="00C6274B" w:rsidP="00C6274B">
      <w:pPr>
        <w:pStyle w:val="David"/>
        <w:rPr>
          <w:rFonts w:cs="FrankRuehl"/>
          <w:sz w:val="28"/>
          <w:szCs w:val="28"/>
          <w:rtl/>
        </w:rPr>
      </w:pPr>
    </w:p>
    <w:p w14:paraId="2A9D6B42" w14:textId="77777777" w:rsidR="00C6274B" w:rsidRDefault="00C6274B" w:rsidP="00C6274B">
      <w:pPr>
        <w:pStyle w:val="David"/>
        <w:numPr>
          <w:ilvl w:val="0"/>
          <w:numId w:val="1"/>
        </w:numPr>
        <w:rPr>
          <w:rFonts w:cs="FrankRuehl"/>
          <w:sz w:val="28"/>
          <w:szCs w:val="28"/>
          <w:rtl/>
        </w:rPr>
      </w:pPr>
      <w:r>
        <w:rPr>
          <w:rFonts w:cs="FrankRuehl" w:hint="cs"/>
          <w:sz w:val="28"/>
          <w:szCs w:val="28"/>
          <w:rtl/>
        </w:rPr>
        <w:t>ב</w:t>
      </w:r>
      <w:hyperlink r:id="rId27" w:history="1">
        <w:r w:rsidR="00232899" w:rsidRPr="00232899">
          <w:rPr>
            <w:rFonts w:cs="FrankRuehl"/>
            <w:color w:val="0000FF"/>
            <w:sz w:val="28"/>
            <w:szCs w:val="28"/>
            <w:u w:val="single"/>
            <w:rtl/>
          </w:rPr>
          <w:t>ע"פ 2906/19</w:t>
        </w:r>
      </w:hyperlink>
      <w:r>
        <w:rPr>
          <w:rFonts w:cs="FrankRuehl" w:hint="cs"/>
          <w:sz w:val="28"/>
          <w:szCs w:val="28"/>
          <w:rtl/>
        </w:rPr>
        <w:t xml:space="preserve"> בעניין </w:t>
      </w:r>
      <w:r w:rsidRPr="00E8646A">
        <w:rPr>
          <w:rFonts w:cs="FrankRuehl" w:hint="cs"/>
          <w:b/>
          <w:bCs/>
          <w:sz w:val="28"/>
          <w:szCs w:val="28"/>
          <w:rtl/>
        </w:rPr>
        <w:t>פלוני</w:t>
      </w:r>
      <w:r>
        <w:rPr>
          <w:rFonts w:cs="FrankRuehl" w:hint="cs"/>
          <w:sz w:val="28"/>
          <w:szCs w:val="28"/>
          <w:rtl/>
        </w:rPr>
        <w:t xml:space="preserve">, אושר עונש של 6 חודשי מאסר בפועל, מחציתם לריצוי מאחורי סורג ובריח ומחציתם לריצוי בעבודות שירות שהושת על קטין, בן כ-15 וחצי, שהורשע בתקיפה בנסיבות מחמירות ממניע גזעני בשל זריקת אבנים גדולות מטווח קצר על אדם יהודי בשל היותו יהודי, כשחלק מהאבנים פגעו בגבו של המתלונן וגרמו לו חבלות. שותפיו של אותו קטין נידונו ל-8 חודשי מאסר בפועל מאחורי סורג ובריח כל אחד. </w:t>
      </w:r>
    </w:p>
    <w:p w14:paraId="74288835" w14:textId="77777777" w:rsidR="00C6274B" w:rsidRDefault="00C6274B" w:rsidP="00C6274B">
      <w:pPr>
        <w:pStyle w:val="David"/>
        <w:rPr>
          <w:rFonts w:cs="FrankRuehl"/>
          <w:sz w:val="28"/>
          <w:szCs w:val="28"/>
          <w:rtl/>
        </w:rPr>
      </w:pPr>
    </w:p>
    <w:p w14:paraId="51FE5329" w14:textId="77777777" w:rsidR="00C6274B" w:rsidRDefault="00C6274B" w:rsidP="00C6274B">
      <w:pPr>
        <w:pStyle w:val="David"/>
        <w:numPr>
          <w:ilvl w:val="0"/>
          <w:numId w:val="1"/>
        </w:numPr>
        <w:rPr>
          <w:rFonts w:cs="FrankRuehl"/>
          <w:sz w:val="28"/>
          <w:szCs w:val="28"/>
          <w:rtl/>
        </w:rPr>
      </w:pPr>
      <w:r>
        <w:rPr>
          <w:rFonts w:cs="FrankRuehl" w:hint="cs"/>
          <w:sz w:val="28"/>
          <w:szCs w:val="28"/>
          <w:rtl/>
        </w:rPr>
        <w:t>ב</w:t>
      </w:r>
      <w:hyperlink r:id="rId28" w:history="1">
        <w:r w:rsidR="00232899" w:rsidRPr="00232899">
          <w:rPr>
            <w:rFonts w:cs="FrankRuehl"/>
            <w:color w:val="0000FF"/>
            <w:sz w:val="28"/>
            <w:szCs w:val="28"/>
            <w:u w:val="single"/>
            <w:rtl/>
          </w:rPr>
          <w:t>ע"פ 3657/16</w:t>
        </w:r>
      </w:hyperlink>
      <w:r>
        <w:rPr>
          <w:rFonts w:cs="FrankRuehl" w:hint="cs"/>
          <w:sz w:val="28"/>
          <w:szCs w:val="28"/>
          <w:rtl/>
        </w:rPr>
        <w:t xml:space="preserve"> </w:t>
      </w:r>
      <w:r w:rsidRPr="00E8646A">
        <w:rPr>
          <w:rFonts w:cs="FrankRuehl" w:hint="cs"/>
          <w:b/>
          <w:bCs/>
          <w:sz w:val="28"/>
          <w:szCs w:val="28"/>
          <w:rtl/>
        </w:rPr>
        <w:t>אל עוברה נ' מדינת ישראל</w:t>
      </w:r>
      <w:r>
        <w:rPr>
          <w:rFonts w:cs="FrankRuehl" w:hint="cs"/>
          <w:sz w:val="28"/>
          <w:szCs w:val="28"/>
          <w:rtl/>
        </w:rPr>
        <w:t xml:space="preserve"> (פורסם בנבו, 25.01.17) אושר עונש מאסר של 8 חודשים על נאשם שהורשע בעבירה של חבלה במזיד ברכב מתוך מניע של עוינות כלפי הציבור, בשל כך שחרט, באמצעות אבן, סימנים של "צלב קרס" על גבי אחד עשר כלי רכב, בשל כך שסבר שמוצאם של בעלי כלי הרכב הוא יהודי. </w:t>
      </w:r>
    </w:p>
    <w:p w14:paraId="24C93A1E" w14:textId="77777777" w:rsidR="00C6274B" w:rsidRDefault="00C6274B" w:rsidP="00C6274B">
      <w:pPr>
        <w:pStyle w:val="David"/>
        <w:rPr>
          <w:rFonts w:cs="FrankRuehl"/>
          <w:sz w:val="28"/>
          <w:szCs w:val="28"/>
          <w:rtl/>
        </w:rPr>
      </w:pPr>
    </w:p>
    <w:p w14:paraId="56C74BCA" w14:textId="77777777" w:rsidR="00C6274B" w:rsidRDefault="00C6274B" w:rsidP="00C6274B">
      <w:pPr>
        <w:pStyle w:val="David"/>
        <w:numPr>
          <w:ilvl w:val="0"/>
          <w:numId w:val="1"/>
        </w:numPr>
        <w:rPr>
          <w:rFonts w:cs="FrankRuehl"/>
          <w:sz w:val="28"/>
          <w:szCs w:val="28"/>
          <w:rtl/>
        </w:rPr>
      </w:pPr>
      <w:r>
        <w:rPr>
          <w:rFonts w:cs="FrankRuehl" w:hint="cs"/>
          <w:sz w:val="28"/>
          <w:szCs w:val="28"/>
          <w:rtl/>
        </w:rPr>
        <w:t>ב</w:t>
      </w:r>
      <w:hyperlink r:id="rId29" w:history="1">
        <w:r w:rsidR="00232899" w:rsidRPr="00232899">
          <w:rPr>
            <w:rFonts w:cs="FrankRuehl"/>
            <w:color w:val="0000FF"/>
            <w:sz w:val="28"/>
            <w:szCs w:val="28"/>
            <w:u w:val="single"/>
            <w:rtl/>
          </w:rPr>
          <w:t>ת"פ (מחוזי-י-ם) 11826-08-14</w:t>
        </w:r>
      </w:hyperlink>
      <w:r>
        <w:rPr>
          <w:rFonts w:cs="FrankRuehl" w:hint="cs"/>
          <w:sz w:val="28"/>
          <w:szCs w:val="28"/>
          <w:rtl/>
        </w:rPr>
        <w:t xml:space="preserve"> </w:t>
      </w:r>
      <w:r w:rsidRPr="00E8646A">
        <w:rPr>
          <w:rFonts w:cs="FrankRuehl" w:hint="cs"/>
          <w:b/>
          <w:bCs/>
          <w:sz w:val="28"/>
          <w:szCs w:val="28"/>
          <w:rtl/>
        </w:rPr>
        <w:t>מדינת ישראל נ' טיידרוס</w:t>
      </w:r>
      <w:r>
        <w:rPr>
          <w:rFonts w:cs="FrankRuehl" w:hint="cs"/>
          <w:sz w:val="28"/>
          <w:szCs w:val="28"/>
          <w:rtl/>
        </w:rPr>
        <w:t xml:space="preserve"> (פורסם בנבו, 28.09.17), הושת עונש של 5 חודשים ו-3 שבועות על נאשם שהורשע בתקיפה סתם בנסיבות מחמירות  ועונש של 140 ימי מאסר על נאשם שהורשע בתקיפה הגורמת חבלה של ממש בנסיבות מחמירות. האלימות באותו מקרה שהייתה אף היא על רקע גזעני, הייתה אמנם חמורה מבעניינינו, והיא אף נעשתה בצוותא, ואולם חלקם של הנאשמים שעניינם נידון בגזר הדין האמור, היה בעל חומרה פחותה, בשל כך שאחד מהם היה במעגל החיצון ואחד היה צופה מן הצד שעודד את החבורה האלימה ואף לא יוחס להם מניע גזעני. למרות זאת, הושת עליהם עונש מאסר לתקופות האמורות.    </w:t>
      </w:r>
    </w:p>
    <w:p w14:paraId="36B37BBF" w14:textId="77777777" w:rsidR="00C6274B" w:rsidRDefault="00C6274B" w:rsidP="00C6274B">
      <w:pPr>
        <w:pStyle w:val="David"/>
        <w:rPr>
          <w:rFonts w:cs="FrankRuehl"/>
          <w:sz w:val="28"/>
          <w:szCs w:val="28"/>
          <w:rtl/>
        </w:rPr>
      </w:pPr>
    </w:p>
    <w:p w14:paraId="1E9F0F6D" w14:textId="77777777" w:rsidR="00C6274B" w:rsidRDefault="00C6274B" w:rsidP="00C6274B">
      <w:pPr>
        <w:pStyle w:val="David"/>
        <w:numPr>
          <w:ilvl w:val="0"/>
          <w:numId w:val="1"/>
        </w:numPr>
        <w:rPr>
          <w:rFonts w:cs="FrankRuehl"/>
          <w:sz w:val="28"/>
          <w:szCs w:val="28"/>
          <w:rtl/>
        </w:rPr>
      </w:pPr>
      <w:r>
        <w:rPr>
          <w:rFonts w:cs="FrankRuehl" w:hint="cs"/>
          <w:sz w:val="28"/>
          <w:szCs w:val="28"/>
          <w:rtl/>
        </w:rPr>
        <w:t>ב</w:t>
      </w:r>
      <w:hyperlink r:id="rId30" w:history="1">
        <w:r w:rsidR="00232899" w:rsidRPr="00232899">
          <w:rPr>
            <w:rFonts w:cs="FrankRuehl"/>
            <w:color w:val="0000FF"/>
            <w:sz w:val="28"/>
            <w:szCs w:val="28"/>
            <w:u w:val="single"/>
            <w:rtl/>
          </w:rPr>
          <w:t>ת"פ (מחוזי-י-ם) 38225-07-14</w:t>
        </w:r>
      </w:hyperlink>
      <w:r>
        <w:rPr>
          <w:rFonts w:cs="FrankRuehl" w:hint="cs"/>
          <w:sz w:val="28"/>
          <w:szCs w:val="28"/>
          <w:rtl/>
        </w:rPr>
        <w:t xml:space="preserve"> </w:t>
      </w:r>
      <w:r w:rsidRPr="00E8646A">
        <w:rPr>
          <w:rFonts w:cs="FrankRuehl" w:hint="cs"/>
          <w:b/>
          <w:bCs/>
          <w:sz w:val="28"/>
          <w:szCs w:val="28"/>
          <w:rtl/>
        </w:rPr>
        <w:t>מדינת ישראל נ' אסרף</w:t>
      </w:r>
      <w:r>
        <w:rPr>
          <w:rFonts w:cs="FrankRuehl" w:hint="cs"/>
          <w:sz w:val="28"/>
          <w:szCs w:val="28"/>
          <w:rtl/>
        </w:rPr>
        <w:t xml:space="preserve"> (פורסם בנבו, 14.04.16)) הושת עונש של 2 חודשי מאסר בפועל ו-4 חודשי מאסר בעבודות שירות על נאשם שהורשע בעבירה של השחתת פני מקרקעין ובעבירה של ניסיון תקיפה סתם בנסיבות מחמירות על רקע גזעני, בשל רישום סיסמאות על קיר רחוב וניסיון להכות במקלות אדם שנראה להם פלסטינאי. </w:t>
      </w:r>
    </w:p>
    <w:p w14:paraId="571F958C" w14:textId="77777777" w:rsidR="00C6274B" w:rsidRDefault="00C6274B" w:rsidP="00C6274B">
      <w:pPr>
        <w:pStyle w:val="David"/>
        <w:rPr>
          <w:rFonts w:cs="FrankRuehl"/>
          <w:sz w:val="28"/>
          <w:szCs w:val="28"/>
          <w:rtl/>
        </w:rPr>
      </w:pPr>
    </w:p>
    <w:p w14:paraId="71B90A9A" w14:textId="77777777" w:rsidR="00C6274B" w:rsidRDefault="00C6274B" w:rsidP="00C6274B">
      <w:pPr>
        <w:pStyle w:val="David"/>
        <w:numPr>
          <w:ilvl w:val="0"/>
          <w:numId w:val="1"/>
        </w:numPr>
        <w:rPr>
          <w:rFonts w:cs="FrankRuehl"/>
          <w:sz w:val="28"/>
          <w:szCs w:val="28"/>
          <w:rtl/>
        </w:rPr>
      </w:pPr>
      <w:r>
        <w:rPr>
          <w:rFonts w:cs="FrankRuehl" w:hint="cs"/>
          <w:sz w:val="28"/>
          <w:szCs w:val="28"/>
          <w:rtl/>
        </w:rPr>
        <w:t>ב</w:t>
      </w:r>
      <w:hyperlink r:id="rId31" w:history="1">
        <w:r w:rsidR="00232899" w:rsidRPr="00232899">
          <w:rPr>
            <w:rFonts w:cs="FrankRuehl"/>
            <w:color w:val="0000FF"/>
            <w:sz w:val="28"/>
            <w:szCs w:val="28"/>
            <w:u w:val="single"/>
            <w:rtl/>
          </w:rPr>
          <w:t>ת"פ (מחוזי-י-ם) 18119-01-14</w:t>
        </w:r>
      </w:hyperlink>
      <w:r>
        <w:rPr>
          <w:rFonts w:cs="FrankRuehl" w:hint="cs"/>
          <w:sz w:val="28"/>
          <w:szCs w:val="28"/>
          <w:rtl/>
        </w:rPr>
        <w:t xml:space="preserve"> </w:t>
      </w:r>
      <w:r w:rsidRPr="00E8646A">
        <w:rPr>
          <w:rFonts w:cs="FrankRuehl" w:hint="cs"/>
          <w:b/>
          <w:bCs/>
          <w:sz w:val="28"/>
          <w:szCs w:val="28"/>
          <w:rtl/>
        </w:rPr>
        <w:t>מדינת ישראל נ' סיאם</w:t>
      </w:r>
      <w:r>
        <w:rPr>
          <w:rFonts w:cs="FrankRuehl" w:hint="cs"/>
          <w:sz w:val="28"/>
          <w:szCs w:val="28"/>
          <w:rtl/>
        </w:rPr>
        <w:t xml:space="preserve"> (פורסם בנבו, 16.04.18) הושת עונש של 6 חודשי מאסר מאחורי סורג ובריח על נאשם שהורשע בעבירה של תקיפה סתם בנסיבות מחמירות ממניע גזעני בשל השלכת כדורי שלג על יהודים, בשל היותם יהודים, כדורים שפגעו בפניהם, ראשם וגופם, ולאחר מכן תקפו אותם בידיהם ובעטו בהם. עם זאת יצוין, כי נקבע כי ראוי לקבוע מתחם שהרף התחתון שלו הוא מאסר בעבודות שירות הקרוב לרף המקסימום (באותה עת </w:t>
      </w:r>
      <w:r>
        <w:rPr>
          <w:rFonts w:cs="FrankRuehl"/>
          <w:sz w:val="28"/>
          <w:szCs w:val="28"/>
          <w:rtl/>
        </w:rPr>
        <w:t>–</w:t>
      </w:r>
      <w:r>
        <w:rPr>
          <w:rFonts w:cs="FrankRuehl" w:hint="cs"/>
          <w:sz w:val="28"/>
          <w:szCs w:val="28"/>
          <w:rtl/>
        </w:rPr>
        <w:t xml:space="preserve"> 6 חודשים) והרף העליון שלו הוא 20 חודשי מאסר. </w:t>
      </w:r>
    </w:p>
    <w:p w14:paraId="62D8A19E" w14:textId="77777777" w:rsidR="00C6274B" w:rsidRDefault="00C6274B" w:rsidP="00C6274B">
      <w:pPr>
        <w:pStyle w:val="David"/>
        <w:rPr>
          <w:rFonts w:cs="FrankRuehl"/>
          <w:sz w:val="28"/>
          <w:szCs w:val="28"/>
          <w:rtl/>
        </w:rPr>
      </w:pPr>
    </w:p>
    <w:p w14:paraId="2BBD04FD" w14:textId="77777777" w:rsidR="00C6274B" w:rsidRDefault="00C6274B" w:rsidP="00C6274B">
      <w:pPr>
        <w:pStyle w:val="David"/>
        <w:numPr>
          <w:ilvl w:val="0"/>
          <w:numId w:val="1"/>
        </w:numPr>
        <w:rPr>
          <w:rFonts w:cs="FrankRuehl"/>
          <w:sz w:val="28"/>
          <w:szCs w:val="28"/>
          <w:rtl/>
        </w:rPr>
      </w:pPr>
      <w:r>
        <w:rPr>
          <w:rFonts w:cs="FrankRuehl" w:hint="cs"/>
          <w:sz w:val="28"/>
          <w:szCs w:val="28"/>
          <w:rtl/>
        </w:rPr>
        <w:t>ב</w:t>
      </w:r>
      <w:hyperlink r:id="rId32" w:history="1">
        <w:r w:rsidR="00232899" w:rsidRPr="00232899">
          <w:rPr>
            <w:rFonts w:cs="FrankRuehl"/>
            <w:color w:val="0000FF"/>
            <w:sz w:val="28"/>
            <w:szCs w:val="28"/>
            <w:u w:val="single"/>
            <w:rtl/>
          </w:rPr>
          <w:t>ת"פ (מחוזי-מרכז) 48435-02-17</w:t>
        </w:r>
      </w:hyperlink>
      <w:r>
        <w:rPr>
          <w:rFonts w:cs="FrankRuehl" w:hint="cs"/>
          <w:sz w:val="28"/>
          <w:szCs w:val="28"/>
          <w:rtl/>
        </w:rPr>
        <w:t xml:space="preserve"> </w:t>
      </w:r>
      <w:r w:rsidRPr="00A956E8">
        <w:rPr>
          <w:rFonts w:cs="FrankRuehl" w:hint="cs"/>
          <w:b/>
          <w:bCs/>
          <w:sz w:val="28"/>
          <w:szCs w:val="28"/>
          <w:rtl/>
        </w:rPr>
        <w:t>מדינת ישראל נ' קפלון</w:t>
      </w:r>
      <w:r>
        <w:rPr>
          <w:rFonts w:cs="FrankRuehl" w:hint="cs"/>
          <w:sz w:val="28"/>
          <w:szCs w:val="28"/>
          <w:rtl/>
        </w:rPr>
        <w:t xml:space="preserve"> (פורסם בנבו, 1.02.18)) נדון מקרה של נאשם שהורשע בעבירה של מעשה פזיזות ממניע גזעני ובעבירה של איומים ממניע גזעני, </w:t>
      </w:r>
      <w:r w:rsidRPr="00A956E8">
        <w:rPr>
          <w:rFonts w:cs="FrankRuehl" w:hint="cs"/>
          <w:sz w:val="28"/>
          <w:szCs w:val="28"/>
          <w:u w:val="single"/>
          <w:rtl/>
        </w:rPr>
        <w:t>ללא אלימות פיזית של ממש</w:t>
      </w:r>
      <w:r>
        <w:rPr>
          <w:rFonts w:cs="FrankRuehl" w:hint="cs"/>
          <w:sz w:val="28"/>
          <w:szCs w:val="28"/>
          <w:rtl/>
        </w:rPr>
        <w:t xml:space="preserve">, ונקבע מתחם של חמשה חודשי מאסר שיכול וירוצו בעבודות שירות ועד ל-20 חודשי מאסר. על אף שנקבע כי המניע הגזעני לא היה המרכזי במעשי הנאשם שהיה נתון בגילופין, הושת על הנאשם עונש של 6 חודשי מאסר בעבודות שירות. </w:t>
      </w:r>
    </w:p>
    <w:p w14:paraId="0D75288B" w14:textId="77777777" w:rsidR="00C6274B" w:rsidRDefault="00C6274B" w:rsidP="00C6274B">
      <w:pPr>
        <w:pStyle w:val="David"/>
        <w:rPr>
          <w:rFonts w:cs="FrankRuehl"/>
          <w:sz w:val="28"/>
          <w:szCs w:val="28"/>
          <w:rtl/>
        </w:rPr>
      </w:pPr>
    </w:p>
    <w:p w14:paraId="62A10CAC" w14:textId="77777777" w:rsidR="00C6274B" w:rsidRDefault="00C6274B" w:rsidP="00C6274B">
      <w:pPr>
        <w:pStyle w:val="David"/>
        <w:numPr>
          <w:ilvl w:val="0"/>
          <w:numId w:val="1"/>
        </w:numPr>
        <w:rPr>
          <w:rFonts w:cs="FrankRuehl"/>
          <w:sz w:val="28"/>
          <w:szCs w:val="28"/>
          <w:rtl/>
        </w:rPr>
      </w:pPr>
      <w:r>
        <w:rPr>
          <w:rFonts w:cs="FrankRuehl" w:hint="cs"/>
          <w:sz w:val="28"/>
          <w:szCs w:val="28"/>
          <w:rtl/>
        </w:rPr>
        <w:t>ב</w:t>
      </w:r>
      <w:hyperlink r:id="rId33" w:history="1">
        <w:r w:rsidR="00232899" w:rsidRPr="00232899">
          <w:rPr>
            <w:rFonts w:cs="FrankRuehl"/>
            <w:color w:val="0000FF"/>
            <w:sz w:val="28"/>
            <w:szCs w:val="28"/>
            <w:u w:val="single"/>
            <w:rtl/>
          </w:rPr>
          <w:t>ע"פ 2150/17</w:t>
        </w:r>
      </w:hyperlink>
      <w:r>
        <w:rPr>
          <w:rFonts w:cs="FrankRuehl" w:hint="cs"/>
          <w:sz w:val="28"/>
          <w:szCs w:val="28"/>
          <w:rtl/>
        </w:rPr>
        <w:t xml:space="preserve"> בעניין </w:t>
      </w:r>
      <w:r w:rsidRPr="00F634A5">
        <w:rPr>
          <w:rFonts w:cs="FrankRuehl" w:hint="cs"/>
          <w:b/>
          <w:bCs/>
          <w:sz w:val="28"/>
          <w:szCs w:val="28"/>
          <w:rtl/>
        </w:rPr>
        <w:t>פלוני</w:t>
      </w:r>
      <w:r>
        <w:rPr>
          <w:rFonts w:cs="FrankRuehl" w:hint="cs"/>
          <w:sz w:val="28"/>
          <w:szCs w:val="28"/>
          <w:rtl/>
        </w:rPr>
        <w:t xml:space="preserve">, מדובר היה </w:t>
      </w:r>
      <w:r w:rsidRPr="00A956E8">
        <w:rPr>
          <w:rFonts w:cs="FrankRuehl" w:hint="cs"/>
          <w:sz w:val="28"/>
          <w:szCs w:val="28"/>
          <w:u w:val="single"/>
          <w:rtl/>
        </w:rPr>
        <w:t>בקטינים</w:t>
      </w:r>
      <w:r>
        <w:rPr>
          <w:rFonts w:cs="FrankRuehl" w:hint="cs"/>
          <w:sz w:val="28"/>
          <w:szCs w:val="28"/>
          <w:rtl/>
        </w:rPr>
        <w:t xml:space="preserve"> שהורשעו בעבירות של תקיפה הגורמת חבלה של ממש בנסיבות מחמירות, תקיפה ממניע גזעני, הפרעה לשוטר במילוי תפקידו והעלבת עובד ציבור ממניע גזעני, ועל כן הושת עליהם עונש מאסר בעבודות שירות.  </w:t>
      </w:r>
    </w:p>
    <w:p w14:paraId="57701AD1" w14:textId="77777777" w:rsidR="00C6274B" w:rsidRDefault="00C6274B" w:rsidP="00C6274B">
      <w:pPr>
        <w:pStyle w:val="David"/>
        <w:rPr>
          <w:rFonts w:cs="FrankRuehl"/>
          <w:sz w:val="28"/>
          <w:szCs w:val="28"/>
          <w:rtl/>
        </w:rPr>
      </w:pPr>
    </w:p>
    <w:p w14:paraId="02C1B931" w14:textId="77777777" w:rsidR="00C6274B" w:rsidRDefault="00C6274B" w:rsidP="00C6274B">
      <w:pPr>
        <w:pStyle w:val="David"/>
        <w:rPr>
          <w:rFonts w:cs="FrankRuehl"/>
          <w:sz w:val="28"/>
          <w:szCs w:val="28"/>
          <w:rtl/>
        </w:rPr>
      </w:pPr>
      <w:r>
        <w:rPr>
          <w:rFonts w:cs="FrankRuehl" w:hint="cs"/>
          <w:sz w:val="28"/>
          <w:szCs w:val="28"/>
          <w:rtl/>
        </w:rPr>
        <w:t>22.</w:t>
      </w:r>
      <w:r>
        <w:rPr>
          <w:rFonts w:cs="FrankRuehl" w:hint="cs"/>
          <w:sz w:val="28"/>
          <w:szCs w:val="28"/>
          <w:rtl/>
        </w:rPr>
        <w:tab/>
        <w:t xml:space="preserve">אכן ברוב המקרים, מדובר בעבירה של תקיפה בנסיבות מחמירות שנעשתה ממניע גזעני, ובמקרה זה מדובר בתקיפה שגרמה חבלה של ממש. ואולם, ניתן לראות כי גם במקרים שהנסיבות היו חמורות פחות, ואף במקרים של ניסיון לביצוע תקיפה בלבד, הושת עונש מאסר בפועל מאחורי סורג ובריח. יצוין, כי הפסיקה שהגיש ב"כ הנאשם, עסקה כולה בעבירות אלימות ללא מניע גזעני, שעה שחומרת מקרה זה נעוצה דווקא במניע הגזעני שהביא לאלימות. העובדה כי במקרה זה אין מדובר בתקיפה בנסיבות מחמירות, ובשים לב לכך שלמתלונן לא נגרם נזק גופני כה משמעותי, יש בה כדי להנמיך את הרף התחתון, אך לא להוציאו מרף של מאסר בפועל לריצוי בבית כלא.  </w:t>
      </w:r>
    </w:p>
    <w:p w14:paraId="5CEA4A8A" w14:textId="77777777" w:rsidR="00C6274B" w:rsidRDefault="00C6274B" w:rsidP="00C6274B">
      <w:pPr>
        <w:pStyle w:val="David"/>
        <w:rPr>
          <w:rFonts w:cs="FrankRuehl"/>
          <w:sz w:val="28"/>
          <w:szCs w:val="28"/>
          <w:rtl/>
        </w:rPr>
      </w:pPr>
    </w:p>
    <w:p w14:paraId="233A83C0" w14:textId="77777777" w:rsidR="00C6274B" w:rsidRDefault="00C6274B" w:rsidP="00C6274B">
      <w:pPr>
        <w:pStyle w:val="David"/>
        <w:rPr>
          <w:rFonts w:cs="FrankRuehl"/>
          <w:sz w:val="28"/>
          <w:szCs w:val="28"/>
          <w:rtl/>
        </w:rPr>
      </w:pPr>
      <w:r>
        <w:rPr>
          <w:rFonts w:cs="FrankRuehl" w:hint="cs"/>
          <w:sz w:val="28"/>
          <w:szCs w:val="28"/>
          <w:rtl/>
        </w:rPr>
        <w:t>23.</w:t>
      </w:r>
      <w:r>
        <w:rPr>
          <w:rFonts w:cs="FrankRuehl" w:hint="cs"/>
          <w:sz w:val="28"/>
          <w:szCs w:val="28"/>
          <w:rtl/>
        </w:rPr>
        <w:tab/>
        <w:t>בשים לב לכלל הנסיבות של ביצוע העבירה והפסיקה הנוהגת, אני סבור כי מתחם העונש ההולם מקרה זה בנסיבותיו נע ממאסר בפועל מאחורי סורג ובריח לתקופה של 4 חודשים ועד למאסר בפועל לתקופה של 20 חודשים.</w:t>
      </w:r>
    </w:p>
    <w:p w14:paraId="16DD31A6" w14:textId="77777777" w:rsidR="00C6274B" w:rsidRDefault="00C6274B" w:rsidP="00C6274B">
      <w:pPr>
        <w:pStyle w:val="David"/>
        <w:rPr>
          <w:rFonts w:cs="FrankRuehl"/>
          <w:sz w:val="28"/>
          <w:szCs w:val="28"/>
          <w:rtl/>
        </w:rPr>
      </w:pPr>
    </w:p>
    <w:p w14:paraId="3EC65910" w14:textId="77777777" w:rsidR="00C6274B" w:rsidRDefault="00C6274B" w:rsidP="00C6274B">
      <w:pPr>
        <w:pStyle w:val="David"/>
        <w:rPr>
          <w:rFonts w:cs="FrankRuehl"/>
          <w:sz w:val="28"/>
          <w:szCs w:val="28"/>
          <w:rtl/>
        </w:rPr>
      </w:pPr>
      <w:r>
        <w:rPr>
          <w:rFonts w:cs="FrankRuehl" w:hint="cs"/>
          <w:sz w:val="28"/>
          <w:szCs w:val="28"/>
          <w:rtl/>
        </w:rPr>
        <w:t>24.</w:t>
      </w:r>
      <w:r>
        <w:rPr>
          <w:rFonts w:cs="FrankRuehl" w:hint="cs"/>
          <w:sz w:val="28"/>
          <w:szCs w:val="28"/>
          <w:rtl/>
        </w:rPr>
        <w:tab/>
        <w:t xml:space="preserve">איני סבור כי קיימים במקרה זה נסיבות המצדיקות סטייה מהמתחם, לקולא או לחומרא. תסקירי שירות המבחן אינם מלמדים על שיקום קיים או אפשרי, המצדיק חריגה ממתחם העונש ההולם. כפי שעלה מהתסקירים, הנאשם אמנם לקח אחריות על מעשיו, אך </w:t>
      </w:r>
      <w:r>
        <w:rPr>
          <w:rFonts w:ascii="Arial" w:hAnsi="Arial" w:cs="FrankRuehl" w:hint="cs"/>
          <w:sz w:val="28"/>
          <w:szCs w:val="28"/>
          <w:rtl/>
        </w:rPr>
        <w:t xml:space="preserve">הוא </w:t>
      </w:r>
      <w:r w:rsidRPr="00152D0F">
        <w:rPr>
          <w:rFonts w:ascii="Arial" w:hAnsi="Arial" w:cs="FrankRuehl" w:hint="cs"/>
          <w:sz w:val="28"/>
          <w:szCs w:val="28"/>
          <w:rtl/>
        </w:rPr>
        <w:t>מתקשה לבטא תובנה לחומרת המעשה</w:t>
      </w:r>
      <w:r>
        <w:rPr>
          <w:rFonts w:ascii="Arial" w:hAnsi="Arial" w:cs="FrankRuehl" w:hint="cs"/>
          <w:sz w:val="28"/>
          <w:szCs w:val="28"/>
          <w:rtl/>
        </w:rPr>
        <w:t xml:space="preserve"> ובעיקר למניעים </w:t>
      </w:r>
      <w:r w:rsidRPr="00152D0F">
        <w:rPr>
          <w:rFonts w:ascii="Arial" w:hAnsi="Arial" w:cs="FrankRuehl" w:hint="cs"/>
          <w:sz w:val="28"/>
          <w:szCs w:val="28"/>
          <w:rtl/>
        </w:rPr>
        <w:t>שהביאו אותו לפגיעה במתלונן.</w:t>
      </w:r>
      <w:r>
        <w:rPr>
          <w:rFonts w:ascii="Arial" w:hAnsi="Arial" w:cs="FrankRuehl" w:hint="cs"/>
          <w:sz w:val="28"/>
          <w:szCs w:val="28"/>
          <w:rtl/>
        </w:rPr>
        <w:t xml:space="preserve"> ניכר, גם בדברים שנאמרו בבית המשפט, כי חומרת המניע הגזעני אינה ברורה דיה לנאשם. מכל מקום, </w:t>
      </w:r>
      <w:r>
        <w:rPr>
          <w:rFonts w:cs="FrankRuehl" w:hint="cs"/>
          <w:sz w:val="28"/>
          <w:szCs w:val="28"/>
          <w:rtl/>
        </w:rPr>
        <w:t>המאבק בעבריינות שכזו, שבסיסה ברקע אידיאולוגי לאומני, מחייב דחיית שיקולים אחרים בשל הצורך בהרתעה, זאת גם כשמדובר בקטין, קל וחומר כשמדובר בבגיר (</w:t>
      </w:r>
      <w:hyperlink r:id="rId34" w:history="1">
        <w:r w:rsidR="00232899" w:rsidRPr="00232899">
          <w:rPr>
            <w:rFonts w:cs="FrankRuehl"/>
            <w:color w:val="0000FF"/>
            <w:sz w:val="28"/>
            <w:szCs w:val="28"/>
            <w:u w:val="single"/>
            <w:rtl/>
          </w:rPr>
          <w:t>ע"פ 2909/19</w:t>
        </w:r>
      </w:hyperlink>
      <w:r>
        <w:rPr>
          <w:rFonts w:cs="FrankRuehl" w:hint="cs"/>
          <w:sz w:val="28"/>
          <w:szCs w:val="28"/>
          <w:rtl/>
        </w:rPr>
        <w:t xml:space="preserve"> בעניין </w:t>
      </w:r>
      <w:r w:rsidRPr="00E160D1">
        <w:rPr>
          <w:rFonts w:cs="FrankRuehl" w:hint="cs"/>
          <w:b/>
          <w:bCs/>
          <w:sz w:val="28"/>
          <w:szCs w:val="28"/>
          <w:rtl/>
        </w:rPr>
        <w:t>פלוני</w:t>
      </w:r>
      <w:r>
        <w:rPr>
          <w:rFonts w:cs="FrankRuehl" w:hint="cs"/>
          <w:sz w:val="28"/>
          <w:szCs w:val="28"/>
          <w:rtl/>
        </w:rPr>
        <w:t xml:space="preserve">; </w:t>
      </w:r>
      <w:hyperlink r:id="rId35" w:history="1">
        <w:r w:rsidR="00232899" w:rsidRPr="00232899">
          <w:rPr>
            <w:rFonts w:cs="FrankRuehl"/>
            <w:color w:val="0000FF"/>
            <w:sz w:val="28"/>
            <w:szCs w:val="28"/>
            <w:u w:val="single"/>
            <w:rtl/>
          </w:rPr>
          <w:t>ע"פ 3450/16</w:t>
        </w:r>
      </w:hyperlink>
      <w:r>
        <w:rPr>
          <w:rFonts w:cs="FrankRuehl" w:hint="cs"/>
          <w:sz w:val="28"/>
          <w:szCs w:val="28"/>
          <w:rtl/>
        </w:rPr>
        <w:t xml:space="preserve"> </w:t>
      </w:r>
      <w:r w:rsidRPr="00E160D1">
        <w:rPr>
          <w:rFonts w:cs="FrankRuehl" w:hint="cs"/>
          <w:b/>
          <w:bCs/>
          <w:sz w:val="28"/>
          <w:szCs w:val="28"/>
          <w:rtl/>
        </w:rPr>
        <w:t>פלוני נ' מדינת ישראל</w:t>
      </w:r>
      <w:r>
        <w:rPr>
          <w:rFonts w:cs="FrankRuehl" w:hint="cs"/>
          <w:sz w:val="28"/>
          <w:szCs w:val="28"/>
          <w:rtl/>
        </w:rPr>
        <w:t xml:space="preserve"> (פורסם בנבו, 7.08.16). ראו גם: </w:t>
      </w:r>
      <w:hyperlink r:id="rId36" w:history="1">
        <w:r w:rsidR="00232899" w:rsidRPr="00232899">
          <w:rPr>
            <w:rFonts w:cs="FrankRuehl"/>
            <w:color w:val="0000FF"/>
            <w:sz w:val="28"/>
            <w:szCs w:val="28"/>
            <w:u w:val="single"/>
            <w:rtl/>
          </w:rPr>
          <w:t>ע"פ 5634/16</w:t>
        </w:r>
      </w:hyperlink>
      <w:r>
        <w:rPr>
          <w:rFonts w:cs="FrankRuehl" w:hint="cs"/>
          <w:sz w:val="28"/>
          <w:szCs w:val="28"/>
          <w:rtl/>
        </w:rPr>
        <w:t xml:space="preserve"> </w:t>
      </w:r>
      <w:r w:rsidRPr="00EE6CAB">
        <w:rPr>
          <w:rFonts w:cs="FrankRuehl" w:hint="cs"/>
          <w:b/>
          <w:bCs/>
          <w:sz w:val="28"/>
          <w:szCs w:val="28"/>
          <w:rtl/>
        </w:rPr>
        <w:t>אור שחור נ' מדינת ישראל</w:t>
      </w:r>
      <w:r>
        <w:rPr>
          <w:rFonts w:cs="FrankRuehl" w:hint="cs"/>
          <w:sz w:val="28"/>
          <w:szCs w:val="28"/>
          <w:rtl/>
        </w:rPr>
        <w:t xml:space="preserve"> (פורסם בנבו, 27.10.16)).</w:t>
      </w:r>
    </w:p>
    <w:p w14:paraId="5A5397A6" w14:textId="77777777" w:rsidR="00C6274B" w:rsidRDefault="00C6274B" w:rsidP="00C6274B">
      <w:pPr>
        <w:pStyle w:val="David"/>
        <w:rPr>
          <w:rFonts w:cs="FrankRuehl"/>
          <w:sz w:val="28"/>
          <w:szCs w:val="28"/>
          <w:rtl/>
        </w:rPr>
      </w:pPr>
    </w:p>
    <w:p w14:paraId="53ED972A" w14:textId="77777777" w:rsidR="00C6274B" w:rsidRDefault="00C6274B" w:rsidP="00C6274B">
      <w:pPr>
        <w:pStyle w:val="David"/>
        <w:rPr>
          <w:rFonts w:cs="FrankRuehl"/>
          <w:sz w:val="28"/>
          <w:szCs w:val="28"/>
          <w:rtl/>
        </w:rPr>
      </w:pPr>
      <w:r>
        <w:rPr>
          <w:rFonts w:cs="FrankRuehl" w:hint="cs"/>
          <w:sz w:val="28"/>
          <w:szCs w:val="28"/>
          <w:rtl/>
        </w:rPr>
        <w:t>ובאשר לעונשו של הנאשם בתוך המתחם.</w:t>
      </w:r>
    </w:p>
    <w:p w14:paraId="5CCD1A9F" w14:textId="77777777" w:rsidR="00C6274B" w:rsidRDefault="00C6274B" w:rsidP="00C6274B">
      <w:pPr>
        <w:pStyle w:val="David"/>
        <w:rPr>
          <w:rFonts w:cs="FrankRuehl"/>
          <w:sz w:val="28"/>
          <w:szCs w:val="28"/>
          <w:rtl/>
        </w:rPr>
      </w:pPr>
    </w:p>
    <w:p w14:paraId="438322F9" w14:textId="77777777" w:rsidR="00C6274B" w:rsidRDefault="00C6274B" w:rsidP="00C6274B">
      <w:pPr>
        <w:pStyle w:val="David"/>
        <w:rPr>
          <w:rFonts w:cs="FrankRuehl"/>
          <w:sz w:val="28"/>
          <w:szCs w:val="28"/>
          <w:rtl/>
        </w:rPr>
      </w:pPr>
      <w:r>
        <w:rPr>
          <w:rFonts w:cs="FrankRuehl" w:hint="cs"/>
          <w:sz w:val="28"/>
          <w:szCs w:val="28"/>
          <w:rtl/>
        </w:rPr>
        <w:t>25.</w:t>
      </w:r>
      <w:r>
        <w:rPr>
          <w:rFonts w:cs="FrankRuehl" w:hint="cs"/>
          <w:sz w:val="28"/>
          <w:szCs w:val="28"/>
          <w:rtl/>
        </w:rPr>
        <w:tab/>
        <w:t xml:space="preserve">הנאשם, יליד 1992, צעיר כבן 27. במועד ביצוע העבירות היה בן 25. חי בזוגיות ומגדל פעוטה בת שלוש וחצי. למעט עבירה במסגרת שירותו הצבאי נעדר עבר פלילי וניהל אורח חיים תקין עד למעצרו בהליך זה. </w:t>
      </w:r>
    </w:p>
    <w:p w14:paraId="18E182CD" w14:textId="77777777" w:rsidR="00C6274B" w:rsidRDefault="00C6274B" w:rsidP="00C6274B">
      <w:pPr>
        <w:pStyle w:val="David"/>
        <w:rPr>
          <w:rFonts w:cs="FrankRuehl"/>
          <w:sz w:val="28"/>
          <w:szCs w:val="28"/>
          <w:rtl/>
        </w:rPr>
      </w:pPr>
    </w:p>
    <w:p w14:paraId="1E63ABDF" w14:textId="77777777" w:rsidR="00C6274B" w:rsidRDefault="00C6274B" w:rsidP="00C6274B">
      <w:pPr>
        <w:pStyle w:val="David"/>
        <w:rPr>
          <w:rFonts w:cs="FrankRuehl"/>
          <w:sz w:val="28"/>
          <w:szCs w:val="28"/>
          <w:rtl/>
        </w:rPr>
      </w:pPr>
      <w:r>
        <w:rPr>
          <w:rFonts w:cs="FrankRuehl" w:hint="cs"/>
          <w:sz w:val="28"/>
          <w:szCs w:val="28"/>
          <w:rtl/>
        </w:rPr>
        <w:t>26.</w:t>
      </w:r>
      <w:r>
        <w:rPr>
          <w:rFonts w:cs="FrankRuehl" w:hint="cs"/>
          <w:sz w:val="28"/>
          <w:szCs w:val="28"/>
          <w:rtl/>
        </w:rPr>
        <w:tab/>
        <w:t xml:space="preserve">הנאשם הודה במיוחס לו כבר בתחנת המשטרה וכן בבית המשפט. הוא נטל אחריות על מעשיו והביע חרטה, הגם שכאמור, מתוך תסקירי שירות המבחן עלה כי הנאשם עסוק לא מעט בהשפעת ההליך הפלילי עליו, ופחות בניסיון לעמוד על חומרת המעשים ובעיקר מניעיו. </w:t>
      </w:r>
      <w:r>
        <w:rPr>
          <w:rFonts w:ascii="Arial" w:hAnsi="Arial" w:cs="FrankRuehl" w:hint="cs"/>
          <w:sz w:val="28"/>
          <w:szCs w:val="28"/>
          <w:rtl/>
        </w:rPr>
        <w:t xml:space="preserve">ניתן היה לשמוע זאת גם מנימת דבריו בבית המשפט, לפיהם הוא ביצע את המעשה ברגע של אי שפיות והיום הוא משלם את המחיר על כך. </w:t>
      </w:r>
      <w:r>
        <w:rPr>
          <w:rFonts w:cs="FrankRuehl" w:hint="cs"/>
          <w:sz w:val="28"/>
          <w:szCs w:val="28"/>
          <w:rtl/>
        </w:rPr>
        <w:t xml:space="preserve">חומרת המעשה בהיבט של המניע הגזעני, לצד חומרת הפגיעה הפיסית במתלונן, לא באה לידי ביטוי בדבריו של הנאשם, לא בפני ולא בפני קצין המבחן, ועניין זה עומד לו לרועץ (השוו: </w:t>
      </w:r>
      <w:hyperlink r:id="rId37" w:history="1">
        <w:r w:rsidR="00232899" w:rsidRPr="00232899">
          <w:rPr>
            <w:rFonts w:cs="FrankRuehl"/>
            <w:color w:val="0000FF"/>
            <w:sz w:val="28"/>
            <w:szCs w:val="28"/>
            <w:u w:val="single"/>
            <w:rtl/>
          </w:rPr>
          <w:t>ע"פ 3183/16</w:t>
        </w:r>
      </w:hyperlink>
      <w:r>
        <w:rPr>
          <w:rFonts w:cs="FrankRuehl" w:hint="cs"/>
          <w:sz w:val="28"/>
          <w:szCs w:val="28"/>
          <w:rtl/>
        </w:rPr>
        <w:t xml:space="preserve"> בעניין </w:t>
      </w:r>
      <w:r w:rsidRPr="00E8646A">
        <w:rPr>
          <w:rFonts w:cs="FrankRuehl" w:hint="cs"/>
          <w:b/>
          <w:bCs/>
          <w:sz w:val="28"/>
          <w:szCs w:val="28"/>
          <w:rtl/>
        </w:rPr>
        <w:t>עופרי</w:t>
      </w:r>
      <w:r>
        <w:rPr>
          <w:rFonts w:cs="FrankRuehl" w:hint="cs"/>
          <w:sz w:val="28"/>
          <w:szCs w:val="28"/>
          <w:rtl/>
        </w:rPr>
        <w:t xml:space="preserve">). לצד זאת, כפי שצוין בתסקירי שירות המבחן, הנאשם נעדר דפוסים עבריינים בהתנהגותו והוא נטל חלק בהליך טיפולי משמעותי, גם אם לא באופן מלא. משכך היה ראוי לקבוע את עונשו של הנאשם שלא בתחתית המתחם כי אם קמעא מעליו. ואולם לאחר שנתתי דעתי גם לכך שהנאשם שהה במעצר 9 ימים, לאחר מכן שהה במעצר בית מלא במשך כ-3 וחצי חודשים, ובמשך למעלה משנתיים הוא מצוי במעצר בית במחצית השנייה של הלילה </w:t>
      </w:r>
      <w:r>
        <w:rPr>
          <w:rFonts w:cs="FrankRuehl"/>
          <w:sz w:val="28"/>
          <w:szCs w:val="28"/>
          <w:rtl/>
        </w:rPr>
        <w:t>–</w:t>
      </w:r>
      <w:r>
        <w:rPr>
          <w:rFonts w:cs="FrankRuehl" w:hint="cs"/>
          <w:sz w:val="28"/>
          <w:szCs w:val="28"/>
          <w:rtl/>
        </w:rPr>
        <w:t xml:space="preserve"> אני סבור כי יש לקבוע את עונשו בתחתית המתחם.  </w:t>
      </w:r>
    </w:p>
    <w:p w14:paraId="70C542BB" w14:textId="77777777" w:rsidR="00C6274B" w:rsidRDefault="00C6274B" w:rsidP="00C6274B">
      <w:pPr>
        <w:pStyle w:val="David"/>
        <w:rPr>
          <w:rFonts w:cs="FrankRuehl"/>
          <w:sz w:val="28"/>
          <w:szCs w:val="28"/>
          <w:rtl/>
        </w:rPr>
      </w:pPr>
    </w:p>
    <w:p w14:paraId="5A9DED07" w14:textId="77777777" w:rsidR="00C6274B" w:rsidRDefault="00C6274B" w:rsidP="00C6274B">
      <w:pPr>
        <w:pStyle w:val="David"/>
        <w:rPr>
          <w:rFonts w:cs="FrankRuehl"/>
          <w:sz w:val="28"/>
          <w:szCs w:val="28"/>
          <w:rtl/>
        </w:rPr>
      </w:pPr>
      <w:r>
        <w:rPr>
          <w:rFonts w:cs="FrankRuehl" w:hint="cs"/>
          <w:sz w:val="28"/>
          <w:szCs w:val="28"/>
          <w:rtl/>
        </w:rPr>
        <w:t>27.</w:t>
      </w:r>
      <w:r>
        <w:rPr>
          <w:rFonts w:cs="FrankRuehl" w:hint="cs"/>
          <w:sz w:val="28"/>
          <w:szCs w:val="28"/>
          <w:rtl/>
        </w:rPr>
        <w:tab/>
        <w:t xml:space="preserve">כאמור, בשל חומרת המעשים לא ניתן שלא להשית עליו עונש הכולל מאסר בפועל מאחורי סורג ובריח. לא נעלמה ממני המלצת שירות המבחן ודברי קצין המבחן אודות ההשפעה הכלכלית והמשפחתית הקשה שעלולה להיות לעונש מאסר על הנאשם ומשפחתו. ברם, ההלכה ידועה, ולפיה תסקיר שירות המבחן, על אף הערכת מקצועיותו הרבה, מהווה המלצה בלבד, וההכרעה הסופית רובצת לפתחו של בית המשפט, על יסוד מכלול האינטרסים העומדים לפניו (ראו למשל: </w:t>
      </w:r>
      <w:hyperlink r:id="rId38" w:history="1">
        <w:r w:rsidR="00232899" w:rsidRPr="00232899">
          <w:rPr>
            <w:rFonts w:cs="FrankRuehl"/>
            <w:color w:val="0000FF"/>
            <w:sz w:val="28"/>
            <w:szCs w:val="28"/>
            <w:u w:val="single"/>
            <w:rtl/>
          </w:rPr>
          <w:t>ע"פ 4472/16</w:t>
        </w:r>
      </w:hyperlink>
      <w:r>
        <w:rPr>
          <w:rFonts w:cs="FrankRuehl" w:hint="cs"/>
          <w:sz w:val="28"/>
          <w:szCs w:val="28"/>
          <w:rtl/>
        </w:rPr>
        <w:t xml:space="preserve"> </w:t>
      </w:r>
      <w:r w:rsidRPr="00E8646A">
        <w:rPr>
          <w:rFonts w:cs="FrankRuehl" w:hint="cs"/>
          <w:b/>
          <w:bCs/>
          <w:sz w:val="28"/>
          <w:szCs w:val="28"/>
          <w:rtl/>
        </w:rPr>
        <w:t>עווד נ' מדינת ישראל</w:t>
      </w:r>
      <w:r>
        <w:rPr>
          <w:rFonts w:cs="FrankRuehl" w:hint="cs"/>
          <w:sz w:val="28"/>
          <w:szCs w:val="28"/>
          <w:rtl/>
        </w:rPr>
        <w:t xml:space="preserve"> (פורסם בנבו, 15.06.16). במקרה זה, כאמור, לצד השיקולים המתמקדים בנאשם, יש לתת את הדעת על האינטרס הציבורי והצורך בהרתעה, הדוחה מפניו שיקולים אחרים.  </w:t>
      </w:r>
    </w:p>
    <w:p w14:paraId="779B115D" w14:textId="77777777" w:rsidR="00C6274B" w:rsidRDefault="00C6274B" w:rsidP="00C6274B">
      <w:pPr>
        <w:pStyle w:val="David"/>
        <w:rPr>
          <w:rFonts w:cs="FrankRuehl"/>
          <w:sz w:val="28"/>
          <w:szCs w:val="28"/>
          <w:rtl/>
        </w:rPr>
      </w:pPr>
    </w:p>
    <w:p w14:paraId="12F6053D" w14:textId="77777777" w:rsidR="00C6274B" w:rsidRDefault="00C6274B" w:rsidP="00C6274B">
      <w:pPr>
        <w:pStyle w:val="David"/>
        <w:rPr>
          <w:rFonts w:cs="FrankRuehl"/>
          <w:sz w:val="28"/>
          <w:szCs w:val="28"/>
          <w:rtl/>
        </w:rPr>
      </w:pPr>
      <w:r>
        <w:rPr>
          <w:rFonts w:cs="FrankRuehl" w:hint="cs"/>
          <w:sz w:val="28"/>
          <w:szCs w:val="28"/>
          <w:rtl/>
        </w:rPr>
        <w:t>28.</w:t>
      </w:r>
      <w:r>
        <w:rPr>
          <w:rFonts w:cs="FrankRuehl" w:hint="cs"/>
          <w:sz w:val="28"/>
          <w:szCs w:val="28"/>
          <w:rtl/>
        </w:rPr>
        <w:tab/>
        <w:t>בשים לב לכל האמור, אני משית על הנאשם את העונשים הבאים:</w:t>
      </w:r>
    </w:p>
    <w:p w14:paraId="0333B0BB" w14:textId="77777777" w:rsidR="00C6274B" w:rsidRDefault="00C6274B" w:rsidP="00C6274B">
      <w:pPr>
        <w:pStyle w:val="David"/>
        <w:rPr>
          <w:rFonts w:cs="FrankRuehl"/>
          <w:sz w:val="28"/>
          <w:szCs w:val="28"/>
          <w:rtl/>
        </w:rPr>
      </w:pPr>
    </w:p>
    <w:p w14:paraId="710FB8EB" w14:textId="77777777" w:rsidR="00C6274B" w:rsidRDefault="00C6274B" w:rsidP="00C6274B">
      <w:pPr>
        <w:pStyle w:val="David"/>
        <w:ind w:firstLine="720"/>
        <w:rPr>
          <w:rFonts w:cs="FrankRuehl"/>
          <w:sz w:val="28"/>
          <w:szCs w:val="28"/>
          <w:rtl/>
        </w:rPr>
      </w:pPr>
      <w:r>
        <w:rPr>
          <w:rFonts w:cs="FrankRuehl" w:hint="cs"/>
          <w:sz w:val="28"/>
          <w:szCs w:val="28"/>
          <w:rtl/>
        </w:rPr>
        <w:t>א.</w:t>
      </w:r>
      <w:r>
        <w:rPr>
          <w:rFonts w:cs="FrankRuehl"/>
          <w:sz w:val="28"/>
          <w:szCs w:val="28"/>
          <w:rtl/>
        </w:rPr>
        <w:tab/>
      </w:r>
      <w:r>
        <w:rPr>
          <w:rFonts w:cs="FrankRuehl" w:hint="cs"/>
          <w:sz w:val="28"/>
          <w:szCs w:val="28"/>
          <w:rtl/>
        </w:rPr>
        <w:t>ארבעה חודשי מאסר בפועל, בניכוי ימי מעצרו, מיום 19.06.17 עד יום 27.06.19.</w:t>
      </w:r>
    </w:p>
    <w:p w14:paraId="0335F80D" w14:textId="77777777" w:rsidR="00C6274B" w:rsidRPr="00C40CB6" w:rsidRDefault="00C6274B" w:rsidP="00C6274B">
      <w:pPr>
        <w:pStyle w:val="David"/>
        <w:ind w:left="1440"/>
        <w:rPr>
          <w:rFonts w:cs="FrankRuehl"/>
          <w:sz w:val="28"/>
          <w:szCs w:val="28"/>
        </w:rPr>
      </w:pPr>
      <w:r w:rsidRPr="00C40CB6">
        <w:rPr>
          <w:rFonts w:cs="FrankRuehl"/>
          <w:sz w:val="28"/>
          <w:szCs w:val="28"/>
          <w:rtl/>
        </w:rPr>
        <w:t>הנאשם</w:t>
      </w:r>
      <w:r w:rsidRPr="00C40CB6">
        <w:rPr>
          <w:rFonts w:cs="FrankRuehl"/>
          <w:sz w:val="28"/>
          <w:szCs w:val="28"/>
        </w:rPr>
        <w:t xml:space="preserve"> </w:t>
      </w:r>
      <w:r w:rsidRPr="00C40CB6">
        <w:rPr>
          <w:rFonts w:cs="FrankRuehl"/>
          <w:sz w:val="28"/>
          <w:szCs w:val="28"/>
          <w:rtl/>
        </w:rPr>
        <w:t>יתאם</w:t>
      </w:r>
      <w:r w:rsidRPr="00C40CB6">
        <w:rPr>
          <w:rFonts w:cs="FrankRuehl"/>
          <w:sz w:val="28"/>
          <w:szCs w:val="28"/>
        </w:rPr>
        <w:t xml:space="preserve"> </w:t>
      </w:r>
      <w:r w:rsidRPr="00C40CB6">
        <w:rPr>
          <w:rFonts w:cs="FrankRuehl"/>
          <w:sz w:val="28"/>
          <w:szCs w:val="28"/>
          <w:rtl/>
        </w:rPr>
        <w:t>את</w:t>
      </w:r>
      <w:r w:rsidRPr="00C40CB6">
        <w:rPr>
          <w:rFonts w:cs="FrankRuehl"/>
          <w:sz w:val="28"/>
          <w:szCs w:val="28"/>
        </w:rPr>
        <w:t xml:space="preserve"> </w:t>
      </w:r>
      <w:r w:rsidRPr="00C40CB6">
        <w:rPr>
          <w:rFonts w:cs="FrankRuehl"/>
          <w:sz w:val="28"/>
          <w:szCs w:val="28"/>
          <w:rtl/>
        </w:rPr>
        <w:t>כניסתו</w:t>
      </w:r>
      <w:r w:rsidRPr="00C40CB6">
        <w:rPr>
          <w:rFonts w:cs="FrankRuehl"/>
          <w:sz w:val="28"/>
          <w:szCs w:val="28"/>
        </w:rPr>
        <w:t xml:space="preserve"> </w:t>
      </w:r>
      <w:r w:rsidRPr="00C40CB6">
        <w:rPr>
          <w:rFonts w:cs="FrankRuehl"/>
          <w:sz w:val="28"/>
          <w:szCs w:val="28"/>
          <w:rtl/>
        </w:rPr>
        <w:t>למאסר</w:t>
      </w:r>
      <w:r w:rsidRPr="00C40CB6">
        <w:rPr>
          <w:rFonts w:cs="FrankRuehl"/>
          <w:sz w:val="28"/>
          <w:szCs w:val="28"/>
        </w:rPr>
        <w:t xml:space="preserve"> </w:t>
      </w:r>
      <w:r w:rsidRPr="00C40CB6">
        <w:rPr>
          <w:rFonts w:cs="FrankRuehl"/>
          <w:sz w:val="28"/>
          <w:szCs w:val="28"/>
          <w:rtl/>
        </w:rPr>
        <w:t>עם</w:t>
      </w:r>
      <w:r w:rsidRPr="00C40CB6">
        <w:rPr>
          <w:rFonts w:cs="FrankRuehl"/>
          <w:sz w:val="28"/>
          <w:szCs w:val="28"/>
        </w:rPr>
        <w:t xml:space="preserve"> </w:t>
      </w:r>
      <w:r w:rsidRPr="00C40CB6">
        <w:rPr>
          <w:rFonts w:cs="FrankRuehl"/>
          <w:sz w:val="28"/>
          <w:szCs w:val="28"/>
          <w:rtl/>
        </w:rPr>
        <w:t>ענף</w:t>
      </w:r>
      <w:r w:rsidRPr="00C40CB6">
        <w:rPr>
          <w:rFonts w:cs="FrankRuehl"/>
          <w:sz w:val="28"/>
          <w:szCs w:val="28"/>
        </w:rPr>
        <w:t xml:space="preserve"> </w:t>
      </w:r>
      <w:r w:rsidRPr="00C40CB6">
        <w:rPr>
          <w:rFonts w:cs="FrankRuehl"/>
          <w:sz w:val="28"/>
          <w:szCs w:val="28"/>
          <w:rtl/>
        </w:rPr>
        <w:t>אבחון</w:t>
      </w:r>
      <w:r w:rsidRPr="00C40CB6">
        <w:rPr>
          <w:rFonts w:cs="FrankRuehl"/>
          <w:sz w:val="28"/>
          <w:szCs w:val="28"/>
        </w:rPr>
        <w:t xml:space="preserve"> </w:t>
      </w:r>
      <w:r w:rsidRPr="00C40CB6">
        <w:rPr>
          <w:rFonts w:cs="FrankRuehl"/>
          <w:sz w:val="28"/>
          <w:szCs w:val="28"/>
          <w:rtl/>
        </w:rPr>
        <w:t>ומיון</w:t>
      </w:r>
      <w:r w:rsidRPr="00C40CB6">
        <w:rPr>
          <w:rFonts w:cs="FrankRuehl"/>
          <w:sz w:val="28"/>
          <w:szCs w:val="28"/>
        </w:rPr>
        <w:t xml:space="preserve"> </w:t>
      </w:r>
      <w:r w:rsidRPr="00C40CB6">
        <w:rPr>
          <w:rFonts w:cs="FrankRuehl"/>
          <w:sz w:val="28"/>
          <w:szCs w:val="28"/>
          <w:rtl/>
        </w:rPr>
        <w:t>של</w:t>
      </w:r>
      <w:r w:rsidRPr="00C40CB6">
        <w:rPr>
          <w:rFonts w:cs="FrankRuehl"/>
          <w:sz w:val="28"/>
          <w:szCs w:val="28"/>
        </w:rPr>
        <w:t xml:space="preserve"> </w:t>
      </w:r>
      <w:r w:rsidRPr="00C40CB6">
        <w:rPr>
          <w:rFonts w:cs="FrankRuehl"/>
          <w:sz w:val="28"/>
          <w:szCs w:val="28"/>
          <w:rtl/>
        </w:rPr>
        <w:t>שירות</w:t>
      </w:r>
      <w:r w:rsidRPr="00C40CB6">
        <w:rPr>
          <w:rFonts w:cs="FrankRuehl"/>
          <w:sz w:val="28"/>
          <w:szCs w:val="28"/>
        </w:rPr>
        <w:t xml:space="preserve"> </w:t>
      </w:r>
      <w:r w:rsidRPr="00C40CB6">
        <w:rPr>
          <w:rFonts w:cs="FrankRuehl"/>
          <w:sz w:val="28"/>
          <w:szCs w:val="28"/>
          <w:rtl/>
        </w:rPr>
        <w:t>בתי</w:t>
      </w:r>
      <w:r w:rsidRPr="00C40CB6">
        <w:rPr>
          <w:rFonts w:cs="FrankRuehl"/>
          <w:sz w:val="28"/>
          <w:szCs w:val="28"/>
        </w:rPr>
        <w:t xml:space="preserve"> </w:t>
      </w:r>
      <w:r w:rsidRPr="00C40CB6">
        <w:rPr>
          <w:rFonts w:cs="FrankRuehl"/>
          <w:sz w:val="28"/>
          <w:szCs w:val="28"/>
          <w:rtl/>
        </w:rPr>
        <w:t>הסוהר</w:t>
      </w:r>
      <w:r>
        <w:rPr>
          <w:rFonts w:cs="FrankRuehl" w:hint="cs"/>
          <w:sz w:val="28"/>
          <w:szCs w:val="28"/>
          <w:rtl/>
        </w:rPr>
        <w:t xml:space="preserve"> </w:t>
      </w:r>
      <w:r w:rsidRPr="00C40CB6">
        <w:rPr>
          <w:rFonts w:cs="FrankRuehl"/>
          <w:sz w:val="28"/>
          <w:szCs w:val="28"/>
          <w:rtl/>
        </w:rPr>
        <w:t>בטלפוני</w:t>
      </w:r>
      <w:r>
        <w:rPr>
          <w:rFonts w:cs="FrankRuehl" w:hint="cs"/>
          <w:sz w:val="28"/>
          <w:szCs w:val="28"/>
          <w:rtl/>
        </w:rPr>
        <w:t>ם 08-9787336, 08-9787377. כ</w:t>
      </w:r>
      <w:r w:rsidRPr="00C40CB6">
        <w:rPr>
          <w:rFonts w:cs="FrankRuehl"/>
          <w:sz w:val="28"/>
          <w:szCs w:val="28"/>
          <w:rtl/>
        </w:rPr>
        <w:t>כל</w:t>
      </w:r>
      <w:r w:rsidRPr="00C40CB6">
        <w:rPr>
          <w:rFonts w:cs="FrankRuehl"/>
          <w:sz w:val="28"/>
          <w:szCs w:val="28"/>
        </w:rPr>
        <w:t xml:space="preserve"> </w:t>
      </w:r>
      <w:r w:rsidRPr="00C40CB6">
        <w:rPr>
          <w:rFonts w:cs="FrankRuehl"/>
          <w:sz w:val="28"/>
          <w:szCs w:val="28"/>
          <w:rtl/>
        </w:rPr>
        <w:t>שלא</w:t>
      </w:r>
      <w:r w:rsidRPr="00C40CB6">
        <w:rPr>
          <w:rFonts w:cs="FrankRuehl"/>
          <w:sz w:val="28"/>
          <w:szCs w:val="28"/>
        </w:rPr>
        <w:t xml:space="preserve"> </w:t>
      </w:r>
      <w:r w:rsidRPr="00C40CB6">
        <w:rPr>
          <w:rFonts w:cs="FrankRuehl"/>
          <w:sz w:val="28"/>
          <w:szCs w:val="28"/>
          <w:rtl/>
        </w:rPr>
        <w:t>יקבל</w:t>
      </w:r>
      <w:r w:rsidRPr="00C40CB6">
        <w:rPr>
          <w:rFonts w:cs="FrankRuehl"/>
          <w:sz w:val="28"/>
          <w:szCs w:val="28"/>
        </w:rPr>
        <w:t xml:space="preserve"> </w:t>
      </w:r>
      <w:r w:rsidRPr="00C40CB6">
        <w:rPr>
          <w:rFonts w:cs="FrankRuehl"/>
          <w:sz w:val="28"/>
          <w:szCs w:val="28"/>
          <w:rtl/>
        </w:rPr>
        <w:t>הנאשם</w:t>
      </w:r>
      <w:r w:rsidRPr="00C40CB6">
        <w:rPr>
          <w:rFonts w:cs="FrankRuehl"/>
          <w:sz w:val="28"/>
          <w:szCs w:val="28"/>
        </w:rPr>
        <w:t xml:space="preserve"> </w:t>
      </w:r>
      <w:r w:rsidRPr="00C40CB6">
        <w:rPr>
          <w:rFonts w:cs="FrankRuehl"/>
          <w:sz w:val="28"/>
          <w:szCs w:val="28"/>
          <w:rtl/>
        </w:rPr>
        <w:t>הנחיה</w:t>
      </w:r>
      <w:r w:rsidRPr="00C40CB6">
        <w:rPr>
          <w:rFonts w:cs="FrankRuehl"/>
          <w:sz w:val="28"/>
          <w:szCs w:val="28"/>
        </w:rPr>
        <w:t xml:space="preserve"> </w:t>
      </w:r>
      <w:r w:rsidRPr="00C40CB6">
        <w:rPr>
          <w:rFonts w:cs="FrankRuehl"/>
          <w:sz w:val="28"/>
          <w:szCs w:val="28"/>
          <w:rtl/>
        </w:rPr>
        <w:t>אחר</w:t>
      </w:r>
      <w:r>
        <w:rPr>
          <w:rFonts w:cs="FrankRuehl" w:hint="cs"/>
          <w:sz w:val="28"/>
          <w:szCs w:val="28"/>
          <w:rtl/>
        </w:rPr>
        <w:t xml:space="preserve">ת, </w:t>
      </w:r>
      <w:r w:rsidRPr="00C40CB6">
        <w:rPr>
          <w:rFonts w:cs="FrankRuehl"/>
          <w:sz w:val="28"/>
          <w:szCs w:val="28"/>
          <w:rtl/>
        </w:rPr>
        <w:t>עלי</w:t>
      </w:r>
      <w:r>
        <w:rPr>
          <w:rFonts w:cs="FrankRuehl" w:hint="cs"/>
          <w:sz w:val="28"/>
          <w:szCs w:val="28"/>
          <w:rtl/>
        </w:rPr>
        <w:t xml:space="preserve">ו </w:t>
      </w:r>
      <w:r w:rsidRPr="00C40CB6">
        <w:rPr>
          <w:rFonts w:cs="FrankRuehl"/>
          <w:sz w:val="28"/>
          <w:szCs w:val="28"/>
          <w:rtl/>
        </w:rPr>
        <w:t>להתייצב</w:t>
      </w:r>
      <w:r w:rsidRPr="00C40CB6">
        <w:rPr>
          <w:rFonts w:cs="FrankRuehl"/>
          <w:sz w:val="28"/>
          <w:szCs w:val="28"/>
        </w:rPr>
        <w:t xml:space="preserve"> </w:t>
      </w:r>
      <w:r w:rsidRPr="00C40CB6">
        <w:rPr>
          <w:rFonts w:cs="FrankRuehl"/>
          <w:sz w:val="28"/>
          <w:szCs w:val="28"/>
          <w:rtl/>
        </w:rPr>
        <w:t>עד</w:t>
      </w:r>
      <w:r w:rsidRPr="00C40CB6">
        <w:rPr>
          <w:rFonts w:cs="FrankRuehl"/>
          <w:sz w:val="28"/>
          <w:szCs w:val="28"/>
        </w:rPr>
        <w:t xml:space="preserve"> </w:t>
      </w:r>
      <w:r w:rsidRPr="00C40CB6">
        <w:rPr>
          <w:rFonts w:cs="FrankRuehl"/>
          <w:sz w:val="28"/>
          <w:szCs w:val="28"/>
          <w:rtl/>
        </w:rPr>
        <w:t>ליו</w:t>
      </w:r>
      <w:r>
        <w:rPr>
          <w:rFonts w:cs="FrankRuehl" w:hint="cs"/>
          <w:sz w:val="28"/>
          <w:szCs w:val="28"/>
          <w:rtl/>
        </w:rPr>
        <w:t>ם 15.12.19 ב</w:t>
      </w:r>
      <w:r w:rsidRPr="00C40CB6">
        <w:rPr>
          <w:rFonts w:cs="FrankRuehl"/>
          <w:sz w:val="28"/>
          <w:szCs w:val="28"/>
          <w:rtl/>
        </w:rPr>
        <w:t>שע</w:t>
      </w:r>
      <w:r>
        <w:rPr>
          <w:rFonts w:cs="FrankRuehl" w:hint="cs"/>
          <w:sz w:val="28"/>
          <w:szCs w:val="28"/>
          <w:rtl/>
        </w:rPr>
        <w:t>ה 09:00 ב</w:t>
      </w:r>
      <w:r w:rsidRPr="00C40CB6">
        <w:rPr>
          <w:rFonts w:cs="FrankRuehl"/>
          <w:sz w:val="28"/>
          <w:szCs w:val="28"/>
          <w:rtl/>
        </w:rPr>
        <w:t>מתקן</w:t>
      </w:r>
      <w:r w:rsidRPr="00C40CB6">
        <w:rPr>
          <w:rFonts w:cs="FrankRuehl"/>
          <w:sz w:val="28"/>
          <w:szCs w:val="28"/>
        </w:rPr>
        <w:t xml:space="preserve"> </w:t>
      </w:r>
      <w:r w:rsidRPr="00C40CB6">
        <w:rPr>
          <w:rFonts w:cs="FrankRuehl"/>
          <w:sz w:val="28"/>
          <w:szCs w:val="28"/>
          <w:rtl/>
        </w:rPr>
        <w:t>המעצר</w:t>
      </w:r>
      <w:r w:rsidRPr="00C40CB6">
        <w:rPr>
          <w:rFonts w:cs="FrankRuehl"/>
          <w:sz w:val="28"/>
          <w:szCs w:val="28"/>
        </w:rPr>
        <w:t xml:space="preserve"> </w:t>
      </w:r>
      <w:r w:rsidRPr="00C40CB6">
        <w:rPr>
          <w:rFonts w:cs="FrankRuehl"/>
          <w:sz w:val="28"/>
          <w:szCs w:val="28"/>
          <w:rtl/>
        </w:rPr>
        <w:t>בבית</w:t>
      </w:r>
      <w:r w:rsidRPr="00C40CB6">
        <w:rPr>
          <w:rFonts w:cs="FrankRuehl"/>
          <w:sz w:val="28"/>
          <w:szCs w:val="28"/>
        </w:rPr>
        <w:t xml:space="preserve"> </w:t>
      </w:r>
      <w:r w:rsidRPr="00C40CB6">
        <w:rPr>
          <w:rFonts w:cs="FrankRuehl"/>
          <w:sz w:val="28"/>
          <w:szCs w:val="28"/>
          <w:rtl/>
        </w:rPr>
        <w:t>סוהר</w:t>
      </w:r>
      <w:r w:rsidRPr="00C40CB6">
        <w:rPr>
          <w:rFonts w:cs="FrankRuehl"/>
          <w:sz w:val="28"/>
          <w:szCs w:val="28"/>
        </w:rPr>
        <w:t xml:space="preserve"> </w:t>
      </w:r>
      <w:r w:rsidRPr="00C40CB6">
        <w:rPr>
          <w:rFonts w:cs="FrankRuehl"/>
          <w:sz w:val="28"/>
          <w:szCs w:val="28"/>
          <w:rtl/>
        </w:rPr>
        <w:t>ניצן</w:t>
      </w:r>
      <w:r w:rsidRPr="00C40CB6">
        <w:rPr>
          <w:rFonts w:cs="FrankRuehl"/>
          <w:sz w:val="28"/>
          <w:szCs w:val="28"/>
        </w:rPr>
        <w:t xml:space="preserve"> </w:t>
      </w:r>
      <w:r w:rsidRPr="00C40CB6">
        <w:rPr>
          <w:rFonts w:cs="FrankRuehl"/>
          <w:sz w:val="28"/>
          <w:szCs w:val="28"/>
          <w:rtl/>
        </w:rPr>
        <w:t>ברמל</w:t>
      </w:r>
      <w:r>
        <w:rPr>
          <w:rFonts w:cs="FrankRuehl" w:hint="cs"/>
          <w:sz w:val="28"/>
          <w:szCs w:val="28"/>
          <w:rtl/>
        </w:rPr>
        <w:t>ה, ע</w:t>
      </w:r>
      <w:r w:rsidRPr="00C40CB6">
        <w:rPr>
          <w:rFonts w:cs="FrankRuehl"/>
          <w:sz w:val="28"/>
          <w:szCs w:val="28"/>
          <w:rtl/>
        </w:rPr>
        <w:t>ם</w:t>
      </w:r>
      <w:r>
        <w:rPr>
          <w:rFonts w:cs="FrankRuehl" w:hint="cs"/>
          <w:sz w:val="28"/>
          <w:szCs w:val="28"/>
          <w:rtl/>
        </w:rPr>
        <w:t xml:space="preserve"> </w:t>
      </w:r>
      <w:r w:rsidRPr="00C40CB6">
        <w:rPr>
          <w:rFonts w:cs="FrankRuehl"/>
          <w:sz w:val="28"/>
          <w:szCs w:val="28"/>
          <w:rtl/>
        </w:rPr>
        <w:t>תעודה</w:t>
      </w:r>
      <w:r w:rsidRPr="00C40CB6">
        <w:rPr>
          <w:rFonts w:cs="FrankRuehl"/>
          <w:sz w:val="28"/>
          <w:szCs w:val="28"/>
        </w:rPr>
        <w:t xml:space="preserve"> </w:t>
      </w:r>
      <w:r w:rsidRPr="00C40CB6">
        <w:rPr>
          <w:rFonts w:cs="FrankRuehl"/>
          <w:sz w:val="28"/>
          <w:szCs w:val="28"/>
          <w:rtl/>
        </w:rPr>
        <w:t>מזהה</w:t>
      </w:r>
      <w:r w:rsidRPr="00C40CB6">
        <w:rPr>
          <w:rFonts w:cs="FrankRuehl"/>
          <w:sz w:val="28"/>
          <w:szCs w:val="28"/>
        </w:rPr>
        <w:t xml:space="preserve"> </w:t>
      </w:r>
      <w:r w:rsidRPr="00C40CB6">
        <w:rPr>
          <w:rFonts w:cs="FrankRuehl"/>
          <w:sz w:val="28"/>
          <w:szCs w:val="28"/>
          <w:rtl/>
        </w:rPr>
        <w:t>והעתק</w:t>
      </w:r>
      <w:r w:rsidRPr="00C40CB6">
        <w:rPr>
          <w:rFonts w:cs="FrankRuehl"/>
          <w:sz w:val="28"/>
          <w:szCs w:val="28"/>
        </w:rPr>
        <w:t xml:space="preserve"> </w:t>
      </w:r>
      <w:r w:rsidRPr="00C40CB6">
        <w:rPr>
          <w:rFonts w:cs="FrankRuehl"/>
          <w:sz w:val="28"/>
          <w:szCs w:val="28"/>
          <w:rtl/>
        </w:rPr>
        <w:t>גזר</w:t>
      </w:r>
      <w:r w:rsidRPr="00C40CB6">
        <w:rPr>
          <w:rFonts w:cs="FrankRuehl"/>
          <w:sz w:val="28"/>
          <w:szCs w:val="28"/>
        </w:rPr>
        <w:t xml:space="preserve"> </w:t>
      </w:r>
      <w:r w:rsidRPr="00C40CB6">
        <w:rPr>
          <w:rFonts w:cs="FrankRuehl"/>
          <w:sz w:val="28"/>
          <w:szCs w:val="28"/>
          <w:rtl/>
        </w:rPr>
        <w:t>הדי</w:t>
      </w:r>
      <w:r>
        <w:rPr>
          <w:rFonts w:cs="FrankRuehl" w:hint="cs"/>
          <w:sz w:val="28"/>
          <w:szCs w:val="28"/>
          <w:rtl/>
        </w:rPr>
        <w:t xml:space="preserve">ן.  </w:t>
      </w:r>
    </w:p>
    <w:p w14:paraId="4879CBAF" w14:textId="77777777" w:rsidR="00C6274B" w:rsidRPr="000E357C" w:rsidRDefault="00C6274B" w:rsidP="00C6274B">
      <w:pPr>
        <w:pStyle w:val="David"/>
        <w:ind w:firstLine="720"/>
        <w:rPr>
          <w:rFonts w:cs="FrankRuehl"/>
          <w:sz w:val="28"/>
          <w:szCs w:val="28"/>
          <w:rtl/>
        </w:rPr>
      </w:pPr>
    </w:p>
    <w:p w14:paraId="0387E4ED" w14:textId="77777777" w:rsidR="00C6274B" w:rsidRDefault="00C6274B" w:rsidP="00C6274B">
      <w:pPr>
        <w:pStyle w:val="David"/>
        <w:ind w:left="1440" w:hanging="720"/>
        <w:rPr>
          <w:rFonts w:cs="FrankRuehl"/>
          <w:sz w:val="28"/>
          <w:szCs w:val="28"/>
          <w:rtl/>
        </w:rPr>
      </w:pPr>
      <w:r>
        <w:rPr>
          <w:rFonts w:cs="FrankRuehl" w:hint="cs"/>
          <w:sz w:val="28"/>
          <w:szCs w:val="28"/>
          <w:rtl/>
        </w:rPr>
        <w:t>ב.</w:t>
      </w:r>
      <w:r>
        <w:rPr>
          <w:rFonts w:cs="FrankRuehl" w:hint="cs"/>
          <w:sz w:val="28"/>
          <w:szCs w:val="28"/>
          <w:rtl/>
        </w:rPr>
        <w:tab/>
        <w:t>ששה חודשי מאסר אשר לא ירוצו אלא אם הנאשם יעבור עבירת אלימות במהלך שלוש שנים ממועד שחרורו ממאסר.</w:t>
      </w:r>
    </w:p>
    <w:p w14:paraId="0F66153E" w14:textId="77777777" w:rsidR="00C6274B" w:rsidRDefault="00C6274B" w:rsidP="00C6274B">
      <w:pPr>
        <w:pStyle w:val="David"/>
        <w:rPr>
          <w:rFonts w:cs="FrankRuehl"/>
          <w:sz w:val="28"/>
          <w:szCs w:val="28"/>
          <w:rtl/>
        </w:rPr>
      </w:pPr>
    </w:p>
    <w:p w14:paraId="5A49A764" w14:textId="77777777" w:rsidR="00C6274B" w:rsidRDefault="00C6274B" w:rsidP="00C6274B">
      <w:pPr>
        <w:spacing w:line="360" w:lineRule="auto"/>
        <w:ind w:firstLine="720"/>
        <w:rPr>
          <w:rFonts w:cs="FrankRuehl"/>
          <w:sz w:val="28"/>
          <w:szCs w:val="28"/>
          <w:rtl/>
        </w:rPr>
      </w:pPr>
      <w:r>
        <w:rPr>
          <w:rFonts w:cs="FrankRuehl" w:hint="cs"/>
          <w:sz w:val="28"/>
          <w:szCs w:val="28"/>
          <w:rtl/>
        </w:rPr>
        <w:t>ג.</w:t>
      </w:r>
      <w:r>
        <w:rPr>
          <w:rFonts w:cs="FrankRuehl" w:hint="cs"/>
          <w:sz w:val="28"/>
          <w:szCs w:val="28"/>
          <w:rtl/>
        </w:rPr>
        <w:tab/>
        <w:t>פיצוי למתלונן בסך של 3,500 ₪.</w:t>
      </w:r>
    </w:p>
    <w:p w14:paraId="56A78630" w14:textId="77777777" w:rsidR="00C6274B" w:rsidRDefault="00C6274B" w:rsidP="00C6274B">
      <w:pPr>
        <w:spacing w:line="360" w:lineRule="auto"/>
        <w:ind w:left="1440"/>
        <w:rPr>
          <w:rFonts w:cs="FrankRuehl"/>
          <w:sz w:val="28"/>
          <w:szCs w:val="28"/>
          <w:rtl/>
        </w:rPr>
      </w:pPr>
      <w:r>
        <w:rPr>
          <w:rFonts w:cs="FrankRuehl" w:hint="cs"/>
          <w:sz w:val="28"/>
          <w:szCs w:val="28"/>
          <w:rtl/>
        </w:rPr>
        <w:t xml:space="preserve">הפיצוי יופקד בקופת בית המשפט עד ליום 1.01.20. </w:t>
      </w:r>
    </w:p>
    <w:p w14:paraId="73D3B7A0" w14:textId="77777777" w:rsidR="00C6274B" w:rsidRDefault="00C6274B" w:rsidP="00C6274B">
      <w:pPr>
        <w:spacing w:line="360" w:lineRule="auto"/>
        <w:ind w:left="720" w:firstLine="720"/>
        <w:rPr>
          <w:rFonts w:cs="FrankRuehl"/>
          <w:sz w:val="28"/>
          <w:szCs w:val="28"/>
          <w:rtl/>
        </w:rPr>
      </w:pPr>
      <w:r>
        <w:rPr>
          <w:rFonts w:cs="FrankRuehl" w:hint="cs"/>
          <w:sz w:val="28"/>
          <w:szCs w:val="28"/>
          <w:rtl/>
        </w:rPr>
        <w:t xml:space="preserve">המאשימה תמסור את פרטי המתלונן למזכירות בתוך 30 יום. </w:t>
      </w:r>
    </w:p>
    <w:p w14:paraId="1C386D50" w14:textId="77777777" w:rsidR="00C6274B" w:rsidRDefault="00C6274B" w:rsidP="00C6274B">
      <w:pPr>
        <w:spacing w:line="360" w:lineRule="auto"/>
        <w:ind w:left="720" w:firstLine="720"/>
        <w:rPr>
          <w:rFonts w:cs="FrankRuehl"/>
          <w:sz w:val="28"/>
          <w:szCs w:val="28"/>
          <w:rtl/>
        </w:rPr>
      </w:pPr>
    </w:p>
    <w:p w14:paraId="3BC65707" w14:textId="77777777" w:rsidR="00C6274B" w:rsidRDefault="00C6274B" w:rsidP="00C6274B">
      <w:pPr>
        <w:spacing w:line="360" w:lineRule="auto"/>
        <w:ind w:left="1440" w:hanging="720"/>
        <w:rPr>
          <w:rFonts w:cs="FrankRuehl"/>
          <w:sz w:val="28"/>
          <w:szCs w:val="28"/>
          <w:rtl/>
        </w:rPr>
      </w:pPr>
      <w:r>
        <w:rPr>
          <w:rFonts w:cs="FrankRuehl" w:hint="cs"/>
          <w:sz w:val="28"/>
          <w:szCs w:val="28"/>
          <w:rtl/>
        </w:rPr>
        <w:t>ד.</w:t>
      </w:r>
      <w:r>
        <w:rPr>
          <w:rFonts w:cs="FrankRuehl"/>
          <w:sz w:val="28"/>
          <w:szCs w:val="28"/>
          <w:rtl/>
        </w:rPr>
        <w:tab/>
      </w:r>
      <w:r>
        <w:rPr>
          <w:rFonts w:cs="FrankRuehl" w:hint="cs"/>
          <w:sz w:val="28"/>
          <w:szCs w:val="28"/>
          <w:rtl/>
        </w:rPr>
        <w:t xml:space="preserve">בשים לב לטענה, שלא נסתרה, כי הנאשם פיצה את בעל הרכב, עלאא, על מלוא נזקי רכבו, מבעוד מועד, איני מוצא מקום לפסוק פיצוי נוסף עבור עלאא. </w:t>
      </w:r>
    </w:p>
    <w:p w14:paraId="43056D87" w14:textId="77777777" w:rsidR="00C6274B" w:rsidRDefault="00C6274B" w:rsidP="00C6274B">
      <w:pPr>
        <w:spacing w:line="360" w:lineRule="auto"/>
        <w:rPr>
          <w:rFonts w:cs="FrankRuehl"/>
          <w:sz w:val="28"/>
          <w:szCs w:val="28"/>
          <w:rtl/>
        </w:rPr>
      </w:pPr>
    </w:p>
    <w:p w14:paraId="4247A08C" w14:textId="77777777" w:rsidR="00C6274B" w:rsidRDefault="00C6274B" w:rsidP="00C6274B">
      <w:pPr>
        <w:spacing w:line="360" w:lineRule="auto"/>
        <w:rPr>
          <w:rFonts w:cs="FrankRuehl"/>
          <w:sz w:val="28"/>
          <w:szCs w:val="28"/>
          <w:rtl/>
        </w:rPr>
      </w:pPr>
      <w:r>
        <w:rPr>
          <w:rFonts w:cs="FrankRuehl" w:hint="cs"/>
          <w:sz w:val="28"/>
          <w:szCs w:val="28"/>
          <w:rtl/>
        </w:rPr>
        <w:t>ערעור בזכות לבית המשפט המחוזי בתוך 45 יום מהיום.</w:t>
      </w:r>
    </w:p>
    <w:p w14:paraId="50E6DFCB" w14:textId="77777777" w:rsidR="00C6274B" w:rsidRPr="00232899" w:rsidRDefault="00232899" w:rsidP="00C6274B">
      <w:pPr>
        <w:spacing w:line="360" w:lineRule="auto"/>
        <w:rPr>
          <w:rFonts w:cs="FrankRuehl"/>
          <w:color w:val="FFFFFF"/>
          <w:sz w:val="2"/>
          <w:szCs w:val="2"/>
          <w:rtl/>
        </w:rPr>
      </w:pPr>
      <w:r w:rsidRPr="00232899">
        <w:rPr>
          <w:rFonts w:cs="FrankRuehl"/>
          <w:color w:val="FFFFFF"/>
          <w:sz w:val="2"/>
          <w:szCs w:val="2"/>
          <w:rtl/>
        </w:rPr>
        <w:t>5129371</w:t>
      </w:r>
    </w:p>
    <w:p w14:paraId="44244CC8" w14:textId="77777777" w:rsidR="00C6274B" w:rsidRDefault="00232899" w:rsidP="00C6274B">
      <w:pPr>
        <w:jc w:val="center"/>
        <w:rPr>
          <w:rFonts w:cs="FrankRuehl"/>
          <w:sz w:val="28"/>
          <w:szCs w:val="28"/>
          <w:rtl/>
        </w:rPr>
      </w:pPr>
      <w:bookmarkStart w:id="8" w:name="Nitan"/>
      <w:r w:rsidRPr="00232899">
        <w:rPr>
          <w:rFonts w:ascii="Arial" w:hAnsi="Arial" w:cs="FrankRuehl"/>
          <w:color w:val="FFFFFF"/>
          <w:sz w:val="2"/>
          <w:szCs w:val="2"/>
          <w:rtl/>
        </w:rPr>
        <w:t>54678313</w:t>
      </w:r>
      <w:r>
        <w:rPr>
          <w:rFonts w:ascii="Arial" w:hAnsi="Arial" w:cs="FrankRuehl"/>
          <w:sz w:val="28"/>
          <w:szCs w:val="28"/>
          <w:rtl/>
        </w:rPr>
        <w:t xml:space="preserve">ניתן היום,  כ"ג חשוון תש"פ, 21 נובמבר 2019, במעמד המתייצבים. </w:t>
      </w:r>
      <w:bookmarkEnd w:id="8"/>
    </w:p>
    <w:p w14:paraId="3FA26CEC" w14:textId="77777777" w:rsidR="00C6274B" w:rsidRPr="00152D0F" w:rsidRDefault="00C6274B" w:rsidP="00232899">
      <w:pPr>
        <w:jc w:val="center"/>
      </w:pPr>
      <w:r w:rsidRPr="00152D0F">
        <w:rPr>
          <w:rFonts w:cs="FrankRuehl" w:hint="cs"/>
          <w:sz w:val="28"/>
          <w:szCs w:val="28"/>
          <w:rtl/>
        </w:rPr>
        <w:t xml:space="preserve">  </w:t>
      </w:r>
      <w:r w:rsidRPr="00152D0F">
        <w:rPr>
          <w:rFonts w:cs="FrankRuehl" w:hint="cs"/>
          <w:sz w:val="28"/>
          <w:szCs w:val="28"/>
          <w:rtl/>
        </w:rPr>
        <w:tab/>
      </w:r>
      <w:r w:rsidRPr="00152D0F">
        <w:rPr>
          <w:rFonts w:cs="FrankRuehl" w:hint="cs"/>
          <w:sz w:val="28"/>
          <w:szCs w:val="28"/>
          <w:rtl/>
        </w:rPr>
        <w:tab/>
      </w:r>
      <w:r w:rsidRPr="00152D0F">
        <w:rPr>
          <w:rFonts w:cs="FrankRuehl" w:hint="cs"/>
          <w:sz w:val="28"/>
          <w:szCs w:val="28"/>
          <w:rtl/>
        </w:rPr>
        <w:tab/>
      </w:r>
      <w:r w:rsidRPr="00152D0F">
        <w:rPr>
          <w:rFonts w:cs="FrankRuehl" w:hint="cs"/>
          <w:sz w:val="28"/>
          <w:szCs w:val="28"/>
          <w:rtl/>
        </w:rPr>
        <w:tab/>
      </w:r>
      <w:r w:rsidRPr="00152D0F">
        <w:rPr>
          <w:rFonts w:cs="FrankRuehl" w:hint="cs"/>
          <w:sz w:val="28"/>
          <w:szCs w:val="28"/>
          <w:rtl/>
        </w:rPr>
        <w:tab/>
      </w:r>
    </w:p>
    <w:p w14:paraId="55397286" w14:textId="77777777" w:rsidR="00C6274B" w:rsidRPr="00152D0F" w:rsidRDefault="00C6274B" w:rsidP="00C6274B">
      <w:pPr>
        <w:jc w:val="center"/>
        <w:rPr>
          <w:rFonts w:ascii="Arial" w:hAnsi="Arial" w:cs="FrankRuehl"/>
          <w:sz w:val="28"/>
          <w:szCs w:val="28"/>
          <w:rtl/>
        </w:rPr>
      </w:pPr>
    </w:p>
    <w:p w14:paraId="17EB61E3" w14:textId="77777777" w:rsidR="00C6274B" w:rsidRPr="00152D0F" w:rsidRDefault="00C6274B" w:rsidP="00C6274B">
      <w:pPr>
        <w:rPr>
          <w:rFonts w:cs="FrankRuehl"/>
          <w:sz w:val="28"/>
          <w:szCs w:val="28"/>
          <w:rtl/>
        </w:rPr>
      </w:pPr>
    </w:p>
    <w:p w14:paraId="3C1707D3" w14:textId="77777777" w:rsidR="00232899" w:rsidRDefault="00A05A7D" w:rsidP="00232899">
      <w:r w:rsidRPr="00A05A7D">
        <w:rPr>
          <w:rFonts w:cs="FrankRuehl"/>
          <w:color w:val="FFFFFF"/>
          <w:sz w:val="2"/>
          <w:szCs w:val="2"/>
          <w:rtl/>
        </w:rPr>
        <w:t>5129371</w:t>
      </w:r>
    </w:p>
    <w:p w14:paraId="5A93F2A2" w14:textId="77777777" w:rsidR="00232899" w:rsidRDefault="00232899" w:rsidP="00232899">
      <w:pPr>
        <w:rPr>
          <w:rtl/>
        </w:rPr>
      </w:pPr>
    </w:p>
    <w:p w14:paraId="78D0078A" w14:textId="77777777" w:rsidR="00232899" w:rsidRDefault="00232899" w:rsidP="00232899">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FBE3F67" w14:textId="77777777" w:rsidR="00A05A7D" w:rsidRPr="00A05A7D" w:rsidRDefault="00A05A7D" w:rsidP="00A05A7D">
      <w:pPr>
        <w:keepNext/>
        <w:rPr>
          <w:rFonts w:ascii="David" w:hAnsi="David"/>
          <w:color w:val="000000"/>
          <w:sz w:val="22"/>
          <w:szCs w:val="22"/>
          <w:rtl/>
        </w:rPr>
      </w:pPr>
    </w:p>
    <w:p w14:paraId="20933F71" w14:textId="77777777" w:rsidR="00A05A7D" w:rsidRPr="00A05A7D" w:rsidRDefault="00A05A7D" w:rsidP="00A05A7D">
      <w:pPr>
        <w:keepNext/>
        <w:rPr>
          <w:rFonts w:ascii="David" w:hAnsi="David"/>
          <w:color w:val="000000"/>
          <w:sz w:val="22"/>
          <w:szCs w:val="22"/>
          <w:rtl/>
        </w:rPr>
      </w:pPr>
      <w:r w:rsidRPr="00A05A7D">
        <w:rPr>
          <w:rFonts w:ascii="David" w:hAnsi="David"/>
          <w:color w:val="000000"/>
          <w:sz w:val="22"/>
          <w:szCs w:val="22"/>
          <w:rtl/>
        </w:rPr>
        <w:t>אילן סלע 54678313-/</w:t>
      </w:r>
    </w:p>
    <w:p w14:paraId="4BF5908A" w14:textId="77777777" w:rsidR="00232899" w:rsidRPr="00232899" w:rsidRDefault="00A05A7D" w:rsidP="00A05A7D">
      <w:pPr>
        <w:rPr>
          <w:color w:val="0000FF"/>
          <w:u w:val="single"/>
        </w:rPr>
      </w:pPr>
      <w:r w:rsidRPr="00A05A7D">
        <w:rPr>
          <w:color w:val="000000"/>
          <w:u w:val="single"/>
          <w:rtl/>
        </w:rPr>
        <w:t>נוסח מסמך זה כפוף לשינויי ניסוח ועריכה</w:t>
      </w:r>
    </w:p>
    <w:sectPr w:rsidR="00232899" w:rsidRPr="00232899" w:rsidSect="00A05A7D">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81923" w14:textId="77777777" w:rsidR="001F4C7E" w:rsidRDefault="001F4C7E" w:rsidP="00A30309">
      <w:r>
        <w:separator/>
      </w:r>
    </w:p>
  </w:endnote>
  <w:endnote w:type="continuationSeparator" w:id="0">
    <w:p w14:paraId="1E649A9C" w14:textId="77777777" w:rsidR="001F4C7E" w:rsidRDefault="001F4C7E" w:rsidP="00A30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4FC0D" w14:textId="77777777" w:rsidR="00A05A7D" w:rsidRDefault="00A05A7D" w:rsidP="00A05A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2629CE" w14:textId="77777777" w:rsidR="002F68A8" w:rsidRPr="00A05A7D" w:rsidRDefault="00A05A7D" w:rsidP="00A05A7D">
    <w:pPr>
      <w:pStyle w:val="a5"/>
      <w:pBdr>
        <w:top w:val="single" w:sz="4" w:space="1" w:color="auto"/>
        <w:between w:val="single" w:sz="4" w:space="0" w:color="auto"/>
      </w:pBdr>
      <w:spacing w:after="60"/>
      <w:jc w:val="center"/>
      <w:rPr>
        <w:rFonts w:ascii="FrankRuehl" w:hAnsi="FrankRuehl" w:cs="FrankRuehl"/>
        <w:color w:val="000000"/>
      </w:rPr>
    </w:pPr>
    <w:r w:rsidRPr="00A05A7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0613D" w14:textId="77777777" w:rsidR="00A05A7D" w:rsidRDefault="00A05A7D" w:rsidP="00A05A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2504">
      <w:rPr>
        <w:rFonts w:ascii="FrankRuehl" w:hAnsi="FrankRuehl" w:cs="FrankRuehl"/>
        <w:noProof/>
        <w:rtl/>
      </w:rPr>
      <w:t>1</w:t>
    </w:r>
    <w:r>
      <w:rPr>
        <w:rFonts w:ascii="FrankRuehl" w:hAnsi="FrankRuehl" w:cs="FrankRuehl"/>
        <w:rtl/>
      </w:rPr>
      <w:fldChar w:fldCharType="end"/>
    </w:r>
  </w:p>
  <w:p w14:paraId="573F500E" w14:textId="77777777" w:rsidR="002F68A8" w:rsidRPr="00A05A7D" w:rsidRDefault="00A05A7D" w:rsidP="00A05A7D">
    <w:pPr>
      <w:pStyle w:val="a5"/>
      <w:pBdr>
        <w:top w:val="single" w:sz="4" w:space="1" w:color="auto"/>
        <w:between w:val="single" w:sz="4" w:space="0" w:color="auto"/>
      </w:pBdr>
      <w:spacing w:after="60"/>
      <w:jc w:val="center"/>
      <w:rPr>
        <w:rFonts w:ascii="FrankRuehl" w:hAnsi="FrankRuehl" w:cs="FrankRuehl"/>
        <w:color w:val="000000"/>
      </w:rPr>
    </w:pPr>
    <w:r w:rsidRPr="00A05A7D">
      <w:rPr>
        <w:rFonts w:ascii="FrankRuehl" w:hAnsi="FrankRuehl" w:cs="FrankRuehl"/>
        <w:color w:val="000000"/>
      </w:rPr>
      <w:pict w14:anchorId="30456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6DCCC" w14:textId="77777777" w:rsidR="001F4C7E" w:rsidRDefault="001F4C7E" w:rsidP="00A30309">
      <w:r>
        <w:separator/>
      </w:r>
    </w:p>
  </w:footnote>
  <w:footnote w:type="continuationSeparator" w:id="0">
    <w:p w14:paraId="573B4E27" w14:textId="77777777" w:rsidR="001F4C7E" w:rsidRDefault="001F4C7E" w:rsidP="00A30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A501C" w14:textId="77777777" w:rsidR="00232899" w:rsidRPr="00A05A7D" w:rsidRDefault="00A05A7D" w:rsidP="00A05A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58413-06-17</w:t>
    </w:r>
    <w:r>
      <w:rPr>
        <w:rFonts w:ascii="David" w:hAnsi="David"/>
        <w:color w:val="000000"/>
        <w:sz w:val="22"/>
        <w:szCs w:val="22"/>
        <w:rtl/>
      </w:rPr>
      <w:tab/>
      <w:t xml:space="preserve"> מדינת ישראל נ' אלירן וזנה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1DEA8" w14:textId="77777777" w:rsidR="00232899" w:rsidRPr="00A05A7D" w:rsidRDefault="00A05A7D" w:rsidP="00A05A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58413-06-17</w:t>
    </w:r>
    <w:r>
      <w:rPr>
        <w:rFonts w:ascii="David" w:hAnsi="David"/>
        <w:color w:val="000000"/>
        <w:sz w:val="22"/>
        <w:szCs w:val="22"/>
        <w:rtl/>
      </w:rPr>
      <w:tab/>
      <w:t xml:space="preserve"> מדינת ישראל נ' אלירן וזנה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E652C5"/>
    <w:multiLevelType w:val="hybridMultilevel"/>
    <w:tmpl w:val="46D8621E"/>
    <w:lvl w:ilvl="0" w:tplc="83003414">
      <w:start w:val="16"/>
      <w:numFmt w:val="bullet"/>
      <w:lvlText w:val=""/>
      <w:lvlJc w:val="left"/>
      <w:pPr>
        <w:ind w:left="720" w:hanging="360"/>
      </w:pPr>
      <w:rPr>
        <w:rFonts w:ascii="Symbol" w:eastAsia="Times New Roman"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079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6274B"/>
    <w:rsid w:val="001F4C7E"/>
    <w:rsid w:val="00232899"/>
    <w:rsid w:val="002F68A8"/>
    <w:rsid w:val="00392504"/>
    <w:rsid w:val="005F4A2A"/>
    <w:rsid w:val="006936E5"/>
    <w:rsid w:val="00A05A7D"/>
    <w:rsid w:val="00A30309"/>
    <w:rsid w:val="00C16BB4"/>
    <w:rsid w:val="00C6274B"/>
    <w:rsid w:val="00CB6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7904B7"/>
  <w15:chartTrackingRefBased/>
  <w15:docId w15:val="{F975D4CC-8754-4FFB-9E30-EAF0B968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27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274B"/>
    <w:pPr>
      <w:tabs>
        <w:tab w:val="center" w:pos="4153"/>
        <w:tab w:val="right" w:pos="8306"/>
      </w:tabs>
    </w:pPr>
  </w:style>
  <w:style w:type="character" w:customStyle="1" w:styleId="a4">
    <w:name w:val="כותרת עליונה תו"/>
    <w:link w:val="a3"/>
    <w:rsid w:val="00C6274B"/>
    <w:rPr>
      <w:rFonts w:ascii="Times New Roman" w:eastAsia="Times New Roman" w:hAnsi="Times New Roman" w:cs="David"/>
      <w:sz w:val="24"/>
      <w:szCs w:val="24"/>
    </w:rPr>
  </w:style>
  <w:style w:type="paragraph" w:styleId="a5">
    <w:name w:val="footer"/>
    <w:basedOn w:val="a"/>
    <w:link w:val="a6"/>
    <w:rsid w:val="00C6274B"/>
    <w:pPr>
      <w:tabs>
        <w:tab w:val="center" w:pos="4153"/>
        <w:tab w:val="right" w:pos="8306"/>
      </w:tabs>
    </w:pPr>
  </w:style>
  <w:style w:type="character" w:customStyle="1" w:styleId="a6">
    <w:name w:val="כותרת תחתונה תו"/>
    <w:link w:val="a5"/>
    <w:rsid w:val="00C6274B"/>
    <w:rPr>
      <w:rFonts w:ascii="Times New Roman" w:eastAsia="Times New Roman" w:hAnsi="Times New Roman" w:cs="David"/>
      <w:sz w:val="24"/>
      <w:szCs w:val="24"/>
    </w:rPr>
  </w:style>
  <w:style w:type="table" w:styleId="a7">
    <w:name w:val="Table Grid"/>
    <w:basedOn w:val="a1"/>
    <w:rsid w:val="00C627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6274B"/>
  </w:style>
  <w:style w:type="paragraph" w:customStyle="1" w:styleId="David">
    <w:name w:val="סגנון (עברית ושפות אחרות) David מיושר לשני הצדדים מרווח בין שורות..."/>
    <w:basedOn w:val="a"/>
    <w:rsid w:val="00C6274B"/>
    <w:pPr>
      <w:spacing w:line="360" w:lineRule="auto"/>
      <w:jc w:val="both"/>
    </w:pPr>
  </w:style>
  <w:style w:type="character" w:styleId="Hyperlink">
    <w:name w:val="Hyperlink"/>
    <w:rsid w:val="002328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6983240" TargetMode="External"/><Relationship Id="rId26" Type="http://schemas.openxmlformats.org/officeDocument/2006/relationships/hyperlink" Target="http://www.nevo.co.il/case/22684688"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1473859" TargetMode="External"/><Relationship Id="rId34" Type="http://schemas.openxmlformats.org/officeDocument/2006/relationships/hyperlink" Target="http://www.nevo.co.il/case/25647405"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82" TargetMode="External"/><Relationship Id="rId29" Type="http://schemas.openxmlformats.org/officeDocument/2006/relationships/hyperlink" Target="http://www.nevo.co.il/case/179591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e" TargetMode="External"/><Relationship Id="rId24" Type="http://schemas.openxmlformats.org/officeDocument/2006/relationships/hyperlink" Target="http://www.nevo.co.il/case/16900220" TargetMode="External"/><Relationship Id="rId32" Type="http://schemas.openxmlformats.org/officeDocument/2006/relationships/hyperlink" Target="http://www.nevo.co.il/case/22266176" TargetMode="External"/><Relationship Id="rId37" Type="http://schemas.openxmlformats.org/officeDocument/2006/relationships/hyperlink" Target="http://www.nevo.co.il/case/2147328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80" TargetMode="External"/><Relationship Id="rId23" Type="http://schemas.openxmlformats.org/officeDocument/2006/relationships/hyperlink" Target="http://www.nevo.co.il/case/22505624" TargetMode="External"/><Relationship Id="rId28" Type="http://schemas.openxmlformats.org/officeDocument/2006/relationships/hyperlink" Target="http://www.nevo.co.il/case/21473859" TargetMode="External"/><Relationship Id="rId36" Type="http://schemas.openxmlformats.org/officeDocument/2006/relationships/hyperlink" Target="http://www.nevo.co.il/case/21476409" TargetMode="External"/><Relationship Id="rId10" Type="http://schemas.openxmlformats.org/officeDocument/2006/relationships/hyperlink" Target="http://www.nevo.co.il/law/70301/382" TargetMode="External"/><Relationship Id="rId19" Type="http://schemas.openxmlformats.org/officeDocument/2006/relationships/hyperlink" Target="http://www.nevo.co.il/case/5614080" TargetMode="External"/><Relationship Id="rId31" Type="http://schemas.openxmlformats.org/officeDocument/2006/relationships/hyperlink" Target="http://www.nevo.co.il/case/1123814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80" TargetMode="External"/><Relationship Id="rId14" Type="http://schemas.openxmlformats.org/officeDocument/2006/relationships/hyperlink" Target="http://www.nevo.co.il/law/70301/413e" TargetMode="External"/><Relationship Id="rId22" Type="http://schemas.openxmlformats.org/officeDocument/2006/relationships/hyperlink" Target="http://www.nevo.co.il/case/21473281" TargetMode="External"/><Relationship Id="rId27" Type="http://schemas.openxmlformats.org/officeDocument/2006/relationships/hyperlink" Target="http://www.nevo.co.il/case/25647402" TargetMode="External"/><Relationship Id="rId30" Type="http://schemas.openxmlformats.org/officeDocument/2006/relationships/hyperlink" Target="http://www.nevo.co.il/case/17075070" TargetMode="External"/><Relationship Id="rId35" Type="http://schemas.openxmlformats.org/officeDocument/2006/relationships/hyperlink" Target="http://www.nevo.co.il/case/21477553" TargetMode="External"/><Relationship Id="rId43"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380;144.a" TargetMode="External"/><Relationship Id="rId17" Type="http://schemas.openxmlformats.org/officeDocument/2006/relationships/hyperlink" Target="http://www.nevo.co.il/case/16900220" TargetMode="External"/><Relationship Id="rId25" Type="http://schemas.openxmlformats.org/officeDocument/2006/relationships/hyperlink" Target="http://www.nevo.co.il/case/25647402" TargetMode="External"/><Relationship Id="rId33" Type="http://schemas.openxmlformats.org/officeDocument/2006/relationships/hyperlink" Target="http://www.nevo.co.il/case/22505624" TargetMode="External"/><Relationship Id="rId38" Type="http://schemas.openxmlformats.org/officeDocument/2006/relationships/hyperlink" Target="http://www.nevo.co.il/case/21475024" TargetMode="External"/><Relationship Id="rId20" Type="http://schemas.openxmlformats.org/officeDocument/2006/relationships/hyperlink" Target="http://www.nevo.co.il/case/25647405"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2940</Words>
  <Characters>14705</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17610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3211378</vt:i4>
      </vt:variant>
      <vt:variant>
        <vt:i4>93</vt:i4>
      </vt:variant>
      <vt:variant>
        <vt:i4>0</vt:i4>
      </vt:variant>
      <vt:variant>
        <vt:i4>5</vt:i4>
      </vt:variant>
      <vt:variant>
        <vt:lpwstr>http://www.nevo.co.il/case/21475024</vt:lpwstr>
      </vt:variant>
      <vt:variant>
        <vt:lpwstr/>
      </vt:variant>
      <vt:variant>
        <vt:i4>3997808</vt:i4>
      </vt:variant>
      <vt:variant>
        <vt:i4>90</vt:i4>
      </vt:variant>
      <vt:variant>
        <vt:i4>0</vt:i4>
      </vt:variant>
      <vt:variant>
        <vt:i4>5</vt:i4>
      </vt:variant>
      <vt:variant>
        <vt:lpwstr>http://www.nevo.co.il/case/21473281</vt:lpwstr>
      </vt:variant>
      <vt:variant>
        <vt:lpwstr/>
      </vt:variant>
      <vt:variant>
        <vt:i4>3145846</vt:i4>
      </vt:variant>
      <vt:variant>
        <vt:i4>87</vt:i4>
      </vt:variant>
      <vt:variant>
        <vt:i4>0</vt:i4>
      </vt:variant>
      <vt:variant>
        <vt:i4>5</vt:i4>
      </vt:variant>
      <vt:variant>
        <vt:lpwstr>http://www.nevo.co.il/case/21476409</vt:lpwstr>
      </vt:variant>
      <vt:variant>
        <vt:lpwstr/>
      </vt:variant>
      <vt:variant>
        <vt:i4>3407991</vt:i4>
      </vt:variant>
      <vt:variant>
        <vt:i4>84</vt:i4>
      </vt:variant>
      <vt:variant>
        <vt:i4>0</vt:i4>
      </vt:variant>
      <vt:variant>
        <vt:i4>5</vt:i4>
      </vt:variant>
      <vt:variant>
        <vt:lpwstr>http://www.nevo.co.il/case/21477553</vt:lpwstr>
      </vt:variant>
      <vt:variant>
        <vt:lpwstr/>
      </vt:variant>
      <vt:variant>
        <vt:i4>3342449</vt:i4>
      </vt:variant>
      <vt:variant>
        <vt:i4>81</vt:i4>
      </vt:variant>
      <vt:variant>
        <vt:i4>0</vt:i4>
      </vt:variant>
      <vt:variant>
        <vt:i4>5</vt:i4>
      </vt:variant>
      <vt:variant>
        <vt:lpwstr>http://www.nevo.co.il/case/25647405</vt:lpwstr>
      </vt:variant>
      <vt:variant>
        <vt:lpwstr/>
      </vt:variant>
      <vt:variant>
        <vt:i4>3145840</vt:i4>
      </vt:variant>
      <vt:variant>
        <vt:i4>78</vt:i4>
      </vt:variant>
      <vt:variant>
        <vt:i4>0</vt:i4>
      </vt:variant>
      <vt:variant>
        <vt:i4>5</vt:i4>
      </vt:variant>
      <vt:variant>
        <vt:lpwstr>http://www.nevo.co.il/case/22505624</vt:lpwstr>
      </vt:variant>
      <vt:variant>
        <vt:lpwstr/>
      </vt:variant>
      <vt:variant>
        <vt:i4>3211377</vt:i4>
      </vt:variant>
      <vt:variant>
        <vt:i4>75</vt:i4>
      </vt:variant>
      <vt:variant>
        <vt:i4>0</vt:i4>
      </vt:variant>
      <vt:variant>
        <vt:i4>5</vt:i4>
      </vt:variant>
      <vt:variant>
        <vt:lpwstr>http://www.nevo.co.il/case/22266176</vt:lpwstr>
      </vt:variant>
      <vt:variant>
        <vt:lpwstr/>
      </vt:variant>
      <vt:variant>
        <vt:i4>4128887</vt:i4>
      </vt:variant>
      <vt:variant>
        <vt:i4>72</vt:i4>
      </vt:variant>
      <vt:variant>
        <vt:i4>0</vt:i4>
      </vt:variant>
      <vt:variant>
        <vt:i4>5</vt:i4>
      </vt:variant>
      <vt:variant>
        <vt:lpwstr>http://www.nevo.co.il/case/11238142</vt:lpwstr>
      </vt:variant>
      <vt:variant>
        <vt:lpwstr/>
      </vt:variant>
      <vt:variant>
        <vt:i4>3342452</vt:i4>
      </vt:variant>
      <vt:variant>
        <vt:i4>69</vt:i4>
      </vt:variant>
      <vt:variant>
        <vt:i4>0</vt:i4>
      </vt:variant>
      <vt:variant>
        <vt:i4>5</vt:i4>
      </vt:variant>
      <vt:variant>
        <vt:lpwstr>http://www.nevo.co.il/case/17075070</vt:lpwstr>
      </vt:variant>
      <vt:variant>
        <vt:lpwstr/>
      </vt:variant>
      <vt:variant>
        <vt:i4>3735671</vt:i4>
      </vt:variant>
      <vt:variant>
        <vt:i4>66</vt:i4>
      </vt:variant>
      <vt:variant>
        <vt:i4>0</vt:i4>
      </vt:variant>
      <vt:variant>
        <vt:i4>5</vt:i4>
      </vt:variant>
      <vt:variant>
        <vt:lpwstr>http://www.nevo.co.il/case/17959185</vt:lpwstr>
      </vt:variant>
      <vt:variant>
        <vt:lpwstr/>
      </vt:variant>
      <vt:variant>
        <vt:i4>3145850</vt:i4>
      </vt:variant>
      <vt:variant>
        <vt:i4>63</vt:i4>
      </vt:variant>
      <vt:variant>
        <vt:i4>0</vt:i4>
      </vt:variant>
      <vt:variant>
        <vt:i4>5</vt:i4>
      </vt:variant>
      <vt:variant>
        <vt:lpwstr>http://www.nevo.co.il/case/21473859</vt:lpwstr>
      </vt:variant>
      <vt:variant>
        <vt:lpwstr/>
      </vt:variant>
      <vt:variant>
        <vt:i4>3342449</vt:i4>
      </vt:variant>
      <vt:variant>
        <vt:i4>60</vt:i4>
      </vt:variant>
      <vt:variant>
        <vt:i4>0</vt:i4>
      </vt:variant>
      <vt:variant>
        <vt:i4>5</vt:i4>
      </vt:variant>
      <vt:variant>
        <vt:lpwstr>http://www.nevo.co.il/case/25647402</vt:lpwstr>
      </vt:variant>
      <vt:variant>
        <vt:lpwstr/>
      </vt:variant>
      <vt:variant>
        <vt:i4>3670136</vt:i4>
      </vt:variant>
      <vt:variant>
        <vt:i4>57</vt:i4>
      </vt:variant>
      <vt:variant>
        <vt:i4>0</vt:i4>
      </vt:variant>
      <vt:variant>
        <vt:i4>5</vt:i4>
      </vt:variant>
      <vt:variant>
        <vt:lpwstr>http://www.nevo.co.il/case/22684688</vt:lpwstr>
      </vt:variant>
      <vt:variant>
        <vt:lpwstr/>
      </vt:variant>
      <vt:variant>
        <vt:i4>3342449</vt:i4>
      </vt:variant>
      <vt:variant>
        <vt:i4>54</vt:i4>
      </vt:variant>
      <vt:variant>
        <vt:i4>0</vt:i4>
      </vt:variant>
      <vt:variant>
        <vt:i4>5</vt:i4>
      </vt:variant>
      <vt:variant>
        <vt:lpwstr>http://www.nevo.co.il/case/25647402</vt:lpwstr>
      </vt:variant>
      <vt:variant>
        <vt:lpwstr/>
      </vt:variant>
      <vt:variant>
        <vt:i4>3801200</vt:i4>
      </vt:variant>
      <vt:variant>
        <vt:i4>51</vt:i4>
      </vt:variant>
      <vt:variant>
        <vt:i4>0</vt:i4>
      </vt:variant>
      <vt:variant>
        <vt:i4>5</vt:i4>
      </vt:variant>
      <vt:variant>
        <vt:lpwstr>http://www.nevo.co.il/case/16900220</vt:lpwstr>
      </vt:variant>
      <vt:variant>
        <vt:lpwstr/>
      </vt:variant>
      <vt:variant>
        <vt:i4>3145840</vt:i4>
      </vt:variant>
      <vt:variant>
        <vt:i4>48</vt:i4>
      </vt:variant>
      <vt:variant>
        <vt:i4>0</vt:i4>
      </vt:variant>
      <vt:variant>
        <vt:i4>5</vt:i4>
      </vt:variant>
      <vt:variant>
        <vt:lpwstr>http://www.nevo.co.il/case/22505624</vt:lpwstr>
      </vt:variant>
      <vt:variant>
        <vt:lpwstr/>
      </vt:variant>
      <vt:variant>
        <vt:i4>3997808</vt:i4>
      </vt:variant>
      <vt:variant>
        <vt:i4>45</vt:i4>
      </vt:variant>
      <vt:variant>
        <vt:i4>0</vt:i4>
      </vt:variant>
      <vt:variant>
        <vt:i4>5</vt:i4>
      </vt:variant>
      <vt:variant>
        <vt:lpwstr>http://www.nevo.co.il/case/21473281</vt:lpwstr>
      </vt:variant>
      <vt:variant>
        <vt:lpwstr/>
      </vt:variant>
      <vt:variant>
        <vt:i4>3145850</vt:i4>
      </vt:variant>
      <vt:variant>
        <vt:i4>42</vt:i4>
      </vt:variant>
      <vt:variant>
        <vt:i4>0</vt:i4>
      </vt:variant>
      <vt:variant>
        <vt:i4>5</vt:i4>
      </vt:variant>
      <vt:variant>
        <vt:lpwstr>http://www.nevo.co.il/case/21473859</vt:lpwstr>
      </vt:variant>
      <vt:variant>
        <vt:lpwstr/>
      </vt:variant>
      <vt:variant>
        <vt:i4>3342449</vt:i4>
      </vt:variant>
      <vt:variant>
        <vt:i4>39</vt:i4>
      </vt:variant>
      <vt:variant>
        <vt:i4>0</vt:i4>
      </vt:variant>
      <vt:variant>
        <vt:i4>5</vt:i4>
      </vt:variant>
      <vt:variant>
        <vt:lpwstr>http://www.nevo.co.il/case/25647405</vt:lpwstr>
      </vt:variant>
      <vt:variant>
        <vt:lpwstr/>
      </vt:variant>
      <vt:variant>
        <vt:i4>3407998</vt:i4>
      </vt:variant>
      <vt:variant>
        <vt:i4>36</vt:i4>
      </vt:variant>
      <vt:variant>
        <vt:i4>0</vt:i4>
      </vt:variant>
      <vt:variant>
        <vt:i4>5</vt:i4>
      </vt:variant>
      <vt:variant>
        <vt:lpwstr>http://www.nevo.co.il/case/5614080</vt:lpwstr>
      </vt:variant>
      <vt:variant>
        <vt:lpwstr/>
      </vt:variant>
      <vt:variant>
        <vt:i4>4128888</vt:i4>
      </vt:variant>
      <vt:variant>
        <vt:i4>33</vt:i4>
      </vt:variant>
      <vt:variant>
        <vt:i4>0</vt:i4>
      </vt:variant>
      <vt:variant>
        <vt:i4>5</vt:i4>
      </vt:variant>
      <vt:variant>
        <vt:lpwstr>http://www.nevo.co.il/case/16983240</vt:lpwstr>
      </vt:variant>
      <vt:variant>
        <vt:lpwstr/>
      </vt:variant>
      <vt:variant>
        <vt:i4>3801200</vt:i4>
      </vt:variant>
      <vt:variant>
        <vt:i4>30</vt:i4>
      </vt:variant>
      <vt:variant>
        <vt:i4>0</vt:i4>
      </vt:variant>
      <vt:variant>
        <vt:i4>5</vt:i4>
      </vt:variant>
      <vt:variant>
        <vt:lpwstr>http://www.nevo.co.il/case/16900220</vt:lpwstr>
      </vt:variant>
      <vt:variant>
        <vt:lpwstr/>
      </vt:variant>
      <vt:variant>
        <vt:i4>7143526</vt:i4>
      </vt:variant>
      <vt:variant>
        <vt:i4>27</vt:i4>
      </vt:variant>
      <vt:variant>
        <vt:i4>0</vt:i4>
      </vt:variant>
      <vt:variant>
        <vt:i4>5</vt:i4>
      </vt:variant>
      <vt:variant>
        <vt:lpwstr>http://www.nevo.co.il/law/70301/382</vt:lpwstr>
      </vt:variant>
      <vt:variant>
        <vt:lpwstr/>
      </vt:variant>
      <vt:variant>
        <vt:i4>7143526</vt:i4>
      </vt:variant>
      <vt:variant>
        <vt:i4>24</vt:i4>
      </vt:variant>
      <vt:variant>
        <vt:i4>0</vt:i4>
      </vt:variant>
      <vt:variant>
        <vt:i4>5</vt:i4>
      </vt:variant>
      <vt:variant>
        <vt:lpwstr>http://www.nevo.co.il/law/70301/380</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4980819</vt:i4>
      </vt:variant>
      <vt:variant>
        <vt:i4>15</vt:i4>
      </vt:variant>
      <vt:variant>
        <vt:i4>0</vt:i4>
      </vt:variant>
      <vt:variant>
        <vt:i4>5</vt:i4>
      </vt:variant>
      <vt:variant>
        <vt:lpwstr>http://www.nevo.co.il/law/70301/380;144.a</vt:lpwstr>
      </vt:variant>
      <vt:variant>
        <vt:lpwstr/>
      </vt:variant>
      <vt:variant>
        <vt:i4>65618</vt:i4>
      </vt:variant>
      <vt:variant>
        <vt:i4>12</vt:i4>
      </vt:variant>
      <vt:variant>
        <vt:i4>0</vt:i4>
      </vt:variant>
      <vt:variant>
        <vt:i4>5</vt:i4>
      </vt:variant>
      <vt:variant>
        <vt:lpwstr>http://www.nevo.co.il/law/70301/413e</vt:lpwstr>
      </vt:variant>
      <vt:variant>
        <vt:lpwstr/>
      </vt:variant>
      <vt:variant>
        <vt:i4>7143526</vt:i4>
      </vt:variant>
      <vt:variant>
        <vt:i4>9</vt:i4>
      </vt:variant>
      <vt:variant>
        <vt:i4>0</vt:i4>
      </vt:variant>
      <vt:variant>
        <vt:i4>5</vt:i4>
      </vt:variant>
      <vt:variant>
        <vt:lpwstr>http://www.nevo.co.il/law/70301/382</vt:lpwstr>
      </vt:variant>
      <vt:variant>
        <vt:lpwstr/>
      </vt:variant>
      <vt:variant>
        <vt:i4>7143526</vt:i4>
      </vt:variant>
      <vt:variant>
        <vt:i4>6</vt:i4>
      </vt:variant>
      <vt:variant>
        <vt:i4>0</vt:i4>
      </vt:variant>
      <vt:variant>
        <vt:i4>5</vt:i4>
      </vt:variant>
      <vt:variant>
        <vt:lpwstr>http://www.nevo.co.il/law/70301/380</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58413</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אלירן וזנה</vt:lpwstr>
  </property>
  <property fmtid="{D5CDD505-2E9C-101B-9397-08002B2CF9AE}" pid="10" name="LAWYER">
    <vt:lpwstr>שאול עזרא;מיכל בלומנטל</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20191121</vt:lpwstr>
  </property>
  <property fmtid="{D5CDD505-2E9C-101B-9397-08002B2CF9AE}" pid="14" name="TYPE_N_DATE">
    <vt:lpwstr>38020191121</vt:lpwstr>
  </property>
  <property fmtid="{D5CDD505-2E9C-101B-9397-08002B2CF9AE}" pid="15" name="CASESLISTTMP1">
    <vt:lpwstr>16900220:2;16983240;5614080;25647405:2;21473859:2;21473281:2;22505624:2;25647402:2;22684688;17959185;17075070;11238142;22266176;21477553;21476409;21475024</vt:lpwstr>
  </property>
  <property fmtid="{D5CDD505-2E9C-101B-9397-08002B2CF9AE}" pid="16" name="WORDNUMPAGES">
    <vt:lpwstr>10</vt:lpwstr>
  </property>
  <property fmtid="{D5CDD505-2E9C-101B-9397-08002B2CF9AE}" pid="17" name="TYPE_ABS_DATE">
    <vt:lpwstr>380020191121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70301/380:2;144.a;413e;382</vt:lpwstr>
  </property>
</Properties>
</file>