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2F5400" w:rsidRPr="0032634C" w14:paraId="5E70A3D5" w14:textId="77777777" w:rsidTr="00934432">
        <w:trPr>
          <w:trHeight w:hRule="exact" w:val="418"/>
          <w:jc w:val="center"/>
        </w:trPr>
        <w:tc>
          <w:tcPr>
            <w:tcW w:w="8721" w:type="dxa"/>
            <w:gridSpan w:val="2"/>
          </w:tcPr>
          <w:p w14:paraId="0A2F94EB" w14:textId="77777777" w:rsidR="002F5400" w:rsidRPr="0032634C" w:rsidRDefault="002F5400" w:rsidP="00914371">
            <w:pPr>
              <w:pStyle w:val="a3"/>
              <w:jc w:val="center"/>
              <w:rPr>
                <w:rFonts w:ascii="Tahoma" w:hAnsi="Tahoma" w:cs="Tahoma"/>
                <w:color w:val="000080"/>
                <w:rtl/>
              </w:rPr>
            </w:pPr>
            <w:bookmarkStart w:id="0" w:name="LastJudge"/>
            <w:r w:rsidRPr="0032634C">
              <w:rPr>
                <w:rFonts w:ascii="Tahoma" w:hAnsi="Tahoma" w:cs="Tahoma"/>
                <w:b/>
                <w:bCs/>
                <w:color w:val="000080"/>
                <w:rtl/>
              </w:rPr>
              <w:t>בית משפט השלום בכפר סבא</w:t>
            </w:r>
          </w:p>
        </w:tc>
      </w:tr>
      <w:tr w:rsidR="002F5400" w:rsidRPr="0032634C" w14:paraId="61F0B19D" w14:textId="77777777" w:rsidTr="00934432">
        <w:trPr>
          <w:trHeight w:val="337"/>
          <w:jc w:val="center"/>
        </w:trPr>
        <w:tc>
          <w:tcPr>
            <w:tcW w:w="5047" w:type="dxa"/>
          </w:tcPr>
          <w:p w14:paraId="2249FF84" w14:textId="77777777" w:rsidR="002F5400" w:rsidRPr="0032634C" w:rsidRDefault="002F5400" w:rsidP="00914371">
            <w:pPr>
              <w:rPr>
                <w:rFonts w:cs="FrankRuehl"/>
                <w:sz w:val="28"/>
                <w:szCs w:val="28"/>
                <w:rtl/>
              </w:rPr>
            </w:pPr>
            <w:r w:rsidRPr="0032634C">
              <w:rPr>
                <w:rFonts w:cs="FrankRuehl"/>
                <w:sz w:val="28"/>
                <w:szCs w:val="28"/>
                <w:rtl/>
              </w:rPr>
              <w:t>ת"פ</w:t>
            </w:r>
            <w:r w:rsidRPr="0032634C">
              <w:rPr>
                <w:rFonts w:cs="FrankRuehl" w:hint="cs"/>
                <w:sz w:val="28"/>
                <w:szCs w:val="28"/>
                <w:rtl/>
              </w:rPr>
              <w:t xml:space="preserve"> </w:t>
            </w:r>
            <w:r w:rsidRPr="0032634C">
              <w:rPr>
                <w:rFonts w:cs="FrankRuehl"/>
                <w:sz w:val="28"/>
                <w:szCs w:val="28"/>
                <w:rtl/>
              </w:rPr>
              <w:t>56792-09-17</w:t>
            </w:r>
            <w:r w:rsidRPr="0032634C">
              <w:rPr>
                <w:rFonts w:cs="FrankRuehl" w:hint="cs"/>
                <w:sz w:val="28"/>
                <w:szCs w:val="28"/>
                <w:rtl/>
              </w:rPr>
              <w:t xml:space="preserve"> </w:t>
            </w:r>
            <w:r w:rsidRPr="0032634C">
              <w:rPr>
                <w:rFonts w:cs="FrankRuehl"/>
                <w:sz w:val="28"/>
                <w:szCs w:val="28"/>
                <w:rtl/>
              </w:rPr>
              <w:t>מדינת ישראל נ' חדיג'ה ואח'</w:t>
            </w:r>
          </w:p>
          <w:p w14:paraId="0BDC3C54" w14:textId="77777777" w:rsidR="002F5400" w:rsidRPr="0032634C" w:rsidRDefault="002F5400" w:rsidP="00914371">
            <w:pPr>
              <w:pStyle w:val="a3"/>
              <w:rPr>
                <w:rFonts w:cs="FrankRuehl"/>
                <w:sz w:val="28"/>
                <w:szCs w:val="28"/>
                <w:rtl/>
              </w:rPr>
            </w:pPr>
          </w:p>
        </w:tc>
        <w:tc>
          <w:tcPr>
            <w:tcW w:w="3674" w:type="dxa"/>
          </w:tcPr>
          <w:p w14:paraId="1B032009" w14:textId="77777777" w:rsidR="002F5400" w:rsidRPr="0032634C" w:rsidRDefault="002F5400" w:rsidP="00914371">
            <w:pPr>
              <w:pStyle w:val="a3"/>
              <w:jc w:val="right"/>
              <w:rPr>
                <w:rFonts w:cs="FrankRuehl"/>
                <w:sz w:val="28"/>
                <w:szCs w:val="28"/>
                <w:rtl/>
              </w:rPr>
            </w:pPr>
            <w:r w:rsidRPr="0032634C">
              <w:rPr>
                <w:rFonts w:cs="FrankRuehl"/>
                <w:sz w:val="28"/>
                <w:szCs w:val="28"/>
                <w:rtl/>
              </w:rPr>
              <w:t>28 נובמבר 2018</w:t>
            </w:r>
          </w:p>
        </w:tc>
      </w:tr>
    </w:tbl>
    <w:p w14:paraId="69DAC4A6" w14:textId="77777777" w:rsidR="002F5400" w:rsidRPr="0032634C" w:rsidRDefault="002F5400" w:rsidP="002F5400">
      <w:pPr>
        <w:pStyle w:val="a3"/>
        <w:rPr>
          <w:rtl/>
        </w:rPr>
      </w:pPr>
      <w:r w:rsidRPr="0032634C">
        <w:rPr>
          <w:rFonts w:hint="cs"/>
          <w:rtl/>
        </w:rPr>
        <w:t xml:space="preserve"> </w:t>
      </w:r>
    </w:p>
    <w:p w14:paraId="08B714BC" w14:textId="77777777" w:rsidR="002F5400" w:rsidRPr="0032634C" w:rsidRDefault="002F5400" w:rsidP="002F5400">
      <w:pPr>
        <w:pStyle w:val="a3"/>
      </w:pPr>
      <w:r w:rsidRPr="0032634C">
        <w:rPr>
          <w:rFonts w:cs="Times New Roman" w:hint="cs"/>
          <w:b/>
          <w:bCs/>
          <w:sz w:val="26"/>
          <w:szCs w:val="28"/>
          <w:rtl/>
        </w:rPr>
        <w:t xml:space="preserve"> </w:t>
      </w:r>
    </w:p>
    <w:p w14:paraId="72A33082" w14:textId="77777777" w:rsidR="002F5400" w:rsidRPr="0032634C" w:rsidRDefault="002F5400" w:rsidP="002F540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F5400" w:rsidRPr="0032634C" w14:paraId="2D7B11F3" w14:textId="77777777" w:rsidTr="002F5400">
        <w:trPr>
          <w:trHeight w:val="295"/>
          <w:jc w:val="center"/>
        </w:trPr>
        <w:tc>
          <w:tcPr>
            <w:tcW w:w="923" w:type="dxa"/>
            <w:tcBorders>
              <w:top w:val="nil"/>
              <w:left w:val="nil"/>
              <w:bottom w:val="nil"/>
              <w:right w:val="nil"/>
            </w:tcBorders>
            <w:shd w:val="clear" w:color="auto" w:fill="auto"/>
          </w:tcPr>
          <w:p w14:paraId="7988DE9D" w14:textId="77777777" w:rsidR="002F5400" w:rsidRPr="0032634C" w:rsidRDefault="002F5400" w:rsidP="002F5400">
            <w:pPr>
              <w:jc w:val="both"/>
              <w:rPr>
                <w:rFonts w:ascii="Arial" w:hAnsi="Arial"/>
                <w:sz w:val="26"/>
                <w:szCs w:val="26"/>
              </w:rPr>
            </w:pPr>
            <w:r w:rsidRPr="0032634C">
              <w:rPr>
                <w:rFonts w:ascii="Arial" w:hAnsi="Arial" w:hint="cs"/>
                <w:sz w:val="26"/>
                <w:szCs w:val="26"/>
                <w:rtl/>
              </w:rPr>
              <w:t>ל</w:t>
            </w:r>
            <w:r w:rsidRPr="0032634C">
              <w:rPr>
                <w:rFonts w:ascii="Arial" w:hAnsi="Arial"/>
                <w:sz w:val="26"/>
                <w:szCs w:val="26"/>
                <w:rtl/>
              </w:rPr>
              <w:t xml:space="preserve">פני </w:t>
            </w:r>
          </w:p>
        </w:tc>
        <w:tc>
          <w:tcPr>
            <w:tcW w:w="7897" w:type="dxa"/>
            <w:gridSpan w:val="2"/>
            <w:tcBorders>
              <w:top w:val="nil"/>
              <w:left w:val="nil"/>
              <w:bottom w:val="nil"/>
              <w:right w:val="nil"/>
            </w:tcBorders>
            <w:shd w:val="clear" w:color="auto" w:fill="auto"/>
          </w:tcPr>
          <w:p w14:paraId="12D122C0" w14:textId="77777777" w:rsidR="002F5400" w:rsidRPr="0032634C" w:rsidRDefault="002F5400" w:rsidP="00914371">
            <w:pPr>
              <w:rPr>
                <w:rFonts w:ascii="Arial" w:hAnsi="Arial"/>
                <w:b/>
                <w:bCs/>
                <w:sz w:val="26"/>
                <w:szCs w:val="26"/>
                <w:rtl/>
              </w:rPr>
            </w:pPr>
            <w:r w:rsidRPr="0032634C">
              <w:rPr>
                <w:rFonts w:ascii="Arial" w:hAnsi="Arial" w:hint="cs"/>
                <w:b/>
                <w:bCs/>
                <w:sz w:val="26"/>
                <w:szCs w:val="26"/>
                <w:rtl/>
              </w:rPr>
              <w:t>כב' ה</w:t>
            </w:r>
            <w:r w:rsidRPr="0032634C">
              <w:rPr>
                <w:rFonts w:ascii="Arial" w:hAnsi="Arial"/>
                <w:b/>
                <w:bCs/>
                <w:sz w:val="26"/>
                <w:szCs w:val="26"/>
                <w:rtl/>
              </w:rPr>
              <w:t>שופט</w:t>
            </w:r>
            <w:r w:rsidRPr="0032634C">
              <w:rPr>
                <w:rFonts w:ascii="Arial" w:hAnsi="Arial" w:hint="cs"/>
                <w:b/>
                <w:bCs/>
                <w:sz w:val="26"/>
                <w:szCs w:val="26"/>
                <w:rtl/>
              </w:rPr>
              <w:t xml:space="preserve">  </w:t>
            </w:r>
            <w:r w:rsidRPr="0032634C">
              <w:rPr>
                <w:rFonts w:ascii="Arial" w:hAnsi="Arial"/>
                <w:b/>
                <w:bCs/>
                <w:sz w:val="26"/>
                <w:szCs w:val="26"/>
                <w:rtl/>
              </w:rPr>
              <w:t>מיכאל קרשן</w:t>
            </w:r>
          </w:p>
          <w:p w14:paraId="7C2EE102" w14:textId="77777777" w:rsidR="002F5400" w:rsidRPr="0032634C" w:rsidRDefault="002F5400" w:rsidP="002F5400">
            <w:pPr>
              <w:jc w:val="both"/>
              <w:rPr>
                <w:rFonts w:ascii="Arial" w:hAnsi="Arial"/>
                <w:sz w:val="26"/>
                <w:szCs w:val="26"/>
              </w:rPr>
            </w:pPr>
          </w:p>
        </w:tc>
      </w:tr>
      <w:tr w:rsidR="002F5400" w:rsidRPr="0032634C" w14:paraId="637E3951" w14:textId="77777777" w:rsidTr="002F5400">
        <w:trPr>
          <w:trHeight w:val="355"/>
          <w:jc w:val="center"/>
        </w:trPr>
        <w:tc>
          <w:tcPr>
            <w:tcW w:w="923" w:type="dxa"/>
            <w:tcBorders>
              <w:top w:val="nil"/>
              <w:left w:val="nil"/>
              <w:bottom w:val="nil"/>
              <w:right w:val="nil"/>
            </w:tcBorders>
            <w:shd w:val="clear" w:color="auto" w:fill="auto"/>
          </w:tcPr>
          <w:p w14:paraId="656C5371" w14:textId="77777777" w:rsidR="002F5400" w:rsidRPr="0032634C" w:rsidRDefault="002F5400" w:rsidP="002F5400">
            <w:pPr>
              <w:jc w:val="both"/>
              <w:rPr>
                <w:rFonts w:ascii="Arial" w:hAnsi="Arial"/>
                <w:sz w:val="26"/>
                <w:szCs w:val="26"/>
                <w:rtl/>
              </w:rPr>
            </w:pPr>
            <w:bookmarkStart w:id="1" w:name="FirstAppellant"/>
          </w:p>
          <w:p w14:paraId="07CA10C9" w14:textId="77777777" w:rsidR="002F5400" w:rsidRPr="0032634C" w:rsidRDefault="002F5400" w:rsidP="002F5400">
            <w:pPr>
              <w:jc w:val="both"/>
              <w:rPr>
                <w:rFonts w:ascii="Arial" w:hAnsi="Arial"/>
                <w:sz w:val="26"/>
                <w:szCs w:val="26"/>
              </w:rPr>
            </w:pPr>
            <w:r w:rsidRPr="0032634C">
              <w:rPr>
                <w:rFonts w:ascii="Arial" w:hAnsi="Arial" w:hint="cs"/>
                <w:sz w:val="26"/>
                <w:szCs w:val="26"/>
                <w:rtl/>
              </w:rPr>
              <w:t>בעניין:</w:t>
            </w:r>
          </w:p>
        </w:tc>
        <w:tc>
          <w:tcPr>
            <w:tcW w:w="4126" w:type="dxa"/>
            <w:tcBorders>
              <w:top w:val="nil"/>
              <w:left w:val="nil"/>
              <w:bottom w:val="nil"/>
              <w:right w:val="nil"/>
            </w:tcBorders>
            <w:shd w:val="clear" w:color="auto" w:fill="auto"/>
          </w:tcPr>
          <w:p w14:paraId="6DF2B6B9" w14:textId="77777777" w:rsidR="002F5400" w:rsidRPr="0032634C" w:rsidRDefault="002F5400" w:rsidP="002F5400">
            <w:pPr>
              <w:jc w:val="both"/>
              <w:rPr>
                <w:rFonts w:ascii="Arial" w:hAnsi="Arial"/>
                <w:sz w:val="26"/>
                <w:szCs w:val="26"/>
                <w:rtl/>
              </w:rPr>
            </w:pPr>
          </w:p>
          <w:p w14:paraId="1358D0E5" w14:textId="77777777" w:rsidR="002F5400" w:rsidRPr="0032634C" w:rsidRDefault="002F5400" w:rsidP="00914371">
            <w:pPr>
              <w:rPr>
                <w:rFonts w:ascii="Arial" w:hAnsi="Arial"/>
                <w:sz w:val="26"/>
                <w:szCs w:val="26"/>
              </w:rPr>
            </w:pPr>
            <w:r w:rsidRPr="0032634C">
              <w:rPr>
                <w:rFonts w:ascii="Arial" w:hAnsi="Arial" w:hint="cs"/>
                <w:sz w:val="26"/>
                <w:szCs w:val="26"/>
                <w:rtl/>
              </w:rPr>
              <w:t>ה</w:t>
            </w:r>
            <w:r w:rsidRPr="0032634C">
              <w:rPr>
                <w:rFonts w:ascii="Arial" w:hAnsi="Arial"/>
                <w:sz w:val="26"/>
                <w:szCs w:val="26"/>
                <w:rtl/>
              </w:rPr>
              <w:t>מאשימה</w:t>
            </w:r>
          </w:p>
        </w:tc>
        <w:tc>
          <w:tcPr>
            <w:tcW w:w="3771" w:type="dxa"/>
            <w:tcBorders>
              <w:top w:val="nil"/>
              <w:left w:val="nil"/>
              <w:bottom w:val="nil"/>
              <w:right w:val="nil"/>
            </w:tcBorders>
            <w:shd w:val="clear" w:color="auto" w:fill="auto"/>
          </w:tcPr>
          <w:p w14:paraId="51529411" w14:textId="77777777" w:rsidR="002F5400" w:rsidRPr="0032634C" w:rsidRDefault="002F5400" w:rsidP="00914371">
            <w:pPr>
              <w:rPr>
                <w:rFonts w:ascii="Arial" w:hAnsi="Arial"/>
                <w:sz w:val="26"/>
                <w:szCs w:val="26"/>
                <w:rtl/>
              </w:rPr>
            </w:pPr>
          </w:p>
          <w:p w14:paraId="680736D3" w14:textId="77777777" w:rsidR="002F5400" w:rsidRPr="0032634C" w:rsidRDefault="002F5400" w:rsidP="00914371">
            <w:pPr>
              <w:rPr>
                <w:sz w:val="26"/>
                <w:szCs w:val="26"/>
              </w:rPr>
            </w:pPr>
            <w:r w:rsidRPr="0032634C">
              <w:rPr>
                <w:rFonts w:ascii="Arial" w:hAnsi="Arial"/>
                <w:sz w:val="26"/>
                <w:szCs w:val="26"/>
                <w:rtl/>
              </w:rPr>
              <w:t>מדינת ישראל</w:t>
            </w:r>
          </w:p>
          <w:p w14:paraId="77CF3702" w14:textId="77777777" w:rsidR="002F5400" w:rsidRPr="0032634C" w:rsidRDefault="002F5400" w:rsidP="002F5400">
            <w:pPr>
              <w:jc w:val="both"/>
              <w:rPr>
                <w:rFonts w:ascii="Arial" w:hAnsi="Arial"/>
                <w:sz w:val="26"/>
                <w:szCs w:val="26"/>
              </w:rPr>
            </w:pPr>
          </w:p>
        </w:tc>
      </w:tr>
      <w:bookmarkEnd w:id="1"/>
      <w:tr w:rsidR="002F5400" w:rsidRPr="0032634C" w14:paraId="619F7CCA" w14:textId="77777777" w:rsidTr="002F5400">
        <w:trPr>
          <w:trHeight w:val="355"/>
          <w:jc w:val="center"/>
        </w:trPr>
        <w:tc>
          <w:tcPr>
            <w:tcW w:w="923" w:type="dxa"/>
            <w:tcBorders>
              <w:top w:val="nil"/>
              <w:left w:val="nil"/>
              <w:bottom w:val="nil"/>
              <w:right w:val="nil"/>
            </w:tcBorders>
            <w:shd w:val="clear" w:color="auto" w:fill="auto"/>
          </w:tcPr>
          <w:p w14:paraId="7C69C059" w14:textId="77777777" w:rsidR="002F5400" w:rsidRPr="0032634C" w:rsidRDefault="002F5400" w:rsidP="002F5400">
            <w:pPr>
              <w:jc w:val="both"/>
              <w:rPr>
                <w:rFonts w:ascii="Arial" w:hAnsi="Arial"/>
                <w:sz w:val="26"/>
                <w:szCs w:val="26"/>
                <w:rtl/>
              </w:rPr>
            </w:pPr>
          </w:p>
        </w:tc>
        <w:tc>
          <w:tcPr>
            <w:tcW w:w="4126" w:type="dxa"/>
            <w:tcBorders>
              <w:top w:val="nil"/>
              <w:left w:val="nil"/>
              <w:bottom w:val="nil"/>
              <w:right w:val="nil"/>
            </w:tcBorders>
            <w:shd w:val="clear" w:color="auto" w:fill="auto"/>
          </w:tcPr>
          <w:p w14:paraId="00051411" w14:textId="77777777" w:rsidR="002F5400" w:rsidRPr="0032634C" w:rsidRDefault="002F5400" w:rsidP="002F5400">
            <w:pPr>
              <w:jc w:val="both"/>
              <w:rPr>
                <w:sz w:val="26"/>
                <w:szCs w:val="26"/>
                <w:rtl/>
              </w:rPr>
            </w:pPr>
          </w:p>
        </w:tc>
        <w:tc>
          <w:tcPr>
            <w:tcW w:w="3771" w:type="dxa"/>
            <w:tcBorders>
              <w:top w:val="nil"/>
              <w:left w:val="nil"/>
              <w:bottom w:val="nil"/>
              <w:right w:val="nil"/>
            </w:tcBorders>
            <w:shd w:val="clear" w:color="auto" w:fill="auto"/>
          </w:tcPr>
          <w:p w14:paraId="5DDF7BDC" w14:textId="77777777" w:rsidR="002F5400" w:rsidRPr="0032634C" w:rsidRDefault="002F5400" w:rsidP="002F5400">
            <w:pPr>
              <w:jc w:val="right"/>
              <w:rPr>
                <w:rFonts w:ascii="Arial" w:hAnsi="Arial"/>
                <w:sz w:val="26"/>
                <w:szCs w:val="26"/>
                <w:rtl/>
              </w:rPr>
            </w:pPr>
          </w:p>
        </w:tc>
      </w:tr>
      <w:tr w:rsidR="002F5400" w:rsidRPr="0032634C" w14:paraId="352F26C1" w14:textId="77777777" w:rsidTr="002F5400">
        <w:trPr>
          <w:trHeight w:val="355"/>
          <w:jc w:val="center"/>
        </w:trPr>
        <w:tc>
          <w:tcPr>
            <w:tcW w:w="923" w:type="dxa"/>
            <w:tcBorders>
              <w:top w:val="nil"/>
              <w:left w:val="nil"/>
              <w:bottom w:val="nil"/>
              <w:right w:val="nil"/>
            </w:tcBorders>
            <w:shd w:val="clear" w:color="auto" w:fill="auto"/>
          </w:tcPr>
          <w:p w14:paraId="3E833F3A" w14:textId="77777777" w:rsidR="002F5400" w:rsidRPr="0032634C" w:rsidRDefault="002F5400" w:rsidP="002F5400">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4C1D78D9" w14:textId="77777777" w:rsidR="002F5400" w:rsidRPr="0032634C" w:rsidRDefault="002F5400" w:rsidP="002F5400">
            <w:pPr>
              <w:jc w:val="center"/>
              <w:rPr>
                <w:rFonts w:ascii="Arial" w:hAnsi="Arial"/>
                <w:b/>
                <w:bCs/>
                <w:sz w:val="26"/>
                <w:szCs w:val="26"/>
                <w:rtl/>
              </w:rPr>
            </w:pPr>
          </w:p>
          <w:p w14:paraId="21B20270" w14:textId="77777777" w:rsidR="002F5400" w:rsidRPr="0032634C" w:rsidRDefault="002F5400" w:rsidP="002F5400">
            <w:pPr>
              <w:jc w:val="center"/>
              <w:rPr>
                <w:rFonts w:ascii="Arial" w:hAnsi="Arial"/>
                <w:b/>
                <w:bCs/>
                <w:sz w:val="26"/>
                <w:szCs w:val="26"/>
                <w:rtl/>
              </w:rPr>
            </w:pPr>
            <w:r w:rsidRPr="0032634C">
              <w:rPr>
                <w:rFonts w:ascii="Arial" w:hAnsi="Arial"/>
                <w:b/>
                <w:bCs/>
                <w:sz w:val="26"/>
                <w:szCs w:val="26"/>
                <w:rtl/>
              </w:rPr>
              <w:t>נגד</w:t>
            </w:r>
          </w:p>
          <w:p w14:paraId="451441DA" w14:textId="77777777" w:rsidR="002F5400" w:rsidRPr="0032634C" w:rsidRDefault="002F5400" w:rsidP="002F5400">
            <w:pPr>
              <w:jc w:val="both"/>
              <w:rPr>
                <w:rFonts w:ascii="Arial" w:hAnsi="Arial"/>
                <w:sz w:val="26"/>
                <w:szCs w:val="26"/>
              </w:rPr>
            </w:pPr>
          </w:p>
        </w:tc>
      </w:tr>
      <w:tr w:rsidR="002F5400" w:rsidRPr="0032634C" w14:paraId="4DE2B499" w14:textId="77777777" w:rsidTr="002F5400">
        <w:trPr>
          <w:trHeight w:val="355"/>
          <w:jc w:val="center"/>
        </w:trPr>
        <w:tc>
          <w:tcPr>
            <w:tcW w:w="923" w:type="dxa"/>
            <w:tcBorders>
              <w:top w:val="nil"/>
              <w:left w:val="nil"/>
              <w:bottom w:val="nil"/>
              <w:right w:val="nil"/>
            </w:tcBorders>
            <w:shd w:val="clear" w:color="auto" w:fill="auto"/>
          </w:tcPr>
          <w:p w14:paraId="6CEE9CCB" w14:textId="77777777" w:rsidR="002F5400" w:rsidRPr="0032634C" w:rsidRDefault="002F5400" w:rsidP="002F5400">
            <w:pPr>
              <w:jc w:val="both"/>
              <w:rPr>
                <w:rFonts w:ascii="Arial" w:hAnsi="Arial"/>
                <w:sz w:val="26"/>
                <w:szCs w:val="26"/>
                <w:rtl/>
              </w:rPr>
            </w:pPr>
          </w:p>
        </w:tc>
        <w:tc>
          <w:tcPr>
            <w:tcW w:w="4126" w:type="dxa"/>
            <w:tcBorders>
              <w:top w:val="nil"/>
              <w:left w:val="nil"/>
              <w:bottom w:val="nil"/>
              <w:right w:val="nil"/>
            </w:tcBorders>
            <w:shd w:val="clear" w:color="auto" w:fill="auto"/>
          </w:tcPr>
          <w:p w14:paraId="1901FA0E" w14:textId="77777777" w:rsidR="002F5400" w:rsidRPr="0032634C" w:rsidRDefault="002F5400" w:rsidP="002F5400">
            <w:pPr>
              <w:jc w:val="both"/>
              <w:rPr>
                <w:sz w:val="26"/>
                <w:szCs w:val="26"/>
                <w:rtl/>
              </w:rPr>
            </w:pPr>
            <w:r w:rsidRPr="0032634C">
              <w:rPr>
                <w:rFonts w:ascii="Arial" w:hAnsi="Arial" w:hint="cs"/>
                <w:sz w:val="26"/>
                <w:szCs w:val="26"/>
                <w:rtl/>
              </w:rPr>
              <w:t>ה</w:t>
            </w:r>
            <w:r w:rsidRPr="0032634C">
              <w:rPr>
                <w:rFonts w:ascii="Arial" w:hAnsi="Arial"/>
                <w:sz w:val="26"/>
                <w:szCs w:val="26"/>
                <w:rtl/>
              </w:rPr>
              <w:t>נאשמים</w:t>
            </w:r>
          </w:p>
        </w:tc>
        <w:tc>
          <w:tcPr>
            <w:tcW w:w="3771" w:type="dxa"/>
            <w:tcBorders>
              <w:top w:val="nil"/>
              <w:left w:val="nil"/>
              <w:bottom w:val="nil"/>
              <w:right w:val="nil"/>
            </w:tcBorders>
            <w:shd w:val="clear" w:color="auto" w:fill="auto"/>
          </w:tcPr>
          <w:p w14:paraId="7BE2AA8C" w14:textId="77777777" w:rsidR="002F5400" w:rsidRPr="0032634C" w:rsidRDefault="002F5400" w:rsidP="002F5400">
            <w:pPr>
              <w:jc w:val="right"/>
              <w:rPr>
                <w:rFonts w:ascii="Arial" w:hAnsi="Arial"/>
                <w:sz w:val="26"/>
                <w:szCs w:val="26"/>
              </w:rPr>
            </w:pPr>
          </w:p>
          <w:p w14:paraId="41B5B74B" w14:textId="77777777" w:rsidR="002F5400" w:rsidRPr="0032634C" w:rsidRDefault="002F5400" w:rsidP="002F5400">
            <w:pPr>
              <w:jc w:val="both"/>
            </w:pPr>
            <w:r w:rsidRPr="0032634C">
              <w:rPr>
                <w:rFonts w:ascii="Arial" w:hAnsi="Arial"/>
                <w:sz w:val="26"/>
                <w:szCs w:val="26"/>
                <w:rtl/>
              </w:rPr>
              <w:t>1</w:t>
            </w:r>
            <w:r w:rsidRPr="0032634C">
              <w:rPr>
                <w:rFonts w:ascii="Arial" w:hAnsi="Arial" w:hint="cs"/>
                <w:sz w:val="26"/>
                <w:szCs w:val="26"/>
                <w:rtl/>
              </w:rPr>
              <w:t>.</w:t>
            </w:r>
            <w:r w:rsidRPr="0032634C">
              <w:rPr>
                <w:rFonts w:ascii="Arial" w:hAnsi="Arial"/>
                <w:sz w:val="26"/>
                <w:szCs w:val="26"/>
                <w:rtl/>
              </w:rPr>
              <w:t>צאלח חדיג'ה</w:t>
            </w:r>
          </w:p>
          <w:p w14:paraId="73458A97" w14:textId="77777777" w:rsidR="002F5400" w:rsidRPr="0032634C" w:rsidRDefault="002F5400" w:rsidP="002F5400">
            <w:pPr>
              <w:jc w:val="both"/>
            </w:pPr>
            <w:r w:rsidRPr="0032634C">
              <w:rPr>
                <w:rFonts w:ascii="Arial" w:hAnsi="Arial"/>
                <w:sz w:val="26"/>
                <w:szCs w:val="26"/>
                <w:rtl/>
              </w:rPr>
              <w:t>2</w:t>
            </w:r>
            <w:r w:rsidRPr="0032634C">
              <w:rPr>
                <w:rFonts w:ascii="Arial" w:hAnsi="Arial" w:hint="cs"/>
                <w:sz w:val="26"/>
                <w:szCs w:val="26"/>
                <w:rtl/>
              </w:rPr>
              <w:t>.</w:t>
            </w:r>
            <w:r w:rsidRPr="0032634C">
              <w:rPr>
                <w:rFonts w:ascii="Arial" w:hAnsi="Arial"/>
                <w:sz w:val="26"/>
                <w:szCs w:val="26"/>
                <w:rtl/>
              </w:rPr>
              <w:t>מוחמד ג'באלי (עציר)</w:t>
            </w:r>
          </w:p>
        </w:tc>
      </w:tr>
      <w:tr w:rsidR="002F5400" w:rsidRPr="0032634C" w14:paraId="4BA6D922" w14:textId="77777777" w:rsidTr="002F5400">
        <w:trPr>
          <w:trHeight w:val="355"/>
          <w:jc w:val="center"/>
        </w:trPr>
        <w:tc>
          <w:tcPr>
            <w:tcW w:w="923" w:type="dxa"/>
            <w:tcBorders>
              <w:top w:val="nil"/>
              <w:left w:val="nil"/>
              <w:bottom w:val="nil"/>
              <w:right w:val="nil"/>
            </w:tcBorders>
            <w:shd w:val="clear" w:color="auto" w:fill="auto"/>
          </w:tcPr>
          <w:p w14:paraId="0D37213C" w14:textId="77777777" w:rsidR="002F5400" w:rsidRPr="0032634C" w:rsidRDefault="002F5400" w:rsidP="002F5400">
            <w:pPr>
              <w:jc w:val="both"/>
              <w:rPr>
                <w:rFonts w:ascii="Arial" w:hAnsi="Arial"/>
                <w:sz w:val="26"/>
                <w:szCs w:val="26"/>
                <w:rtl/>
              </w:rPr>
            </w:pPr>
          </w:p>
        </w:tc>
        <w:tc>
          <w:tcPr>
            <w:tcW w:w="4126" w:type="dxa"/>
            <w:tcBorders>
              <w:top w:val="nil"/>
              <w:left w:val="nil"/>
              <w:bottom w:val="nil"/>
              <w:right w:val="nil"/>
            </w:tcBorders>
            <w:shd w:val="clear" w:color="auto" w:fill="auto"/>
          </w:tcPr>
          <w:p w14:paraId="1702B17F" w14:textId="77777777" w:rsidR="002F5400" w:rsidRPr="0032634C" w:rsidRDefault="002F5400" w:rsidP="002F5400">
            <w:pPr>
              <w:jc w:val="both"/>
              <w:rPr>
                <w:sz w:val="26"/>
                <w:szCs w:val="26"/>
                <w:rtl/>
              </w:rPr>
            </w:pPr>
          </w:p>
        </w:tc>
        <w:tc>
          <w:tcPr>
            <w:tcW w:w="3771" w:type="dxa"/>
            <w:tcBorders>
              <w:top w:val="nil"/>
              <w:left w:val="nil"/>
              <w:bottom w:val="nil"/>
              <w:right w:val="nil"/>
            </w:tcBorders>
            <w:shd w:val="clear" w:color="auto" w:fill="auto"/>
          </w:tcPr>
          <w:p w14:paraId="5D601F8A" w14:textId="77777777" w:rsidR="002F5400" w:rsidRPr="0032634C" w:rsidRDefault="002F5400" w:rsidP="002F5400">
            <w:pPr>
              <w:jc w:val="right"/>
              <w:rPr>
                <w:rFonts w:ascii="Arial" w:hAnsi="Arial"/>
                <w:sz w:val="26"/>
                <w:szCs w:val="26"/>
              </w:rPr>
            </w:pPr>
          </w:p>
        </w:tc>
      </w:tr>
    </w:tbl>
    <w:p w14:paraId="5AE4CBAF" w14:textId="77777777" w:rsidR="002F5400" w:rsidRPr="0032634C" w:rsidRDefault="002F5400" w:rsidP="002F5400">
      <w:pPr>
        <w:rPr>
          <w:b/>
          <w:bCs/>
          <w:rtl/>
        </w:rPr>
      </w:pPr>
      <w:r w:rsidRPr="0032634C">
        <w:rPr>
          <w:rFonts w:hint="cs"/>
          <w:b/>
          <w:bCs/>
          <w:rtl/>
        </w:rPr>
        <w:t>נוכחים:</w:t>
      </w:r>
    </w:p>
    <w:p w14:paraId="1666ECB7" w14:textId="77777777" w:rsidR="002F5400" w:rsidRPr="0032634C" w:rsidRDefault="002F5400" w:rsidP="002F5400">
      <w:pPr>
        <w:rPr>
          <w:b/>
          <w:bCs/>
          <w:rtl/>
        </w:rPr>
      </w:pPr>
      <w:bookmarkStart w:id="2" w:name="FirstLawyer"/>
      <w:r w:rsidRPr="0032634C">
        <w:rPr>
          <w:rFonts w:hint="cs"/>
          <w:b/>
          <w:bCs/>
          <w:rtl/>
        </w:rPr>
        <w:t>ב"כ</w:t>
      </w:r>
      <w:bookmarkEnd w:id="2"/>
      <w:r w:rsidRPr="0032634C">
        <w:rPr>
          <w:rFonts w:hint="cs"/>
          <w:b/>
          <w:bCs/>
          <w:rtl/>
        </w:rPr>
        <w:t xml:space="preserve"> המאשימה עו"ד נעמי מששה</w:t>
      </w:r>
    </w:p>
    <w:p w14:paraId="0593F0CA" w14:textId="77777777" w:rsidR="004042B8" w:rsidRDefault="002F5400" w:rsidP="004042B8">
      <w:pPr>
        <w:rPr>
          <w:rtl/>
        </w:rPr>
      </w:pPr>
      <w:r w:rsidRPr="0032634C">
        <w:rPr>
          <w:rFonts w:hint="cs"/>
          <w:b/>
          <w:bCs/>
          <w:rtl/>
        </w:rPr>
        <w:t>הנאשם 2 הובא על ידי שב"ס, ב"כ עו"ד  שאדי נאטור</w:t>
      </w:r>
      <w:bookmarkStart w:id="3" w:name="LawTable"/>
      <w:bookmarkEnd w:id="3"/>
    </w:p>
    <w:p w14:paraId="178933BA" w14:textId="77777777" w:rsidR="004042B8" w:rsidRPr="004042B8" w:rsidRDefault="004042B8" w:rsidP="004042B8">
      <w:pPr>
        <w:spacing w:after="120" w:line="240" w:lineRule="exact"/>
        <w:ind w:left="283" w:hanging="283"/>
        <w:jc w:val="both"/>
        <w:rPr>
          <w:rFonts w:ascii="FrankRuehl" w:hAnsi="FrankRuehl" w:cs="FrankRuehl"/>
          <w:rtl/>
        </w:rPr>
      </w:pPr>
    </w:p>
    <w:p w14:paraId="05921ED8" w14:textId="77777777" w:rsidR="004042B8" w:rsidRPr="004042B8" w:rsidRDefault="004042B8" w:rsidP="004042B8">
      <w:pPr>
        <w:spacing w:after="120" w:line="240" w:lineRule="exact"/>
        <w:ind w:left="283" w:hanging="283"/>
        <w:jc w:val="both"/>
        <w:rPr>
          <w:rFonts w:ascii="FrankRuehl" w:hAnsi="FrankRuehl" w:cs="FrankRuehl"/>
          <w:rtl/>
        </w:rPr>
      </w:pPr>
      <w:r w:rsidRPr="004042B8">
        <w:rPr>
          <w:rFonts w:ascii="FrankRuehl" w:hAnsi="FrankRuehl" w:cs="FrankRuehl"/>
          <w:rtl/>
        </w:rPr>
        <w:t xml:space="preserve">חקיקה שאוזכרה: </w:t>
      </w:r>
    </w:p>
    <w:p w14:paraId="51B607C1" w14:textId="77777777" w:rsidR="004042B8" w:rsidRPr="004042B8" w:rsidRDefault="004042B8" w:rsidP="004042B8">
      <w:pPr>
        <w:spacing w:after="120" w:line="240" w:lineRule="exact"/>
        <w:ind w:left="283" w:hanging="283"/>
        <w:jc w:val="both"/>
        <w:rPr>
          <w:rFonts w:ascii="FrankRuehl" w:hAnsi="FrankRuehl" w:cs="FrankRuehl"/>
          <w:rtl/>
        </w:rPr>
      </w:pPr>
      <w:hyperlink r:id="rId7" w:history="1">
        <w:r w:rsidRPr="004042B8">
          <w:rPr>
            <w:rFonts w:ascii="FrankRuehl" w:hAnsi="FrankRuehl" w:cs="FrankRuehl"/>
            <w:color w:val="0000FF"/>
            <w:u w:val="single"/>
            <w:rtl/>
          </w:rPr>
          <w:t>חוק העונשין, תשל"ז-1977</w:t>
        </w:r>
      </w:hyperlink>
      <w:r w:rsidRPr="004042B8">
        <w:rPr>
          <w:rFonts w:ascii="FrankRuehl" w:hAnsi="FrankRuehl" w:cs="FrankRuehl"/>
          <w:rtl/>
        </w:rPr>
        <w:t xml:space="preserve">: סע'  </w:t>
      </w:r>
      <w:hyperlink r:id="rId8" w:history="1">
        <w:r w:rsidRPr="004042B8">
          <w:rPr>
            <w:rFonts w:ascii="FrankRuehl" w:hAnsi="FrankRuehl" w:cs="FrankRuehl"/>
            <w:color w:val="0000FF"/>
            <w:u w:val="single"/>
            <w:rtl/>
          </w:rPr>
          <w:t>144(א)</w:t>
        </w:r>
      </w:hyperlink>
    </w:p>
    <w:p w14:paraId="4F54554C" w14:textId="77777777" w:rsidR="004042B8" w:rsidRPr="004042B8" w:rsidRDefault="004042B8" w:rsidP="004042B8">
      <w:pPr>
        <w:spacing w:after="120" w:line="240" w:lineRule="exact"/>
        <w:ind w:left="283" w:hanging="283"/>
        <w:jc w:val="both"/>
        <w:rPr>
          <w:rFonts w:ascii="FrankRuehl" w:hAnsi="FrankRuehl" w:cs="FrankRuehl"/>
          <w:rtl/>
        </w:rPr>
      </w:pPr>
    </w:p>
    <w:p w14:paraId="71592ACF" w14:textId="77777777" w:rsidR="004042B8" w:rsidRPr="004042B8" w:rsidRDefault="004042B8" w:rsidP="004042B8">
      <w:pPr>
        <w:rPr>
          <w:rtl/>
        </w:rPr>
      </w:pPr>
      <w:bookmarkStart w:id="4" w:name="LawTable_End"/>
      <w:bookmarkEnd w:id="4"/>
    </w:p>
    <w:p w14:paraId="04CC3E1D" w14:textId="77777777" w:rsidR="004042B8" w:rsidRPr="004042B8" w:rsidRDefault="004042B8" w:rsidP="004042B8">
      <w:pPr>
        <w:rPr>
          <w:b/>
          <w:bCs/>
          <w:rtl/>
        </w:rPr>
      </w:pPr>
    </w:p>
    <w:p w14:paraId="2A779C34" w14:textId="77777777" w:rsidR="00934432" w:rsidRPr="00934432" w:rsidRDefault="002F5400" w:rsidP="004042B8">
      <w:pPr>
        <w:rPr>
          <w:rFonts w:ascii="FrankRuehl" w:hAnsi="FrankRuehl" w:cs="FrankRuehl"/>
          <w:rtl/>
        </w:rPr>
      </w:pPr>
      <w:r w:rsidRPr="004042B8">
        <w:rPr>
          <w:rFonts w:hint="cs"/>
          <w:b/>
          <w:bCs/>
          <w:rtl/>
        </w:rPr>
        <w:t xml:space="preserve"> </w:t>
      </w:r>
    </w:p>
    <w:p w14:paraId="49B03D2C" w14:textId="77777777" w:rsidR="00934432" w:rsidRPr="00934432" w:rsidRDefault="00934432" w:rsidP="002F5400">
      <w:pPr>
        <w:rPr>
          <w:b/>
          <w:bCs/>
          <w:rtl/>
        </w:rPr>
      </w:pPr>
    </w:p>
    <w:p w14:paraId="0927A95D" w14:textId="77777777" w:rsidR="002F5400" w:rsidRPr="00934432" w:rsidRDefault="002F5400" w:rsidP="002F5400">
      <w:pPr>
        <w:rPr>
          <w:b/>
          <w:bCs/>
          <w:rtl/>
        </w:rPr>
      </w:pPr>
    </w:p>
    <w:p w14:paraId="5199093C" w14:textId="77777777" w:rsidR="00934432" w:rsidRDefault="00934432" w:rsidP="00934432">
      <w:pPr>
        <w:pStyle w:val="a3"/>
        <w:rPr>
          <w:rtl/>
        </w:rPr>
      </w:pPr>
    </w:p>
    <w:p w14:paraId="77042254" w14:textId="77777777" w:rsidR="00934432" w:rsidRPr="0032634C" w:rsidRDefault="00934432" w:rsidP="00934432">
      <w:pPr>
        <w:pStyle w:val="a3"/>
        <w:spacing w:after="120" w:line="240" w:lineRule="exact"/>
        <w:ind w:left="283" w:hanging="283"/>
        <w:jc w:val="both"/>
        <w:rPr>
          <w:rFonts w:ascii="FrankRuehl" w:hAnsi="FrankRuehl" w:cs="FrankRuehl"/>
          <w:rtl/>
        </w:rPr>
      </w:pPr>
    </w:p>
    <w:p w14:paraId="74A5E10E" w14:textId="77777777" w:rsidR="002F5400" w:rsidRDefault="002F5400" w:rsidP="002F5400">
      <w:pPr>
        <w:rPr>
          <w:rFonts w:hint="cs"/>
          <w:rtl/>
        </w:rPr>
      </w:pPr>
    </w:p>
    <w:p w14:paraId="1AB7CFB2" w14:textId="77777777" w:rsidR="00934432" w:rsidRPr="0032634C" w:rsidRDefault="00934432" w:rsidP="002F5400">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F5400" w:rsidRPr="0032634C" w14:paraId="7464E877" w14:textId="77777777" w:rsidTr="002F5400">
        <w:trPr>
          <w:trHeight w:val="355"/>
          <w:jc w:val="center"/>
        </w:trPr>
        <w:tc>
          <w:tcPr>
            <w:tcW w:w="8820" w:type="dxa"/>
            <w:tcBorders>
              <w:top w:val="nil"/>
              <w:left w:val="nil"/>
              <w:bottom w:val="nil"/>
              <w:right w:val="nil"/>
            </w:tcBorders>
            <w:shd w:val="clear" w:color="auto" w:fill="auto"/>
          </w:tcPr>
          <w:p w14:paraId="18A7B203" w14:textId="77777777" w:rsidR="002F5400" w:rsidRPr="0032634C" w:rsidRDefault="002F5400" w:rsidP="002F5400">
            <w:pPr>
              <w:jc w:val="center"/>
              <w:rPr>
                <w:rFonts w:ascii="Arial" w:hAnsi="Arial"/>
                <w:sz w:val="32"/>
                <w:szCs w:val="32"/>
                <w:rtl/>
              </w:rPr>
            </w:pPr>
            <w:bookmarkStart w:id="5" w:name="PsakDin"/>
            <w:r w:rsidRPr="0032634C">
              <w:rPr>
                <w:rFonts w:ascii="Arial" w:hAnsi="Arial" w:hint="cs"/>
                <w:b/>
                <w:bCs/>
                <w:sz w:val="32"/>
                <w:szCs w:val="32"/>
                <w:rtl/>
              </w:rPr>
              <w:t>גזר דין</w:t>
            </w:r>
            <w:r w:rsidRPr="0032634C">
              <w:rPr>
                <w:rFonts w:ascii="Arial" w:hAnsi="Arial" w:hint="cs"/>
                <w:sz w:val="32"/>
                <w:szCs w:val="32"/>
                <w:rtl/>
              </w:rPr>
              <w:t xml:space="preserve"> </w:t>
            </w:r>
            <w:bookmarkEnd w:id="5"/>
            <w:r w:rsidRPr="0032634C">
              <w:rPr>
                <w:rFonts w:ascii="Arial" w:hAnsi="Arial" w:hint="cs"/>
                <w:sz w:val="32"/>
                <w:szCs w:val="32"/>
                <w:rtl/>
              </w:rPr>
              <w:t>(נאשם 2)</w:t>
            </w:r>
          </w:p>
        </w:tc>
      </w:tr>
    </w:tbl>
    <w:p w14:paraId="5E371317" w14:textId="77777777" w:rsidR="002F5400" w:rsidRPr="0032634C" w:rsidRDefault="002F5400" w:rsidP="002F5400">
      <w:pPr>
        <w:rPr>
          <w:rFonts w:ascii="Arial" w:hAnsi="Arial"/>
          <w:sz w:val="26"/>
          <w:szCs w:val="26"/>
          <w:rtl/>
        </w:rPr>
      </w:pPr>
    </w:p>
    <w:p w14:paraId="01E44EEC" w14:textId="77777777" w:rsidR="002F5400" w:rsidRPr="0032634C" w:rsidRDefault="002F5400" w:rsidP="002F5400">
      <w:pPr>
        <w:pStyle w:val="a9"/>
        <w:numPr>
          <w:ilvl w:val="0"/>
          <w:numId w:val="1"/>
        </w:numPr>
        <w:spacing w:line="360" w:lineRule="auto"/>
        <w:ind w:left="0" w:firstLine="0"/>
        <w:jc w:val="both"/>
      </w:pPr>
      <w:bookmarkStart w:id="6" w:name="ABSTRACT_START"/>
      <w:bookmarkEnd w:id="6"/>
      <w:r w:rsidRPr="0032634C">
        <w:rPr>
          <w:rFonts w:hint="cs"/>
          <w:rtl/>
        </w:rPr>
        <w:t xml:space="preserve">נאשם 2, יליד 25.12.1997 (להלן בגזר דין זה </w:t>
      </w:r>
      <w:r w:rsidRPr="0032634C">
        <w:rPr>
          <w:rtl/>
        </w:rPr>
        <w:t>–</w:t>
      </w:r>
      <w:r w:rsidRPr="0032634C">
        <w:rPr>
          <w:rFonts w:hint="cs"/>
          <w:rtl/>
        </w:rPr>
        <w:t xml:space="preserve"> "</w:t>
      </w:r>
      <w:r w:rsidRPr="0032634C">
        <w:rPr>
          <w:rFonts w:hint="cs"/>
          <w:b/>
          <w:bCs/>
          <w:rtl/>
        </w:rPr>
        <w:t>הנאשם</w:t>
      </w:r>
      <w:r w:rsidRPr="0032634C">
        <w:rPr>
          <w:rFonts w:hint="cs"/>
          <w:rtl/>
        </w:rPr>
        <w:t xml:space="preserve">"), הורשע על יסוד הודאתו בעובדות כתב אישום מתוקן, במסגרת הסדר דיוני שלא כלל הסכמה לעניין העונש, בביצוע עבירה של </w:t>
      </w:r>
      <w:r w:rsidRPr="0032634C">
        <w:rPr>
          <w:rFonts w:hint="cs"/>
          <w:b/>
          <w:bCs/>
          <w:rtl/>
        </w:rPr>
        <w:t>החזקת נשק (ריבוי עבירות)</w:t>
      </w:r>
      <w:r w:rsidRPr="0032634C">
        <w:rPr>
          <w:rFonts w:hint="cs"/>
          <w:rtl/>
        </w:rPr>
        <w:t>.</w:t>
      </w:r>
    </w:p>
    <w:bookmarkEnd w:id="0"/>
    <w:p w14:paraId="2EB466FD" w14:textId="77777777" w:rsidR="002F5400" w:rsidRDefault="002F5400" w:rsidP="002F5400">
      <w:pPr>
        <w:pStyle w:val="a9"/>
        <w:spacing w:line="360" w:lineRule="auto"/>
        <w:ind w:left="0"/>
        <w:jc w:val="both"/>
      </w:pPr>
    </w:p>
    <w:p w14:paraId="59DFB4AE" w14:textId="77777777" w:rsidR="002F5400" w:rsidRDefault="002F5400" w:rsidP="002F5400">
      <w:pPr>
        <w:pStyle w:val="a9"/>
        <w:numPr>
          <w:ilvl w:val="0"/>
          <w:numId w:val="1"/>
        </w:numPr>
        <w:spacing w:line="360" w:lineRule="auto"/>
        <w:ind w:left="0" w:firstLine="0"/>
        <w:jc w:val="both"/>
      </w:pPr>
      <w:r>
        <w:rPr>
          <w:rFonts w:hint="cs"/>
          <w:rtl/>
        </w:rPr>
        <w:lastRenderedPageBreak/>
        <w:t>לפי עובדות כתב האישום המתוקן, ביום 15.9.2017 בשעות הלילה נורו יריות לעבר הבית בו מתגורר נאשם 1 עם משפחתו, וכתוצאה מהירי נפצע אחיו של נאשם 1, מוסטפא אבו חדיג'ה.</w:t>
      </w:r>
    </w:p>
    <w:p w14:paraId="76234D9A" w14:textId="77777777" w:rsidR="002F5400" w:rsidRDefault="002F5400" w:rsidP="002F5400">
      <w:pPr>
        <w:pStyle w:val="a9"/>
        <w:spacing w:line="360" w:lineRule="auto"/>
        <w:ind w:left="0"/>
        <w:jc w:val="both"/>
      </w:pPr>
      <w:bookmarkStart w:id="7" w:name="ABSTRACT_END"/>
      <w:bookmarkEnd w:id="7"/>
    </w:p>
    <w:p w14:paraId="4364F758" w14:textId="77777777" w:rsidR="002F5400" w:rsidRDefault="002F5400" w:rsidP="002F5400">
      <w:pPr>
        <w:pStyle w:val="a9"/>
        <w:spacing w:line="360" w:lineRule="auto"/>
        <w:ind w:left="0" w:firstLine="720"/>
        <w:jc w:val="both"/>
        <w:rPr>
          <w:rtl/>
        </w:rPr>
      </w:pPr>
      <w:r>
        <w:rPr>
          <w:rFonts w:hint="cs"/>
          <w:rtl/>
        </w:rPr>
        <w:t xml:space="preserve">ביום 19.9.2017 החזיק הנאשם, בביתו של נאשם 1, אקדח מסוג "יריחו" ובתוכו מחסנית תואמת מלאה בכדורים בקוטר 9 מ"מ, תיק שחור (להלן </w:t>
      </w:r>
      <w:r>
        <w:rPr>
          <w:rtl/>
        </w:rPr>
        <w:t>–</w:t>
      </w:r>
      <w:r>
        <w:rPr>
          <w:rFonts w:hint="cs"/>
          <w:rtl/>
        </w:rPr>
        <w:t xml:space="preserve"> "</w:t>
      </w:r>
      <w:r>
        <w:rPr>
          <w:rFonts w:hint="cs"/>
          <w:b/>
          <w:bCs/>
          <w:rtl/>
        </w:rPr>
        <w:t>התיק</w:t>
      </w:r>
      <w:r>
        <w:rPr>
          <w:rFonts w:hint="cs"/>
          <w:rtl/>
        </w:rPr>
        <w:t xml:space="preserve">") שהכיל רובה </w:t>
      </w:r>
      <w:r>
        <w:t>M16</w:t>
      </w:r>
      <w:r>
        <w:rPr>
          <w:rFonts w:hint="cs"/>
          <w:rtl/>
        </w:rPr>
        <w:t xml:space="preserve"> ובתוכו מחסנית מלאה בכדורים בקוטר 5.56 מ"מ, רובה סער מסוג "קרלו" ובתוכו מחסנית תואמת מלאה בכדורים בקוטר 9 מ"מ, שתי מחסניות תואמות לכדורים בקוטר 5.56 מ"מ וכן כדורים בתפזורת. בסך הכול החזיק הנאשם 171 כדורים בקוטר 5.56 מ"מ התואמים לרובה </w:t>
      </w:r>
      <w:r>
        <w:t>M16</w:t>
      </w:r>
      <w:r>
        <w:rPr>
          <w:rFonts w:hint="cs"/>
          <w:rtl/>
        </w:rPr>
        <w:t xml:space="preserve"> ו-58 כדורים בקוטר 9 מ"מ שיכולים להתאים לאקדח מסוג "יריחו" ולרובה מסוג "קרלו".</w:t>
      </w:r>
    </w:p>
    <w:p w14:paraId="1371C21D" w14:textId="77777777" w:rsidR="002F5400" w:rsidRDefault="002F5400" w:rsidP="002F5400">
      <w:pPr>
        <w:pStyle w:val="a9"/>
        <w:spacing w:line="360" w:lineRule="auto"/>
        <w:ind w:left="0" w:firstLine="720"/>
        <w:jc w:val="both"/>
        <w:rPr>
          <w:rtl/>
        </w:rPr>
      </w:pPr>
    </w:p>
    <w:p w14:paraId="0E308F88" w14:textId="77777777" w:rsidR="002F5400" w:rsidRDefault="002F5400" w:rsidP="002F5400">
      <w:pPr>
        <w:pStyle w:val="a9"/>
        <w:spacing w:line="360" w:lineRule="auto"/>
        <w:ind w:left="0" w:firstLine="720"/>
        <w:jc w:val="both"/>
        <w:rPr>
          <w:rtl/>
        </w:rPr>
      </w:pPr>
      <w:r>
        <w:rPr>
          <w:rFonts w:hint="cs"/>
          <w:rtl/>
        </w:rPr>
        <w:t>באותו יום בשעה 16:00 הגיעו כוחות משטרה לביתו של נאשם 1 על מנת לבצע צו חיפוש. באותו זמן עמד נאשם 1 במרפסת הבית והשקיף אל הרחוב על מנת לאבטח את מעשיו של הנאשם. כאשר הבחין נאשם 1 בניידת משטרה מתקרבת אל הבית, נכנס אל הבית ומיד נמלט ממנו בריצה כשבידו אחת התיק ובידו השנייה האקדח. שוטרים דלקו אחר הנאשם 1 ותוך כדי ריצה כיוון הוא את האקדח אל עבר השוטרים (כשהאקדח מוכן לשימוש וכדור בקנהו) ובהמשך השליך את האקדח אל הרצפה והמשיך בבריחה עד שנעצר במרחק 200 מטרים מהבית.</w:t>
      </w:r>
    </w:p>
    <w:p w14:paraId="77FF0256" w14:textId="77777777" w:rsidR="002F5400" w:rsidRDefault="002F5400" w:rsidP="002F5400">
      <w:pPr>
        <w:pStyle w:val="a9"/>
        <w:spacing w:line="360" w:lineRule="auto"/>
        <w:ind w:left="0" w:firstLine="720"/>
        <w:jc w:val="both"/>
      </w:pPr>
    </w:p>
    <w:p w14:paraId="0D098459" w14:textId="77777777" w:rsidR="002F5400" w:rsidRDefault="002F5400" w:rsidP="002F5400">
      <w:pPr>
        <w:pStyle w:val="a9"/>
        <w:numPr>
          <w:ilvl w:val="0"/>
          <w:numId w:val="1"/>
        </w:numPr>
        <w:spacing w:line="360" w:lineRule="auto"/>
        <w:ind w:left="0" w:firstLine="0"/>
        <w:jc w:val="both"/>
      </w:pPr>
      <w:r>
        <w:rPr>
          <w:rFonts w:hint="cs"/>
          <w:rtl/>
        </w:rPr>
        <w:t xml:space="preserve">לחובתו של הנאשם רישום אחד מבית המשפט לנוער ושתי הרשעות קודמות, גם כן מבית המשפט לנוער, בעבירות רכוש ואלימות. הנאשם ריצה שני עונשי מאסר. </w:t>
      </w:r>
    </w:p>
    <w:p w14:paraId="4126FB69" w14:textId="77777777" w:rsidR="002F5400" w:rsidRDefault="002F5400" w:rsidP="002F5400">
      <w:pPr>
        <w:pStyle w:val="a9"/>
        <w:spacing w:line="360" w:lineRule="auto"/>
        <w:ind w:left="0"/>
        <w:jc w:val="both"/>
      </w:pPr>
    </w:p>
    <w:p w14:paraId="0F87C403" w14:textId="77777777" w:rsidR="002F5400" w:rsidRDefault="002F5400" w:rsidP="002F5400">
      <w:pPr>
        <w:pStyle w:val="a9"/>
        <w:numPr>
          <w:ilvl w:val="0"/>
          <w:numId w:val="1"/>
        </w:numPr>
        <w:spacing w:line="360" w:lineRule="auto"/>
        <w:ind w:left="0" w:firstLine="0"/>
        <w:jc w:val="both"/>
      </w:pPr>
      <w:r>
        <w:rPr>
          <w:rFonts w:hint="cs"/>
          <w:rtl/>
        </w:rPr>
        <w:t>נוכח גילו הצעיר של הנאשם הוכן אודותיו תסקיר חובה. מהתסקיר עולה כי משפחת הנאשם אינה מתפקדת, אביו גרוש מאמו ומקיים אורח חיים עברייני ואמו סובלת ממחלת נפש. הנאשם נשר מבית הספר בגיל 13 והוא אינו יודע קרוא וכתוב. במקביל לנשירתו מבית הספר חבר לחברה שולית והחל בביצוע עבירות אלימות ורכוש. הנאשם ריצה עונשי מאסר בעודו קטין. הנאשם נטל אחריות על העבירה והביע צער על התנהגותו. לדבריו רכש את כלי הנשק זמן רב לפני מעצרו לצורכי הגנה עצמית. הנאשם הביע רצון לשנות את אורחות חייו, למסד עצמו בתחום המשפחתי ולהתנתק מחברה שולית. שירות המבחן ציין כי בעבר ניסה לרתום את הנאשם להליך טיפולי ללא הצלחה. ההערכה היא כי העבירה בוצעה על רקע הפנמה של דפוסי חשיבה והתנהגות שוליים. הנאשם מחזיק בעמדות הנותנות לגיטימציה לשימוש באלימות וסנקציות עונשיות שננקטו כלפיו בעבר לא הרתיעוהו. לדעת שירות המבחן קיימת רמת סיכון גבוהה להישנות התנהגות אלימה מצד הנאשם שחומרתה צפויה אף היא להיות גבוהה.</w:t>
      </w:r>
    </w:p>
    <w:p w14:paraId="66776AE6" w14:textId="77777777" w:rsidR="002F5400" w:rsidRDefault="002F5400" w:rsidP="002F5400">
      <w:pPr>
        <w:pStyle w:val="a9"/>
        <w:spacing w:line="360" w:lineRule="auto"/>
        <w:ind w:left="0"/>
        <w:jc w:val="both"/>
        <w:rPr>
          <w:rtl/>
        </w:rPr>
      </w:pPr>
    </w:p>
    <w:p w14:paraId="0E4CE228" w14:textId="77777777" w:rsidR="002F5400" w:rsidRDefault="002F5400" w:rsidP="002F5400">
      <w:pPr>
        <w:pStyle w:val="a9"/>
        <w:spacing w:line="360" w:lineRule="auto"/>
        <w:ind w:left="0" w:firstLine="720"/>
        <w:jc w:val="both"/>
        <w:rPr>
          <w:rtl/>
        </w:rPr>
      </w:pPr>
      <w:r>
        <w:rPr>
          <w:rFonts w:hint="cs"/>
          <w:rtl/>
        </w:rPr>
        <w:t>נוכח כל האמור המליץ שירות המבחן על ענישה בעלת גבולות ברורים שתמחיש לנאשם את חומרת מצבו ותהווה עבורו גבול חיצוני מרתיע.</w:t>
      </w:r>
    </w:p>
    <w:p w14:paraId="368CE1E3" w14:textId="77777777" w:rsidR="002F5400" w:rsidRDefault="002F5400" w:rsidP="002F5400">
      <w:pPr>
        <w:spacing w:line="360" w:lineRule="auto"/>
        <w:jc w:val="both"/>
        <w:rPr>
          <w:u w:val="single"/>
          <w:rtl/>
        </w:rPr>
      </w:pPr>
    </w:p>
    <w:p w14:paraId="55C294A2" w14:textId="77777777" w:rsidR="002F5400" w:rsidRPr="00CF5B89" w:rsidRDefault="002F5400" w:rsidP="002F5400">
      <w:pPr>
        <w:spacing w:line="360" w:lineRule="auto"/>
        <w:jc w:val="both"/>
        <w:rPr>
          <w:u w:val="single"/>
          <w:rtl/>
        </w:rPr>
      </w:pPr>
      <w:r w:rsidRPr="00CF5B89">
        <w:rPr>
          <w:rFonts w:hint="cs"/>
          <w:u w:val="single"/>
          <w:rtl/>
        </w:rPr>
        <w:t>תמצית טיעוני הצדדים</w:t>
      </w:r>
    </w:p>
    <w:p w14:paraId="24CCFC85" w14:textId="77777777" w:rsidR="002F5400" w:rsidRDefault="002F5400" w:rsidP="002F5400">
      <w:pPr>
        <w:pStyle w:val="a9"/>
        <w:numPr>
          <w:ilvl w:val="0"/>
          <w:numId w:val="1"/>
        </w:numPr>
        <w:spacing w:line="360" w:lineRule="auto"/>
        <w:ind w:left="0" w:firstLine="0"/>
        <w:jc w:val="both"/>
      </w:pPr>
      <w:r>
        <w:rPr>
          <w:rFonts w:hint="cs"/>
          <w:rtl/>
        </w:rPr>
        <w:t xml:space="preserve">ב"כ המאשימה, עו"ד אוריה תוהמי, התייחסה בטיעוניה לערכים המוגנים העומדים בבסיס העבירה שביצע הנאשם, לעובדה כי הנאשם החזיק לא פחות משלושה כלי נשק התקפיים מוכנים לירי ותחמושת נוספת ולצורך בענישה קשה ומרתיעה בתחום זה של עבירות. המאשימה עתרה למתחם עונש הולם שנע בין שלוש לשש שנות מאסר כעונש עיקרי, ונוכח מיהות העושה בקשה לגזור על הנאשם עונש ברף העליון. </w:t>
      </w:r>
      <w:r w:rsidRPr="001F28CE">
        <w:rPr>
          <w:rFonts w:hint="cs"/>
          <w:b/>
          <w:bCs/>
          <w:rtl/>
        </w:rPr>
        <w:t>הוגשה פסיקה לעונש</w:t>
      </w:r>
      <w:r>
        <w:rPr>
          <w:rFonts w:hint="cs"/>
          <w:rtl/>
        </w:rPr>
        <w:t>.</w:t>
      </w:r>
    </w:p>
    <w:p w14:paraId="670042D8" w14:textId="77777777" w:rsidR="002F5400" w:rsidRDefault="002F5400" w:rsidP="002F5400">
      <w:pPr>
        <w:pStyle w:val="a9"/>
        <w:spacing w:line="360" w:lineRule="auto"/>
        <w:ind w:left="0"/>
        <w:jc w:val="both"/>
      </w:pPr>
    </w:p>
    <w:p w14:paraId="10115215" w14:textId="77777777" w:rsidR="002F5400" w:rsidRDefault="002F5400" w:rsidP="002F5400">
      <w:pPr>
        <w:pStyle w:val="a9"/>
        <w:numPr>
          <w:ilvl w:val="0"/>
          <w:numId w:val="1"/>
        </w:numPr>
        <w:spacing w:line="360" w:lineRule="auto"/>
        <w:ind w:left="0" w:firstLine="0"/>
        <w:jc w:val="both"/>
      </w:pPr>
      <w:r>
        <w:rPr>
          <w:rFonts w:hint="cs"/>
          <w:rtl/>
        </w:rPr>
        <w:t xml:space="preserve">המאשימה בקשה להפעיל נגד הנאשם מאסר על-תנאי בן 7 חודשים בגין ביצוע עבירות </w:t>
      </w:r>
      <w:r w:rsidRPr="00E12A34">
        <w:rPr>
          <w:rFonts w:cs="Miriam" w:hint="cs"/>
          <w:rtl/>
        </w:rPr>
        <w:t>"רכוש או אלימות מסוג פשע"</w:t>
      </w:r>
      <w:r>
        <w:rPr>
          <w:rFonts w:hint="cs"/>
          <w:rtl/>
        </w:rPr>
        <w:t xml:space="preserve"> שגזר עליו בית המשפט לנוער במסגרת </w:t>
      </w:r>
      <w:hyperlink r:id="rId9" w:history="1">
        <w:r w:rsidR="0032634C" w:rsidRPr="0032634C">
          <w:rPr>
            <w:rStyle w:val="Hyperlink"/>
            <w:rFonts w:hint="eastAsia"/>
            <w:color w:val="0000FF"/>
            <w:rtl/>
          </w:rPr>
          <w:t>ת</w:t>
        </w:r>
        <w:r w:rsidR="0032634C" w:rsidRPr="0032634C">
          <w:rPr>
            <w:rStyle w:val="Hyperlink"/>
            <w:color w:val="0000FF"/>
            <w:rtl/>
          </w:rPr>
          <w:t>"פ 58711-10-15</w:t>
        </w:r>
      </w:hyperlink>
      <w:r>
        <w:rPr>
          <w:rFonts w:hint="cs"/>
          <w:rtl/>
        </w:rPr>
        <w:t xml:space="preserve">. לדעת המאשימה, הגם שלא ניתן לומר בהכרח כי כל עבירה של החזקת נשק תפעיל מאסר על-תנאי בעבירות אלימות, בנסיבות הביצוע בענייננו (החזקת כלי נשק התקפיים כשהם טעונים ומוכנים לירי) קיימת הצדקה להפעלה של המבחן הענייני-מהותי שנקבע בפסיקה. </w:t>
      </w:r>
    </w:p>
    <w:p w14:paraId="03869B8A" w14:textId="77777777" w:rsidR="002F5400" w:rsidRDefault="002F5400" w:rsidP="002F5400">
      <w:pPr>
        <w:pStyle w:val="a9"/>
        <w:spacing w:line="360" w:lineRule="auto"/>
        <w:ind w:left="0"/>
        <w:jc w:val="both"/>
      </w:pPr>
    </w:p>
    <w:p w14:paraId="5E09C18A" w14:textId="77777777" w:rsidR="002F5400" w:rsidRDefault="002F5400" w:rsidP="002F5400">
      <w:pPr>
        <w:pStyle w:val="a9"/>
        <w:numPr>
          <w:ilvl w:val="0"/>
          <w:numId w:val="1"/>
        </w:numPr>
        <w:spacing w:line="360" w:lineRule="auto"/>
        <w:ind w:left="0" w:firstLine="0"/>
        <w:jc w:val="both"/>
      </w:pPr>
      <w:r>
        <w:rPr>
          <w:rFonts w:hint="cs"/>
          <w:rtl/>
        </w:rPr>
        <w:t>ב"כ הנאשם, עו"ד שאדי נאטור, ביקש לקבוע במקרה זה מתחם עונש הולם שנע בין 18 ל-36 חודשי מאסר בלבד ולמקם את הנאשם בתחתיתו. הסניגור ביקש להתחשב לקולה במעצרו הארוך של הנאשם, בהודאתו לפני בית המשפט ובנסיבותיו האישיות הקשות כמפורט בתסקיר.  גם ההגנה הגישה פסיקה לעונש.</w:t>
      </w:r>
    </w:p>
    <w:p w14:paraId="3752C51E" w14:textId="77777777" w:rsidR="002F5400" w:rsidRDefault="002F5400" w:rsidP="002F5400">
      <w:pPr>
        <w:pStyle w:val="a9"/>
        <w:spacing w:line="360" w:lineRule="auto"/>
        <w:ind w:left="0"/>
        <w:jc w:val="both"/>
      </w:pPr>
    </w:p>
    <w:p w14:paraId="7D60DEA5" w14:textId="77777777" w:rsidR="002F5400" w:rsidRPr="00CF5B89" w:rsidRDefault="002F5400" w:rsidP="002F5400">
      <w:pPr>
        <w:pStyle w:val="a9"/>
        <w:numPr>
          <w:ilvl w:val="0"/>
          <w:numId w:val="1"/>
        </w:numPr>
        <w:spacing w:line="360" w:lineRule="auto"/>
        <w:ind w:left="0" w:firstLine="0"/>
        <w:jc w:val="both"/>
        <w:rPr>
          <w:rtl/>
        </w:rPr>
      </w:pPr>
      <w:r>
        <w:rPr>
          <w:rFonts w:hint="cs"/>
          <w:rtl/>
        </w:rPr>
        <w:t>לעניין הפעלת המאסר על-תנאי טען ב"כ הנאשם כי אין מקום לקבל את גישתה של המאשימה, שלפיה ניתן לקבוע כי בנסיבות המקרה דנן חל התנאי ואין מקום לפסיקה עקרונית בסוגיה. לגוף העניין טענת ההגנה היא שעבירה של החזקת נשק אינה מפעילה תנאי של עבירות אלימות.</w:t>
      </w:r>
    </w:p>
    <w:p w14:paraId="084A5C7A" w14:textId="77777777" w:rsidR="002F5400" w:rsidRDefault="002F5400" w:rsidP="002F5400">
      <w:pPr>
        <w:spacing w:line="360" w:lineRule="auto"/>
        <w:jc w:val="both"/>
        <w:rPr>
          <w:sz w:val="26"/>
          <w:szCs w:val="26"/>
          <w:rtl/>
        </w:rPr>
      </w:pPr>
    </w:p>
    <w:p w14:paraId="27CA639A" w14:textId="77777777" w:rsidR="002F5400" w:rsidRPr="00C7467E" w:rsidRDefault="002F5400" w:rsidP="002F5400">
      <w:pPr>
        <w:pStyle w:val="a9"/>
        <w:numPr>
          <w:ilvl w:val="0"/>
          <w:numId w:val="1"/>
        </w:numPr>
        <w:spacing w:line="360" w:lineRule="auto"/>
        <w:ind w:left="0" w:firstLine="0"/>
        <w:jc w:val="both"/>
        <w:rPr>
          <w:rtl/>
        </w:rPr>
      </w:pPr>
      <w:r w:rsidRPr="00C7467E">
        <w:rPr>
          <w:rFonts w:hint="cs"/>
          <w:rtl/>
        </w:rPr>
        <w:t>הנאשם בדברו האחרון ביקש סליחה ואמר שטעה.</w:t>
      </w:r>
    </w:p>
    <w:p w14:paraId="1A5BD607" w14:textId="77777777" w:rsidR="002F5400" w:rsidRPr="00D16BE6" w:rsidRDefault="002F5400" w:rsidP="002F5400">
      <w:pPr>
        <w:spacing w:line="360" w:lineRule="auto"/>
        <w:jc w:val="both"/>
        <w:rPr>
          <w:sz w:val="26"/>
          <w:szCs w:val="26"/>
          <w:rtl/>
        </w:rPr>
      </w:pPr>
    </w:p>
    <w:p w14:paraId="502E7E2B" w14:textId="77777777" w:rsidR="002F5400" w:rsidRDefault="002F5400" w:rsidP="002F5400">
      <w:pPr>
        <w:spacing w:line="360" w:lineRule="auto"/>
        <w:jc w:val="both"/>
        <w:rPr>
          <w:sz w:val="26"/>
          <w:szCs w:val="26"/>
          <w:rtl/>
        </w:rPr>
      </w:pPr>
      <w:r>
        <w:rPr>
          <w:rFonts w:hint="cs"/>
          <w:b/>
          <w:bCs/>
          <w:sz w:val="26"/>
          <w:szCs w:val="26"/>
          <w:u w:val="single"/>
          <w:rtl/>
        </w:rPr>
        <w:t>דיון והכרעה</w:t>
      </w:r>
    </w:p>
    <w:p w14:paraId="22AB173B" w14:textId="77777777" w:rsidR="002F5400" w:rsidRDefault="002F5400" w:rsidP="002F5400">
      <w:pPr>
        <w:pStyle w:val="a9"/>
        <w:numPr>
          <w:ilvl w:val="0"/>
          <w:numId w:val="1"/>
        </w:numPr>
        <w:spacing w:line="360" w:lineRule="auto"/>
        <w:ind w:left="0" w:firstLine="0"/>
        <w:jc w:val="both"/>
      </w:pPr>
      <w:r>
        <w:rPr>
          <w:rFonts w:hint="cs"/>
          <w:rtl/>
        </w:rPr>
        <w:t xml:space="preserve">הנאשם החזיק בביתו של אחר שלושה כלי נשק התקפיים מוכנים לירי וכן החזיק תחמושת נוספת. </w:t>
      </w:r>
    </w:p>
    <w:p w14:paraId="18A70395" w14:textId="77777777" w:rsidR="002F5400" w:rsidRDefault="002F5400" w:rsidP="002F5400">
      <w:pPr>
        <w:pStyle w:val="a9"/>
        <w:spacing w:line="360" w:lineRule="auto"/>
        <w:ind w:left="0"/>
        <w:jc w:val="both"/>
      </w:pPr>
    </w:p>
    <w:p w14:paraId="5A413A1A" w14:textId="77777777" w:rsidR="002F5400" w:rsidRDefault="002F5400" w:rsidP="002F5400">
      <w:pPr>
        <w:pStyle w:val="a9"/>
        <w:numPr>
          <w:ilvl w:val="0"/>
          <w:numId w:val="1"/>
        </w:numPr>
        <w:spacing w:line="360" w:lineRule="auto"/>
        <w:ind w:left="0" w:firstLine="0"/>
        <w:jc w:val="both"/>
      </w:pPr>
      <w:r>
        <w:rPr>
          <w:rFonts w:ascii="Arial" w:hAnsi="Arial"/>
          <w:rtl/>
        </w:rPr>
        <w:t>על חומרתה של עבירת החזקת הנשק דובר רבות. אין ספק כי היא טומנת בחובה סכנה ממשית לשלום הציבור ובטחונו. מדובר ב"מכת מדינה" ממש, ואף ב"מכת אזור"</w:t>
      </w:r>
      <w:r>
        <w:rPr>
          <w:rFonts w:ascii="Arial" w:hAnsi="Arial" w:hint="cs"/>
          <w:rtl/>
        </w:rPr>
        <w:t>,</w:t>
      </w:r>
      <w:r>
        <w:rPr>
          <w:rFonts w:ascii="Arial" w:hAnsi="Arial"/>
          <w:rtl/>
        </w:rPr>
        <w:t xml:space="preserve"> ובתי המשפט נדרשים לתת ידם</w:t>
      </w:r>
      <w:r>
        <w:rPr>
          <w:rFonts w:ascii="Arial" w:hAnsi="Arial" w:hint="cs"/>
          <w:rtl/>
        </w:rPr>
        <w:t>, בדרך של ענישה מחמירה,</w:t>
      </w:r>
      <w:r>
        <w:rPr>
          <w:rFonts w:ascii="Arial" w:hAnsi="Arial"/>
          <w:rtl/>
        </w:rPr>
        <w:t xml:space="preserve"> כדי לנסות ולעצור תופעה מדאיגה זו.</w:t>
      </w:r>
    </w:p>
    <w:p w14:paraId="135EE285" w14:textId="77777777" w:rsidR="002F5400" w:rsidRDefault="002F5400" w:rsidP="002F5400">
      <w:pPr>
        <w:pStyle w:val="a9"/>
        <w:rPr>
          <w:rtl/>
        </w:rPr>
      </w:pPr>
    </w:p>
    <w:p w14:paraId="3A24D172" w14:textId="77777777" w:rsidR="002F5400" w:rsidRDefault="002F5400" w:rsidP="002F5400">
      <w:pPr>
        <w:pStyle w:val="a9"/>
        <w:spacing w:line="360" w:lineRule="auto"/>
        <w:ind w:left="0" w:firstLine="720"/>
        <w:jc w:val="both"/>
        <w:rPr>
          <w:rtl/>
        </w:rPr>
      </w:pPr>
      <w:r>
        <w:rPr>
          <w:rFonts w:ascii="Arial" w:hAnsi="Arial"/>
          <w:rtl/>
        </w:rPr>
        <w:t>המגמה המחמירה הבאה לידי ביטוי בפסיקה ברורה. התופעה מתפשטת ומתרחבת, הצורך בהרתעה גדל והולך וחומרת העונשים המוטלים על העוברים את עבירות הנשק עולה. ניתן לראות זאת בפסקי הדין שהובאו על ידי המאשימה ובשורה של פסקי דין נוספים מהשנים האחרונות</w:t>
      </w:r>
      <w:r>
        <w:rPr>
          <w:rFonts w:hint="cs"/>
          <w:rtl/>
        </w:rPr>
        <w:t>.</w:t>
      </w:r>
    </w:p>
    <w:p w14:paraId="3183E70B" w14:textId="77777777" w:rsidR="002F5400" w:rsidRDefault="002F5400" w:rsidP="002F5400">
      <w:pPr>
        <w:rPr>
          <w:sz w:val="26"/>
          <w:szCs w:val="26"/>
          <w:rtl/>
        </w:rPr>
      </w:pPr>
    </w:p>
    <w:p w14:paraId="2C4368AA" w14:textId="77777777" w:rsidR="002F5400" w:rsidRDefault="002F5400" w:rsidP="002F5400">
      <w:pPr>
        <w:pStyle w:val="a9"/>
        <w:numPr>
          <w:ilvl w:val="0"/>
          <w:numId w:val="1"/>
        </w:numPr>
        <w:spacing w:line="360" w:lineRule="auto"/>
        <w:ind w:left="0" w:firstLine="0"/>
        <w:jc w:val="both"/>
        <w:rPr>
          <w:rFonts w:ascii="Arial" w:hAnsi="Arial"/>
        </w:rPr>
      </w:pPr>
      <w:r>
        <w:rPr>
          <w:rFonts w:ascii="Arial" w:hAnsi="Arial"/>
          <w:rtl/>
        </w:rPr>
        <w:t xml:space="preserve">בהתחשב בעיקרון המנחה בענישה לפיו על העונש להלום את חומרת המעשה, בערכים המוגנים העומדים ביסוד העבירות אותן ביצע הנאשם שעיקרם ביטחון ושלום הציבור, ברמת הענישה המקובלת </w:t>
      </w:r>
      <w:r>
        <w:rPr>
          <w:rtl/>
        </w:rPr>
        <w:t xml:space="preserve">[ראו </w:t>
      </w:r>
      <w:hyperlink r:id="rId10" w:history="1">
        <w:r w:rsidR="0032634C" w:rsidRPr="0032634C">
          <w:rPr>
            <w:rStyle w:val="Hyperlink"/>
            <w:color w:val="0000FF"/>
            <w:rtl/>
          </w:rPr>
          <w:t>עפ"ג 27108-01-16</w:t>
        </w:r>
      </w:hyperlink>
      <w:r>
        <w:rPr>
          <w:rtl/>
        </w:rPr>
        <w:t xml:space="preserve"> (מרכז</w:t>
      </w:r>
      <w:r>
        <w:rPr>
          <w:rFonts w:hint="cs"/>
          <w:rtl/>
        </w:rPr>
        <w:t>-לוד</w:t>
      </w:r>
      <w:r>
        <w:rPr>
          <w:rtl/>
        </w:rPr>
        <w:t xml:space="preserve">) </w:t>
      </w:r>
      <w:r>
        <w:rPr>
          <w:b/>
          <w:bCs/>
          <w:rtl/>
        </w:rPr>
        <w:t>מדינת ישראל נ' נוסיראת</w:t>
      </w:r>
      <w:r>
        <w:rPr>
          <w:rtl/>
        </w:rPr>
        <w:t xml:space="preserve"> (8.5.2016) וכן </w:t>
      </w:r>
      <w:hyperlink r:id="rId11" w:history="1">
        <w:r w:rsidR="0032634C" w:rsidRPr="0032634C">
          <w:rPr>
            <w:rStyle w:val="Hyperlink"/>
            <w:color w:val="0000FF"/>
            <w:rtl/>
          </w:rPr>
          <w:t>עפ"ג (מרכז-לוד) 50329-10-15</w:t>
        </w:r>
      </w:hyperlink>
      <w:r>
        <w:rPr>
          <w:rtl/>
        </w:rPr>
        <w:t xml:space="preserve"> </w:t>
      </w:r>
      <w:r>
        <w:rPr>
          <w:b/>
          <w:bCs/>
          <w:rtl/>
        </w:rPr>
        <w:t>מדינת ישראל נ' ענזי</w:t>
      </w:r>
      <w:r>
        <w:rPr>
          <w:rtl/>
        </w:rPr>
        <w:t xml:space="preserve"> (26.1.2016)]</w:t>
      </w:r>
      <w:r>
        <w:rPr>
          <w:rFonts w:ascii="Arial" w:hAnsi="Arial" w:hint="cs"/>
          <w:rtl/>
        </w:rPr>
        <w:t xml:space="preserve"> וכן עפ"ג (מרכז-לוד) 1885-07-18 </w:t>
      </w:r>
      <w:r>
        <w:rPr>
          <w:rFonts w:ascii="Arial" w:hAnsi="Arial" w:hint="cs"/>
          <w:b/>
          <w:bCs/>
          <w:rtl/>
        </w:rPr>
        <w:t>פדילה נ' מדינת ישראל</w:t>
      </w:r>
      <w:r>
        <w:rPr>
          <w:rFonts w:ascii="Arial" w:hAnsi="Arial" w:hint="cs"/>
          <w:rtl/>
        </w:rPr>
        <w:t xml:space="preserve"> (6.11.2018), בו אישר בית המשפט המחוזי מתחם עונש הולם של 18 עד 34 חודשי מאסר בפועל שקבעתי בעניינו של מי שהחזיק שני כלי נשק התקפיים ותחמושת תואמת בגזר דיני ב</w:t>
      </w:r>
      <w:hyperlink r:id="rId12" w:history="1">
        <w:r w:rsidR="0032634C" w:rsidRPr="0032634C">
          <w:rPr>
            <w:rStyle w:val="Hyperlink"/>
            <w:rFonts w:ascii="Arial" w:hAnsi="Arial" w:hint="eastAsia"/>
            <w:color w:val="0000FF"/>
            <w:rtl/>
          </w:rPr>
          <w:t>ת</w:t>
        </w:r>
        <w:r w:rsidR="0032634C" w:rsidRPr="0032634C">
          <w:rPr>
            <w:rStyle w:val="Hyperlink"/>
            <w:rFonts w:ascii="Arial" w:hAnsi="Arial"/>
            <w:color w:val="0000FF"/>
            <w:rtl/>
          </w:rPr>
          <w:t>"פ (כ"ס) 37519-03-17</w:t>
        </w:r>
      </w:hyperlink>
      <w:r>
        <w:rPr>
          <w:rFonts w:ascii="Arial" w:hAnsi="Arial" w:hint="cs"/>
          <w:rtl/>
        </w:rPr>
        <w:t xml:space="preserve"> </w:t>
      </w:r>
      <w:r>
        <w:rPr>
          <w:rFonts w:ascii="Arial" w:hAnsi="Arial" w:hint="cs"/>
          <w:b/>
          <w:bCs/>
          <w:rtl/>
        </w:rPr>
        <w:t>מדינת ישראל נ' פדילה</w:t>
      </w:r>
      <w:r>
        <w:rPr>
          <w:rFonts w:ascii="Arial" w:hAnsi="Arial" w:hint="cs"/>
          <w:rtl/>
        </w:rPr>
        <w:t xml:space="preserve"> (13.6.2018)],</w:t>
      </w:r>
      <w:r>
        <w:rPr>
          <w:rFonts w:ascii="Arial" w:hAnsi="Arial"/>
          <w:rtl/>
        </w:rPr>
        <w:t xml:space="preserve"> </w:t>
      </w:r>
      <w:r w:rsidRPr="00D74DBF">
        <w:rPr>
          <w:rFonts w:ascii="Arial" w:hAnsi="Arial"/>
          <w:u w:val="single"/>
          <w:rtl/>
        </w:rPr>
        <w:t>ובנסיבות הקשורות בביצוע העבירות</w:t>
      </w:r>
      <w:r>
        <w:rPr>
          <w:rFonts w:ascii="Arial" w:hAnsi="Arial"/>
          <w:rtl/>
        </w:rPr>
        <w:t xml:space="preserve">: </w:t>
      </w:r>
      <w:r>
        <w:rPr>
          <w:rFonts w:ascii="Arial" w:hAnsi="Arial" w:hint="cs"/>
          <w:rtl/>
        </w:rPr>
        <w:t>מספרם של כלי הנשק שהחזיק הנאשם, סוגם, העובדה כי היו טעונים במחסניות מלאות בכדורים תואמים וכן כמות וסוגי התחמושת שהחזיק הנאשם בנפרד</w:t>
      </w:r>
      <w:r>
        <w:rPr>
          <w:rFonts w:ascii="Arial" w:hAnsi="Arial"/>
          <w:rtl/>
        </w:rPr>
        <w:t xml:space="preserve">, מצאתי כי מתחם העונש ההולם את עניינו של </w:t>
      </w:r>
      <w:r>
        <w:rPr>
          <w:rFonts w:ascii="Arial" w:hAnsi="Arial" w:hint="cs"/>
          <w:rtl/>
        </w:rPr>
        <w:t>ה</w:t>
      </w:r>
      <w:r>
        <w:rPr>
          <w:rFonts w:ascii="Arial" w:hAnsi="Arial"/>
          <w:rtl/>
        </w:rPr>
        <w:t xml:space="preserve">נאשם נע </w:t>
      </w:r>
      <w:r>
        <w:rPr>
          <w:rFonts w:ascii="Arial" w:hAnsi="Arial"/>
          <w:b/>
          <w:bCs/>
          <w:rtl/>
        </w:rPr>
        <w:t xml:space="preserve">בין </w:t>
      </w:r>
      <w:r>
        <w:rPr>
          <w:rFonts w:ascii="Arial" w:hAnsi="Arial" w:hint="cs"/>
          <w:b/>
          <w:bCs/>
          <w:rtl/>
        </w:rPr>
        <w:t>24 ל-42</w:t>
      </w:r>
      <w:r>
        <w:rPr>
          <w:rFonts w:ascii="Arial" w:hAnsi="Arial"/>
          <w:b/>
          <w:bCs/>
          <w:rtl/>
        </w:rPr>
        <w:t xml:space="preserve"> חודשי מאסר</w:t>
      </w:r>
      <w:r>
        <w:rPr>
          <w:rFonts w:ascii="Arial" w:hAnsi="Arial"/>
          <w:rtl/>
        </w:rPr>
        <w:t xml:space="preserve"> וזאת כעונש עיקרי</w:t>
      </w:r>
      <w:r>
        <w:rPr>
          <w:rFonts w:ascii="Arial" w:hAnsi="Arial" w:hint="cs"/>
          <w:rtl/>
        </w:rPr>
        <w:t>.</w:t>
      </w:r>
      <w:r>
        <w:rPr>
          <w:rFonts w:ascii="Arial" w:hAnsi="Arial"/>
          <w:rtl/>
        </w:rPr>
        <w:t xml:space="preserve"> </w:t>
      </w:r>
    </w:p>
    <w:p w14:paraId="3113092A" w14:textId="77777777" w:rsidR="002F5400" w:rsidRDefault="002F5400" w:rsidP="002F5400">
      <w:pPr>
        <w:pStyle w:val="a9"/>
        <w:spacing w:line="360" w:lineRule="auto"/>
        <w:ind w:left="0"/>
        <w:jc w:val="both"/>
        <w:rPr>
          <w:rFonts w:ascii="Arial" w:hAnsi="Arial"/>
        </w:rPr>
      </w:pPr>
    </w:p>
    <w:p w14:paraId="42536E11" w14:textId="77777777" w:rsidR="002F5400" w:rsidRDefault="002F5400" w:rsidP="002F5400">
      <w:pPr>
        <w:pStyle w:val="a9"/>
        <w:spacing w:line="360" w:lineRule="auto"/>
        <w:ind w:left="0" w:firstLine="720"/>
        <w:jc w:val="both"/>
        <w:rPr>
          <w:rFonts w:ascii="Arial" w:hAnsi="Arial"/>
          <w:rtl/>
        </w:rPr>
      </w:pPr>
      <w:r>
        <w:rPr>
          <w:rFonts w:ascii="Arial" w:hAnsi="Arial"/>
          <w:rtl/>
        </w:rPr>
        <w:t xml:space="preserve">מתחם הקנס ההולם את העבירה בנסיבותיה ינוע בין </w:t>
      </w:r>
      <w:r>
        <w:rPr>
          <w:rFonts w:ascii="Arial" w:hAnsi="Arial" w:hint="cs"/>
          <w:rtl/>
        </w:rPr>
        <w:t>10</w:t>
      </w:r>
      <w:r>
        <w:rPr>
          <w:rFonts w:ascii="Arial" w:hAnsi="Arial"/>
          <w:rtl/>
        </w:rPr>
        <w:t>,000 ₪ ל-</w:t>
      </w:r>
      <w:r>
        <w:rPr>
          <w:rFonts w:ascii="Arial" w:hAnsi="Arial" w:hint="cs"/>
          <w:rtl/>
        </w:rPr>
        <w:t>20</w:t>
      </w:r>
      <w:r>
        <w:rPr>
          <w:rFonts w:ascii="Arial" w:hAnsi="Arial"/>
          <w:rtl/>
        </w:rPr>
        <w:t xml:space="preserve">,000 ₪. בקביעת מתחם הקנס הבאתי בחשבון את מצבו הכלכלי של הנאשם.  </w:t>
      </w:r>
    </w:p>
    <w:p w14:paraId="15B26BE7" w14:textId="77777777" w:rsidR="002F5400" w:rsidRDefault="002F5400" w:rsidP="002F5400">
      <w:pPr>
        <w:spacing w:line="360" w:lineRule="auto"/>
        <w:jc w:val="both"/>
        <w:rPr>
          <w:rFonts w:ascii="Arial" w:hAnsi="Arial"/>
          <w:rtl/>
        </w:rPr>
      </w:pPr>
    </w:p>
    <w:p w14:paraId="78E23BB4" w14:textId="77777777" w:rsidR="002F5400" w:rsidRPr="00030CD4" w:rsidRDefault="002F5400" w:rsidP="002F5400">
      <w:pPr>
        <w:spacing w:line="360" w:lineRule="auto"/>
        <w:jc w:val="both"/>
        <w:rPr>
          <w:rFonts w:ascii="Arial" w:hAnsi="Arial"/>
          <w:u w:val="single"/>
          <w:rtl/>
        </w:rPr>
      </w:pPr>
      <w:r>
        <w:rPr>
          <w:rFonts w:ascii="Arial" w:hAnsi="Arial" w:hint="cs"/>
          <w:u w:val="single"/>
          <w:rtl/>
        </w:rPr>
        <w:t>תחולת המאסר על-תנאי</w:t>
      </w:r>
    </w:p>
    <w:p w14:paraId="1A1970D6" w14:textId="77777777" w:rsidR="002F5400" w:rsidRDefault="002F5400" w:rsidP="002F5400">
      <w:pPr>
        <w:pStyle w:val="a9"/>
        <w:numPr>
          <w:ilvl w:val="0"/>
          <w:numId w:val="1"/>
        </w:numPr>
        <w:spacing w:line="360" w:lineRule="auto"/>
        <w:ind w:left="0" w:firstLine="0"/>
        <w:jc w:val="both"/>
        <w:rPr>
          <w:rFonts w:ascii="Arial" w:hAnsi="Arial"/>
        </w:rPr>
      </w:pPr>
      <w:r>
        <w:rPr>
          <w:rFonts w:ascii="Arial" w:hAnsi="Arial" w:hint="cs"/>
          <w:rtl/>
        </w:rPr>
        <w:t>ב</w:t>
      </w:r>
      <w:hyperlink r:id="rId13" w:history="1">
        <w:r w:rsidR="0032634C" w:rsidRPr="0032634C">
          <w:rPr>
            <w:rStyle w:val="Hyperlink"/>
            <w:rFonts w:ascii="Arial" w:hAnsi="Arial" w:hint="eastAsia"/>
            <w:color w:val="0000FF"/>
            <w:rtl/>
          </w:rPr>
          <w:t>ת</w:t>
        </w:r>
        <w:r w:rsidR="0032634C" w:rsidRPr="0032634C">
          <w:rPr>
            <w:rStyle w:val="Hyperlink"/>
            <w:rFonts w:ascii="Arial" w:hAnsi="Arial"/>
            <w:color w:val="0000FF"/>
            <w:rtl/>
          </w:rPr>
          <w:t>"פ (נוער פ"ת) 58711-10-15</w:t>
        </w:r>
      </w:hyperlink>
      <w:r>
        <w:rPr>
          <w:rFonts w:ascii="Arial" w:hAnsi="Arial" w:hint="cs"/>
          <w:rtl/>
        </w:rPr>
        <w:t xml:space="preserve"> מיום 19.4.2016 גזר בית המשפט לנוער על הנאשם, בין היתר, מאסר על-תנאי בן 7 חודשים למשך שלוש שנים מיום שחרורו שלא יעבור </w:t>
      </w:r>
      <w:r w:rsidRPr="007708A5">
        <w:rPr>
          <w:rFonts w:ascii="Miriam" w:hAnsi="Miriam" w:cs="Miriam"/>
          <w:rtl/>
        </w:rPr>
        <w:t>"עבירות רכוש או אלימות מסוג פשע"</w:t>
      </w:r>
      <w:r>
        <w:rPr>
          <w:rFonts w:ascii="Arial" w:hAnsi="Arial" w:hint="cs"/>
          <w:rtl/>
        </w:rPr>
        <w:t>.</w:t>
      </w:r>
    </w:p>
    <w:p w14:paraId="5D0A92BD" w14:textId="77777777" w:rsidR="002F5400" w:rsidRDefault="002F5400" w:rsidP="002F5400">
      <w:pPr>
        <w:pStyle w:val="a9"/>
        <w:spacing w:line="360" w:lineRule="auto"/>
        <w:ind w:left="0"/>
        <w:jc w:val="both"/>
        <w:rPr>
          <w:rFonts w:ascii="Arial" w:hAnsi="Arial"/>
        </w:rPr>
      </w:pPr>
    </w:p>
    <w:p w14:paraId="79AC440F" w14:textId="77777777" w:rsidR="002F5400" w:rsidRDefault="002F5400" w:rsidP="002F5400">
      <w:pPr>
        <w:pStyle w:val="a9"/>
        <w:numPr>
          <w:ilvl w:val="0"/>
          <w:numId w:val="1"/>
        </w:numPr>
        <w:spacing w:line="360" w:lineRule="auto"/>
        <w:ind w:left="0" w:firstLine="0"/>
        <w:jc w:val="both"/>
        <w:rPr>
          <w:rFonts w:ascii="Arial" w:hAnsi="Arial"/>
        </w:rPr>
      </w:pPr>
      <w:r>
        <w:rPr>
          <w:rFonts w:ascii="Arial" w:hAnsi="Arial" w:hint="cs"/>
          <w:rtl/>
        </w:rPr>
        <w:t xml:space="preserve">את העבירות דכאן עבר הנאשם ביום 19.9.2017, זמן לא רב לאחר ששוחרר ממאסרו האחרון, כך שלא מתעוררת שאלה בנוגע לתחולת התנאי בתוך התקופה שנקבעה. </w:t>
      </w:r>
    </w:p>
    <w:p w14:paraId="60BBE6C3" w14:textId="77777777" w:rsidR="002F5400" w:rsidRPr="004F61AE" w:rsidRDefault="002F5400" w:rsidP="002F5400">
      <w:pPr>
        <w:pStyle w:val="a9"/>
        <w:rPr>
          <w:rFonts w:ascii="Arial" w:hAnsi="Arial"/>
          <w:rtl/>
        </w:rPr>
      </w:pPr>
    </w:p>
    <w:p w14:paraId="2390B5A9" w14:textId="77777777" w:rsidR="002F5400" w:rsidRDefault="002F5400" w:rsidP="002F5400">
      <w:pPr>
        <w:pStyle w:val="a9"/>
        <w:spacing w:line="360" w:lineRule="auto"/>
        <w:ind w:left="0" w:firstLine="720"/>
        <w:jc w:val="both"/>
        <w:rPr>
          <w:rFonts w:ascii="Arial" w:hAnsi="Arial"/>
        </w:rPr>
      </w:pPr>
      <w:r>
        <w:rPr>
          <w:rFonts w:ascii="Arial" w:hAnsi="Arial" w:hint="cs"/>
          <w:rtl/>
        </w:rPr>
        <w:t xml:space="preserve">השאלה היא האם העבירות של החזקת נשק, לפי </w:t>
      </w:r>
      <w:hyperlink r:id="rId14" w:history="1">
        <w:r w:rsidR="00934432" w:rsidRPr="00934432">
          <w:rPr>
            <w:rFonts w:ascii="Arial" w:hAnsi="Arial"/>
            <w:color w:val="0000FF"/>
            <w:u w:val="single"/>
            <w:rtl/>
          </w:rPr>
          <w:t>סעיף 144(א)</w:t>
        </w:r>
      </w:hyperlink>
      <w:r>
        <w:rPr>
          <w:rFonts w:ascii="Arial" w:hAnsi="Arial" w:hint="cs"/>
          <w:rtl/>
        </w:rPr>
        <w:t xml:space="preserve"> ל</w:t>
      </w:r>
      <w:hyperlink r:id="rId15" w:history="1">
        <w:r w:rsidR="0032634C" w:rsidRPr="0032634C">
          <w:rPr>
            <w:rStyle w:val="Hyperlink"/>
            <w:rFonts w:ascii="Arial" w:hAnsi="Arial" w:hint="eastAsia"/>
            <w:color w:val="0000FF"/>
            <w:rtl/>
          </w:rPr>
          <w:t>חוק</w:t>
        </w:r>
        <w:r w:rsidR="0032634C" w:rsidRPr="0032634C">
          <w:rPr>
            <w:rStyle w:val="Hyperlink"/>
            <w:rFonts w:ascii="Arial" w:hAnsi="Arial"/>
            <w:color w:val="0000FF"/>
            <w:rtl/>
          </w:rPr>
          <w:t xml:space="preserve"> העונשין</w:t>
        </w:r>
      </w:hyperlink>
      <w:r>
        <w:rPr>
          <w:rFonts w:ascii="Arial" w:hAnsi="Arial" w:hint="cs"/>
          <w:rtl/>
        </w:rPr>
        <w:t>, התשל"ז-1977, בנסיבות בהן בוצעו, מפעילות את התנאי.</w:t>
      </w:r>
    </w:p>
    <w:p w14:paraId="0195E0AD" w14:textId="77777777" w:rsidR="002F5400" w:rsidRPr="007708A5" w:rsidRDefault="002F5400" w:rsidP="002F5400">
      <w:pPr>
        <w:pStyle w:val="a9"/>
        <w:rPr>
          <w:rFonts w:ascii="Arial" w:hAnsi="Arial"/>
          <w:rtl/>
        </w:rPr>
      </w:pPr>
    </w:p>
    <w:p w14:paraId="6DD8FCE0" w14:textId="77777777" w:rsidR="002F5400" w:rsidRDefault="002F5400" w:rsidP="002F5400">
      <w:pPr>
        <w:pStyle w:val="a9"/>
        <w:numPr>
          <w:ilvl w:val="0"/>
          <w:numId w:val="1"/>
        </w:numPr>
        <w:spacing w:line="360" w:lineRule="auto"/>
        <w:ind w:left="0" w:firstLine="0"/>
        <w:jc w:val="both"/>
        <w:rPr>
          <w:rFonts w:ascii="Arial" w:hAnsi="Arial"/>
        </w:rPr>
      </w:pPr>
      <w:r>
        <w:rPr>
          <w:rFonts w:ascii="Arial" w:hAnsi="Arial" w:hint="cs"/>
          <w:rtl/>
        </w:rPr>
        <w:t>הלכה היא כי המבחן להפעלת עונש מאסר על תנאי התלוי ועומד נגד נאשם אינו טכני-פורמלי אלא ענייני-מהותי, ואם התנהגותו הפלילית של נאשם בגינה הוא הורשע מקיימת באורח מהותי ולאו דווקא טכני את עיקריה של עבירת התנאי, כי אז יש מקום להפעלת התנאי גם אם אין זהות מוחלטת בין יסודות עבירת התנאי והעבירה הנוספת [</w:t>
      </w:r>
      <w:hyperlink r:id="rId16" w:history="1">
        <w:r w:rsidR="0032634C" w:rsidRPr="0032634C">
          <w:rPr>
            <w:rStyle w:val="Hyperlink"/>
            <w:rFonts w:ascii="Arial" w:hAnsi="Arial" w:hint="eastAsia"/>
            <w:color w:val="0000FF"/>
            <w:rtl/>
          </w:rPr>
          <w:t>ע</w:t>
        </w:r>
        <w:r w:rsidR="0032634C" w:rsidRPr="0032634C">
          <w:rPr>
            <w:rStyle w:val="Hyperlink"/>
            <w:rFonts w:ascii="Arial" w:hAnsi="Arial"/>
            <w:color w:val="0000FF"/>
            <w:rtl/>
          </w:rPr>
          <w:t>"פ 308/06</w:t>
        </w:r>
      </w:hyperlink>
      <w:r>
        <w:rPr>
          <w:rFonts w:ascii="Arial" w:hAnsi="Arial" w:hint="cs"/>
          <w:rtl/>
        </w:rPr>
        <w:t xml:space="preserve"> </w:t>
      </w:r>
      <w:r>
        <w:rPr>
          <w:rFonts w:ascii="Arial" w:hAnsi="Arial" w:hint="cs"/>
          <w:b/>
          <w:bCs/>
          <w:rtl/>
        </w:rPr>
        <w:t>מדינת ישראל נ' סבן</w:t>
      </w:r>
      <w:r>
        <w:rPr>
          <w:rFonts w:ascii="Arial" w:hAnsi="Arial" w:hint="cs"/>
          <w:rtl/>
        </w:rPr>
        <w:t xml:space="preserve"> (15.5.2006); </w:t>
      </w:r>
      <w:hyperlink r:id="rId17" w:history="1">
        <w:r w:rsidR="0032634C" w:rsidRPr="0032634C">
          <w:rPr>
            <w:rStyle w:val="Hyperlink"/>
            <w:rFonts w:ascii="Arial" w:hAnsi="Arial" w:hint="eastAsia"/>
            <w:color w:val="0000FF"/>
            <w:rtl/>
          </w:rPr>
          <w:t>ע</w:t>
        </w:r>
        <w:r w:rsidR="0032634C" w:rsidRPr="0032634C">
          <w:rPr>
            <w:rStyle w:val="Hyperlink"/>
            <w:rFonts w:ascii="Arial" w:hAnsi="Arial"/>
            <w:color w:val="0000FF"/>
            <w:rtl/>
          </w:rPr>
          <w:t>"פ 1867/00 מדינת ישראל נ' גוטמן, פ"ד נד</w:t>
        </w:r>
      </w:hyperlink>
      <w:r>
        <w:rPr>
          <w:rFonts w:ascii="Arial" w:hAnsi="Arial" w:hint="cs"/>
          <w:rtl/>
        </w:rPr>
        <w:t xml:space="preserve">(3) 145, פסקה 4 (2000); </w:t>
      </w:r>
      <w:hyperlink r:id="rId18" w:history="1">
        <w:r w:rsidR="0032634C" w:rsidRPr="0032634C">
          <w:rPr>
            <w:rStyle w:val="Hyperlink"/>
            <w:rFonts w:ascii="Arial" w:hAnsi="Arial" w:hint="eastAsia"/>
            <w:color w:val="0000FF"/>
            <w:rtl/>
          </w:rPr>
          <w:t>רע</w:t>
        </w:r>
        <w:r w:rsidR="0032634C" w:rsidRPr="0032634C">
          <w:rPr>
            <w:rStyle w:val="Hyperlink"/>
            <w:rFonts w:ascii="Arial" w:hAnsi="Arial"/>
            <w:color w:val="0000FF"/>
            <w:rtl/>
          </w:rPr>
          <w:t>"פ 5798/00 ריזי נ' מדינת ישראל, פ"ד נה</w:t>
        </w:r>
      </w:hyperlink>
      <w:r>
        <w:rPr>
          <w:rFonts w:ascii="Arial" w:hAnsi="Arial" w:hint="cs"/>
          <w:rtl/>
        </w:rPr>
        <w:t xml:space="preserve">(3) 1 (2001); </w:t>
      </w:r>
      <w:hyperlink r:id="rId19" w:history="1">
        <w:r w:rsidR="0032634C" w:rsidRPr="0032634C">
          <w:rPr>
            <w:rStyle w:val="Hyperlink"/>
            <w:rFonts w:ascii="Arial" w:hAnsi="Arial" w:hint="eastAsia"/>
            <w:color w:val="0000FF"/>
            <w:rtl/>
          </w:rPr>
          <w:t>ע</w:t>
        </w:r>
        <w:r w:rsidR="0032634C" w:rsidRPr="0032634C">
          <w:rPr>
            <w:rStyle w:val="Hyperlink"/>
            <w:rFonts w:ascii="Arial" w:hAnsi="Arial"/>
            <w:color w:val="0000FF"/>
            <w:rtl/>
          </w:rPr>
          <w:t>"פ 1894/14</w:t>
        </w:r>
      </w:hyperlink>
      <w:r>
        <w:rPr>
          <w:rFonts w:ascii="Arial" w:hAnsi="Arial" w:hint="cs"/>
          <w:rtl/>
        </w:rPr>
        <w:t xml:space="preserve"> </w:t>
      </w:r>
      <w:r>
        <w:rPr>
          <w:rFonts w:ascii="Arial" w:hAnsi="Arial" w:hint="cs"/>
          <w:b/>
          <w:bCs/>
          <w:rtl/>
        </w:rPr>
        <w:t>צ'אקול נ' מדינת ישראל</w:t>
      </w:r>
      <w:r>
        <w:rPr>
          <w:rFonts w:ascii="Arial" w:hAnsi="Arial" w:hint="cs"/>
          <w:rtl/>
        </w:rPr>
        <w:t xml:space="preserve"> (13.1.2015)].</w:t>
      </w:r>
    </w:p>
    <w:p w14:paraId="386A07C6" w14:textId="77777777" w:rsidR="002F5400" w:rsidRPr="00C5091E" w:rsidRDefault="002F5400" w:rsidP="002F5400">
      <w:pPr>
        <w:pStyle w:val="a9"/>
        <w:rPr>
          <w:rFonts w:ascii="Arial" w:hAnsi="Arial"/>
          <w:rtl/>
        </w:rPr>
      </w:pPr>
    </w:p>
    <w:p w14:paraId="56B9199C" w14:textId="77777777" w:rsidR="002F5400" w:rsidRDefault="002F5400" w:rsidP="002F5400">
      <w:pPr>
        <w:pStyle w:val="a9"/>
        <w:numPr>
          <w:ilvl w:val="0"/>
          <w:numId w:val="1"/>
        </w:numPr>
        <w:spacing w:line="360" w:lineRule="auto"/>
        <w:ind w:left="0" w:firstLine="0"/>
        <w:jc w:val="both"/>
        <w:rPr>
          <w:rFonts w:ascii="Arial" w:hAnsi="Arial"/>
        </w:rPr>
      </w:pPr>
      <w:r>
        <w:rPr>
          <w:rFonts w:ascii="Arial" w:hAnsi="Arial" w:hint="cs"/>
          <w:rtl/>
        </w:rPr>
        <w:t xml:space="preserve">עבירת תנאי מן הסוג בו עסקינן ("כל עבירת אלימות") נדונה לא אחת בפסיקת בתי המשפט. הפעלת המבחן המהותי הובילה במקרים רבים לכך שעבירות שבמבט ראשון אינן כוללות רכיב של אלימות הפעילו עבירות תנאי מן הסוג הנדון. </w:t>
      </w:r>
    </w:p>
    <w:p w14:paraId="161857FB" w14:textId="77777777" w:rsidR="002F5400" w:rsidRPr="0019317A" w:rsidRDefault="002F5400" w:rsidP="002F5400">
      <w:pPr>
        <w:pStyle w:val="a9"/>
        <w:rPr>
          <w:rFonts w:ascii="Arial" w:hAnsi="Arial"/>
          <w:rtl/>
        </w:rPr>
      </w:pPr>
    </w:p>
    <w:p w14:paraId="3EF3F7A6" w14:textId="77777777" w:rsidR="002F5400" w:rsidRDefault="002F5400" w:rsidP="002F5400">
      <w:pPr>
        <w:pStyle w:val="a9"/>
        <w:spacing w:line="360" w:lineRule="auto"/>
        <w:ind w:left="0" w:firstLine="720"/>
        <w:jc w:val="both"/>
        <w:rPr>
          <w:rFonts w:ascii="Arial" w:hAnsi="Arial"/>
          <w:rtl/>
        </w:rPr>
      </w:pPr>
      <w:r>
        <w:rPr>
          <w:rFonts w:ascii="Arial" w:hAnsi="Arial" w:hint="cs"/>
          <w:rtl/>
        </w:rPr>
        <w:t>כך, למשל, ב</w:t>
      </w:r>
      <w:hyperlink r:id="rId20" w:history="1">
        <w:r w:rsidR="0032634C" w:rsidRPr="0032634C">
          <w:rPr>
            <w:rStyle w:val="Hyperlink"/>
            <w:rFonts w:ascii="Arial" w:hAnsi="Arial" w:hint="eastAsia"/>
            <w:color w:val="0000FF"/>
            <w:rtl/>
          </w:rPr>
          <w:t>ע</w:t>
        </w:r>
        <w:r w:rsidR="0032634C" w:rsidRPr="0032634C">
          <w:rPr>
            <w:rStyle w:val="Hyperlink"/>
            <w:rFonts w:ascii="Arial" w:hAnsi="Arial"/>
            <w:color w:val="0000FF"/>
            <w:rtl/>
          </w:rPr>
          <w:t>"פ 308/06</w:t>
        </w:r>
      </w:hyperlink>
      <w:r>
        <w:rPr>
          <w:rFonts w:ascii="Arial" w:hAnsi="Arial" w:hint="cs"/>
          <w:rtl/>
        </w:rPr>
        <w:t>, לעיל, נקבע כי עבירה נוספת של סיכון חיי אדם בנתיב תחבורה מפעילה עבירת תנאי של "עבירת אלימות". ב</w:t>
      </w:r>
      <w:hyperlink r:id="rId21" w:history="1">
        <w:r w:rsidR="0032634C" w:rsidRPr="0032634C">
          <w:rPr>
            <w:rStyle w:val="Hyperlink"/>
            <w:rFonts w:ascii="Arial" w:hAnsi="Arial" w:hint="eastAsia"/>
            <w:color w:val="0000FF"/>
            <w:rtl/>
          </w:rPr>
          <w:t>רע</w:t>
        </w:r>
        <w:r w:rsidR="0032634C" w:rsidRPr="0032634C">
          <w:rPr>
            <w:rStyle w:val="Hyperlink"/>
            <w:rFonts w:ascii="Arial" w:hAnsi="Arial"/>
            <w:color w:val="0000FF"/>
            <w:rtl/>
          </w:rPr>
          <w:t>"פ 6352/12</w:t>
        </w:r>
      </w:hyperlink>
      <w:r>
        <w:rPr>
          <w:rFonts w:ascii="Arial" w:hAnsi="Arial" w:hint="cs"/>
          <w:rtl/>
        </w:rPr>
        <w:t xml:space="preserve"> </w:t>
      </w:r>
      <w:r>
        <w:rPr>
          <w:rFonts w:ascii="Arial" w:hAnsi="Arial" w:hint="cs"/>
          <w:b/>
          <w:bCs/>
          <w:rtl/>
        </w:rPr>
        <w:t>סעדה נ' מדינת ישראל</w:t>
      </w:r>
      <w:r>
        <w:rPr>
          <w:rFonts w:ascii="Arial" w:hAnsi="Arial" w:hint="cs"/>
          <w:rtl/>
        </w:rPr>
        <w:t xml:space="preserve"> (23.9.2012) הביע בית המשפט העליון את דעתו, במסגרת דחיית בקשת רשות לערער, כי עבירה נוספת מסוג של היזק במזיד לרכב מפעילה עבירת תנאי של "עבירות אלימות" וב</w:t>
      </w:r>
      <w:hyperlink r:id="rId22" w:history="1">
        <w:r w:rsidR="0032634C" w:rsidRPr="0032634C">
          <w:rPr>
            <w:rStyle w:val="Hyperlink"/>
            <w:rFonts w:ascii="Arial" w:hAnsi="Arial" w:hint="eastAsia"/>
            <w:color w:val="0000FF"/>
            <w:rtl/>
          </w:rPr>
          <w:t>ע</w:t>
        </w:r>
        <w:r w:rsidR="0032634C" w:rsidRPr="0032634C">
          <w:rPr>
            <w:rStyle w:val="Hyperlink"/>
            <w:rFonts w:ascii="Arial" w:hAnsi="Arial"/>
            <w:color w:val="0000FF"/>
            <w:rtl/>
          </w:rPr>
          <w:t>"פ 1894/14</w:t>
        </w:r>
      </w:hyperlink>
      <w:r>
        <w:rPr>
          <w:rFonts w:ascii="Arial" w:hAnsi="Arial" w:hint="cs"/>
          <w:rtl/>
        </w:rPr>
        <w:t>, לעיל, אף נקבע כי עבירה של נהיגה תחת השפעת משקאות משכרים מפעילה עבירת תנאי מסוג זה.</w:t>
      </w:r>
    </w:p>
    <w:p w14:paraId="30706F60" w14:textId="77777777" w:rsidR="002F5400" w:rsidRDefault="002F5400" w:rsidP="002F5400">
      <w:pPr>
        <w:pStyle w:val="a9"/>
        <w:spacing w:line="360" w:lineRule="auto"/>
        <w:ind w:left="0" w:firstLine="720"/>
        <w:jc w:val="both"/>
        <w:rPr>
          <w:rFonts w:ascii="Arial" w:hAnsi="Arial"/>
          <w:rtl/>
        </w:rPr>
      </w:pPr>
    </w:p>
    <w:p w14:paraId="646D8812" w14:textId="77777777" w:rsidR="002F5400" w:rsidRDefault="002F5400" w:rsidP="002F5400">
      <w:pPr>
        <w:pStyle w:val="a9"/>
        <w:spacing w:line="360" w:lineRule="auto"/>
        <w:ind w:left="0" w:firstLine="720"/>
        <w:jc w:val="both"/>
        <w:rPr>
          <w:rFonts w:ascii="Arial" w:hAnsi="Arial"/>
          <w:rtl/>
        </w:rPr>
      </w:pPr>
      <w:r>
        <w:rPr>
          <w:rFonts w:ascii="Arial" w:hAnsi="Arial" w:hint="cs"/>
          <w:rtl/>
        </w:rPr>
        <w:t xml:space="preserve">בעפ"ג (מרכז-לוד) </w:t>
      </w:r>
      <w:hyperlink r:id="rId23" w:history="1">
        <w:r w:rsidR="004042B8" w:rsidRPr="004042B8">
          <w:rPr>
            <w:rFonts w:ascii="Arial" w:hAnsi="Arial"/>
            <w:color w:val="0000FF"/>
            <w:u w:val="single"/>
            <w:rtl/>
          </w:rPr>
          <w:t xml:space="preserve">7062-04-18 </w:t>
        </w:r>
      </w:hyperlink>
      <w:r>
        <w:rPr>
          <w:rFonts w:ascii="Arial" w:hAnsi="Arial" w:hint="cs"/>
          <w:rtl/>
        </w:rPr>
        <w:t xml:space="preserve"> </w:t>
      </w:r>
      <w:r>
        <w:rPr>
          <w:rFonts w:ascii="Arial" w:hAnsi="Arial" w:hint="cs"/>
          <w:b/>
          <w:bCs/>
          <w:rtl/>
        </w:rPr>
        <w:t>איאסו ואח' נ' מדינת ישראל</w:t>
      </w:r>
      <w:r>
        <w:rPr>
          <w:rFonts w:ascii="Arial" w:hAnsi="Arial" w:hint="cs"/>
          <w:rtl/>
        </w:rPr>
        <w:t xml:space="preserve"> (7.5.2018) הפך בית המשפט המחוזי את קביעת בית משפט השלום ברחובות במקרה דומה מאוד לענייננו, בו נעברה עבירה של החזקת נשק בתקופה בה עמד בתוקף מאסר על תנאי ב"עבירת אלימות". בית משפט השלום קבע כי עבירת החזקת הנשק אינה מפעילה את התנאי. בית המשפט המחוזי הפך כאמור קביעה זו בציינו כי אדם המחזיק בידו, ללא רישיון, נשק בעל פוטנציאל קטילה כשהוא טעון ומוכן לירי, חייב לצפות כי תנאי שחל על עבירה שיש בה יסוד של אלימות יחול גם על עבירה של החזקת נשק. בקשת רשות לערער שהוגשה על פסק דין זה של בית המשפט המחוזי מרכז-לוד </w:t>
      </w:r>
      <w:r>
        <w:rPr>
          <w:rFonts w:ascii="Arial" w:hAnsi="Arial"/>
          <w:rtl/>
        </w:rPr>
        <w:t>–</w:t>
      </w:r>
      <w:r>
        <w:rPr>
          <w:rFonts w:ascii="Arial" w:hAnsi="Arial" w:hint="cs"/>
          <w:rtl/>
        </w:rPr>
        <w:t xml:space="preserve"> נדחתה [</w:t>
      </w:r>
      <w:hyperlink r:id="rId24" w:history="1">
        <w:r w:rsidR="0032634C" w:rsidRPr="0032634C">
          <w:rPr>
            <w:rStyle w:val="Hyperlink"/>
            <w:rFonts w:ascii="Arial" w:hAnsi="Arial" w:hint="eastAsia"/>
            <w:color w:val="0000FF"/>
            <w:rtl/>
          </w:rPr>
          <w:t>רע</w:t>
        </w:r>
        <w:r w:rsidR="0032634C" w:rsidRPr="0032634C">
          <w:rPr>
            <w:rStyle w:val="Hyperlink"/>
            <w:rFonts w:ascii="Arial" w:hAnsi="Arial"/>
            <w:color w:val="0000FF"/>
            <w:rtl/>
          </w:rPr>
          <w:t>"פ 4065/18</w:t>
        </w:r>
      </w:hyperlink>
      <w:r>
        <w:rPr>
          <w:rFonts w:ascii="Arial" w:hAnsi="Arial" w:hint="cs"/>
          <w:rtl/>
        </w:rPr>
        <w:t xml:space="preserve"> </w:t>
      </w:r>
      <w:r>
        <w:rPr>
          <w:rFonts w:ascii="Arial" w:hAnsi="Arial" w:hint="cs"/>
          <w:b/>
          <w:bCs/>
          <w:rtl/>
        </w:rPr>
        <w:t>איאסו נ' מדינת ישראל</w:t>
      </w:r>
      <w:r>
        <w:rPr>
          <w:rFonts w:ascii="Arial" w:hAnsi="Arial" w:hint="cs"/>
          <w:rtl/>
        </w:rPr>
        <w:t xml:space="preserve"> (30.8.2018)], ובית המשפט העליון ציין, אמנם למעלה מן הצורך, שמעשה של החזקת נשק כשהוא טעון ומוכן לירי, כולל יסוד של אלימות.</w:t>
      </w:r>
    </w:p>
    <w:p w14:paraId="5909FE58" w14:textId="77777777" w:rsidR="002F5400" w:rsidRDefault="002F5400" w:rsidP="002F5400">
      <w:pPr>
        <w:pStyle w:val="a9"/>
        <w:spacing w:line="360" w:lineRule="auto"/>
        <w:ind w:left="0" w:firstLine="720"/>
        <w:jc w:val="both"/>
        <w:rPr>
          <w:rFonts w:ascii="Arial" w:hAnsi="Arial"/>
          <w:rtl/>
        </w:rPr>
      </w:pPr>
    </w:p>
    <w:p w14:paraId="6F6F4DB5" w14:textId="77777777" w:rsidR="002F5400" w:rsidRDefault="002F5400" w:rsidP="002F5400">
      <w:pPr>
        <w:pStyle w:val="a9"/>
        <w:numPr>
          <w:ilvl w:val="0"/>
          <w:numId w:val="1"/>
        </w:numPr>
        <w:spacing w:line="360" w:lineRule="auto"/>
        <w:ind w:left="0" w:firstLine="0"/>
        <w:jc w:val="both"/>
        <w:rPr>
          <w:rFonts w:ascii="Arial" w:hAnsi="Arial"/>
        </w:rPr>
      </w:pPr>
      <w:r>
        <w:rPr>
          <w:rFonts w:ascii="Arial" w:hAnsi="Arial" w:hint="cs"/>
          <w:rtl/>
        </w:rPr>
        <w:t xml:space="preserve">פסקי הדין של בית המשפט המחוזיים מהווים הלכה מנחה כלפי בתי משפט השלום, ונוכח המגמה הברורה של פרשנות מרחיבה למימד האלימות הנכלל במקרים רבים בעבירות תנאי </w:t>
      </w:r>
      <w:r>
        <w:rPr>
          <w:rFonts w:ascii="Arial" w:hAnsi="Arial"/>
          <w:rtl/>
        </w:rPr>
        <w:t>–</w:t>
      </w:r>
      <w:r>
        <w:rPr>
          <w:rFonts w:ascii="Arial" w:hAnsi="Arial" w:hint="cs"/>
          <w:rtl/>
        </w:rPr>
        <w:t xml:space="preserve"> לא מצאתי הצדק לסטות מפסק דינו של בית המשפט המחוזי בעפ"ג (מרכז-לוד) 7062-04-18 הנזכר לעיל. העובדה כי הנשק הוחזק בביתו של אחר אינה מפקיעה את הגיונו של פסק הדין, כפי שטען ב"כ הנאשם.</w:t>
      </w:r>
    </w:p>
    <w:p w14:paraId="1C050D7F" w14:textId="77777777" w:rsidR="002F5400" w:rsidRDefault="002F5400" w:rsidP="002F5400">
      <w:pPr>
        <w:pStyle w:val="a9"/>
        <w:spacing w:line="360" w:lineRule="auto"/>
        <w:ind w:left="0"/>
        <w:jc w:val="both"/>
        <w:rPr>
          <w:rFonts w:ascii="Arial" w:hAnsi="Arial"/>
        </w:rPr>
      </w:pPr>
    </w:p>
    <w:p w14:paraId="08E3749E" w14:textId="77777777" w:rsidR="002F5400" w:rsidRDefault="002F5400" w:rsidP="002F5400">
      <w:pPr>
        <w:pStyle w:val="a9"/>
        <w:numPr>
          <w:ilvl w:val="0"/>
          <w:numId w:val="1"/>
        </w:numPr>
        <w:spacing w:line="360" w:lineRule="auto"/>
        <w:ind w:left="0" w:firstLine="0"/>
        <w:jc w:val="both"/>
        <w:rPr>
          <w:rFonts w:ascii="Arial" w:hAnsi="Arial"/>
        </w:rPr>
      </w:pPr>
      <w:r>
        <w:rPr>
          <w:rFonts w:ascii="Arial" w:hAnsi="Arial" w:hint="cs"/>
          <w:rtl/>
        </w:rPr>
        <w:t>הנה כי כן, המאסר על-תנאי בו עסקינן ניתן להפעלה בענייננו.</w:t>
      </w:r>
    </w:p>
    <w:p w14:paraId="18FD7CB6" w14:textId="77777777" w:rsidR="002F5400" w:rsidRPr="004F61AE" w:rsidRDefault="002F5400" w:rsidP="002F5400">
      <w:pPr>
        <w:pStyle w:val="a9"/>
        <w:rPr>
          <w:rFonts w:ascii="Arial" w:hAnsi="Arial"/>
          <w:rtl/>
        </w:rPr>
      </w:pPr>
    </w:p>
    <w:p w14:paraId="4FA60525" w14:textId="77777777" w:rsidR="002F5400" w:rsidRDefault="002F5400" w:rsidP="002F5400">
      <w:pPr>
        <w:pStyle w:val="a9"/>
        <w:spacing w:line="360" w:lineRule="auto"/>
        <w:ind w:left="0"/>
        <w:jc w:val="both"/>
        <w:rPr>
          <w:rFonts w:ascii="Arial" w:hAnsi="Arial"/>
          <w:rtl/>
        </w:rPr>
      </w:pPr>
      <w:r>
        <w:rPr>
          <w:rFonts w:ascii="Arial" w:hAnsi="Arial" w:hint="cs"/>
          <w:u w:val="single"/>
          <w:rtl/>
        </w:rPr>
        <w:t>גזירת העונש</w:t>
      </w:r>
    </w:p>
    <w:p w14:paraId="2F202AAB" w14:textId="77777777" w:rsidR="002F5400" w:rsidRDefault="002F5400" w:rsidP="002F5400">
      <w:pPr>
        <w:pStyle w:val="a9"/>
        <w:numPr>
          <w:ilvl w:val="0"/>
          <w:numId w:val="1"/>
        </w:numPr>
        <w:spacing w:line="360" w:lineRule="auto"/>
        <w:ind w:left="0" w:firstLine="0"/>
        <w:jc w:val="both"/>
        <w:rPr>
          <w:rFonts w:ascii="Arial" w:hAnsi="Arial"/>
        </w:rPr>
      </w:pPr>
      <w:r>
        <w:rPr>
          <w:rFonts w:ascii="Arial" w:hAnsi="Arial" w:hint="cs"/>
          <w:rtl/>
        </w:rPr>
        <w:t>התסקיר שהוגש אודות הנאשם אינו מותיר, לדאבון הלב, פתח לשיקום. אשר על כן מן הראוי לגזור את עונשו של הנאשם בתוך מתחם העונש ההולם.</w:t>
      </w:r>
    </w:p>
    <w:p w14:paraId="0011ADE1" w14:textId="77777777" w:rsidR="002F5400" w:rsidRDefault="002F5400" w:rsidP="002F5400">
      <w:pPr>
        <w:pStyle w:val="a9"/>
        <w:spacing w:line="360" w:lineRule="auto"/>
        <w:ind w:left="0"/>
        <w:jc w:val="both"/>
        <w:rPr>
          <w:rFonts w:ascii="Arial" w:hAnsi="Arial"/>
        </w:rPr>
      </w:pPr>
    </w:p>
    <w:p w14:paraId="4148365A" w14:textId="77777777" w:rsidR="002F5400" w:rsidRDefault="002F5400" w:rsidP="002F5400">
      <w:pPr>
        <w:pStyle w:val="a9"/>
        <w:numPr>
          <w:ilvl w:val="0"/>
          <w:numId w:val="1"/>
        </w:numPr>
        <w:spacing w:line="360" w:lineRule="auto"/>
        <w:ind w:left="0" w:firstLine="0"/>
        <w:jc w:val="both"/>
        <w:rPr>
          <w:rFonts w:ascii="Arial" w:hAnsi="Arial"/>
        </w:rPr>
      </w:pPr>
      <w:r>
        <w:rPr>
          <w:rFonts w:ascii="Arial" w:hAnsi="Arial" w:hint="cs"/>
          <w:rtl/>
        </w:rPr>
        <w:t>הנאשם צעיר לימים, עוד לא בן 21. את העבירה ביצע כשטרם מלאו לו 20. הנאשם נתון במעצר מיום האירוע, יותר משנה. נסיבותיו האישיות של נאשם זה אומללות מאוד. עניין לנו במי שנשר מבית הספר בגיל 13 ולא השלים את חוק לימודיו. הוא אינו יודע קרוא וכתוב. מגיל צעיר חבר הנאשם לחברה שולית והסתבך בביצוע עבירות. כנער כבר ריצה עונשי מאסר. ניכרת הסלמה בסוגי העבירות שהנאשם מבצע, וכאמור לעיל שירות המבחן סבור כי קיימת רמת סיכון גבוהה להישנות התנהגות אלימה מצד הנאשם שחומרתה צפויה אף היא להיות גבוהה.</w:t>
      </w:r>
    </w:p>
    <w:p w14:paraId="0A59FB95" w14:textId="77777777" w:rsidR="002F5400" w:rsidRPr="00BD1357" w:rsidRDefault="002F5400" w:rsidP="002F5400">
      <w:pPr>
        <w:pStyle w:val="a9"/>
        <w:rPr>
          <w:rFonts w:ascii="Arial" w:hAnsi="Arial"/>
          <w:rtl/>
        </w:rPr>
      </w:pPr>
    </w:p>
    <w:p w14:paraId="39153EEC" w14:textId="77777777" w:rsidR="002F5400" w:rsidRDefault="002F5400" w:rsidP="002F5400">
      <w:pPr>
        <w:pStyle w:val="a9"/>
        <w:numPr>
          <w:ilvl w:val="0"/>
          <w:numId w:val="1"/>
        </w:numPr>
        <w:spacing w:line="360" w:lineRule="auto"/>
        <w:ind w:left="0" w:firstLine="0"/>
        <w:jc w:val="both"/>
        <w:rPr>
          <w:rFonts w:ascii="Arial" w:hAnsi="Arial"/>
        </w:rPr>
      </w:pPr>
      <w:r>
        <w:rPr>
          <w:rFonts w:ascii="Arial" w:hAnsi="Arial" w:hint="cs"/>
          <w:rtl/>
        </w:rPr>
        <w:t>אף על פי כן, ראיתי לגזור על הנאשם עונש קרוב לתחתית מתחם העונש ההולם שקבעתי. כך החלטתי לעשות בשל גילו הצעיר עד מאוד של הנאשם בעת ביצוע העבירה וכיום ועל מנת להותיר לו פתח לשיקום. לו עמד לפניי נאשם מבוגר יותר הייתי נותן משקל מלא לעברו הפלילי ולמסוכנות הנשקפת מפניו במסגרת גזירת הדין.</w:t>
      </w:r>
    </w:p>
    <w:p w14:paraId="7F1BBB9F" w14:textId="77777777" w:rsidR="002F5400" w:rsidRPr="00734654" w:rsidRDefault="002F5400" w:rsidP="002F5400">
      <w:pPr>
        <w:pStyle w:val="a9"/>
        <w:rPr>
          <w:rFonts w:ascii="Arial" w:hAnsi="Arial"/>
          <w:rtl/>
        </w:rPr>
      </w:pPr>
    </w:p>
    <w:p w14:paraId="65F9C56F" w14:textId="77777777" w:rsidR="002F5400" w:rsidRDefault="002F5400" w:rsidP="002F5400">
      <w:pPr>
        <w:pStyle w:val="a9"/>
        <w:numPr>
          <w:ilvl w:val="0"/>
          <w:numId w:val="1"/>
        </w:numPr>
        <w:spacing w:line="360" w:lineRule="auto"/>
        <w:ind w:left="0" w:firstLine="0"/>
        <w:jc w:val="both"/>
        <w:rPr>
          <w:rFonts w:ascii="Arial" w:hAnsi="Arial"/>
        </w:rPr>
      </w:pPr>
      <w:r>
        <w:rPr>
          <w:rFonts w:ascii="Arial" w:hAnsi="Arial" w:hint="cs"/>
          <w:rtl/>
        </w:rPr>
        <w:t>שקלתי את כלל הנתונים הצריכים לעניין, ובכלל זה את הודאתו של הנאשם בהזדמנות הראשונה אשר חסכה בזמן שיפוטי, את גילו הצעיר עד מאוד של הנאשם, את מעצרו הממושך ואת השפעת עונש המאסר על מהלך חייו. מן העבר השני שקלתי גם את הצורך להרתיע את הרבים בסוג זה של עבירות ואף את הנאשם עצמו, והחלטתי לגזור על הנאשם את העונשים הבאים:</w:t>
      </w:r>
    </w:p>
    <w:p w14:paraId="3A182B23" w14:textId="77777777" w:rsidR="002F5400" w:rsidRPr="00734654" w:rsidRDefault="002F5400" w:rsidP="002F5400">
      <w:pPr>
        <w:pStyle w:val="a9"/>
        <w:rPr>
          <w:rFonts w:ascii="Arial" w:hAnsi="Arial"/>
          <w:rtl/>
        </w:rPr>
      </w:pPr>
    </w:p>
    <w:p w14:paraId="4C3BA233" w14:textId="77777777" w:rsidR="002F5400" w:rsidRDefault="002F5400" w:rsidP="002F5400">
      <w:pPr>
        <w:pStyle w:val="a9"/>
        <w:numPr>
          <w:ilvl w:val="0"/>
          <w:numId w:val="2"/>
        </w:numPr>
        <w:spacing w:line="360" w:lineRule="auto"/>
        <w:jc w:val="both"/>
        <w:rPr>
          <w:rFonts w:ascii="Arial" w:hAnsi="Arial"/>
        </w:rPr>
      </w:pPr>
      <w:r>
        <w:rPr>
          <w:rFonts w:ascii="Arial" w:hAnsi="Arial" w:hint="cs"/>
          <w:rtl/>
        </w:rPr>
        <w:t>מאסר בפועל בן 26 חודשים. אני מפעיל נגד הנאשם את המאסר על-תנאי בן 7 החודשים שגזר עליו בית המשפט לנוער בפתח תקווה ב</w:t>
      </w:r>
      <w:hyperlink r:id="rId25" w:history="1">
        <w:r w:rsidR="0032634C" w:rsidRPr="0032634C">
          <w:rPr>
            <w:rStyle w:val="Hyperlink"/>
            <w:rFonts w:ascii="Arial" w:hAnsi="Arial" w:hint="eastAsia"/>
            <w:color w:val="0000FF"/>
            <w:rtl/>
          </w:rPr>
          <w:t>ת</w:t>
        </w:r>
        <w:r w:rsidR="0032634C" w:rsidRPr="0032634C">
          <w:rPr>
            <w:rStyle w:val="Hyperlink"/>
            <w:rFonts w:ascii="Arial" w:hAnsi="Arial"/>
            <w:color w:val="0000FF"/>
            <w:rtl/>
          </w:rPr>
          <w:t>"פ 58711-10-15</w:t>
        </w:r>
      </w:hyperlink>
      <w:r>
        <w:rPr>
          <w:rFonts w:ascii="Arial" w:hAnsi="Arial" w:hint="cs"/>
          <w:rtl/>
        </w:rPr>
        <w:t xml:space="preserve"> ביום 19.4.2016, חלקו בחופף וחלקו במצטבר, כך שסך הכול ירצה הנאשם </w:t>
      </w:r>
      <w:r w:rsidRPr="006328E5">
        <w:rPr>
          <w:rFonts w:ascii="Arial" w:hAnsi="Arial" w:hint="cs"/>
          <w:b/>
          <w:bCs/>
          <w:rtl/>
        </w:rPr>
        <w:t xml:space="preserve">30 חודשי מאסר בפועל, החל ביום מעצרו </w:t>
      </w:r>
      <w:r w:rsidRPr="006328E5">
        <w:rPr>
          <w:rFonts w:ascii="Arial" w:hAnsi="Arial"/>
          <w:b/>
          <w:bCs/>
          <w:rtl/>
        </w:rPr>
        <w:t>–</w:t>
      </w:r>
      <w:r w:rsidRPr="006328E5">
        <w:rPr>
          <w:rFonts w:ascii="Arial" w:hAnsi="Arial" w:hint="cs"/>
          <w:b/>
          <w:bCs/>
          <w:rtl/>
        </w:rPr>
        <w:t xml:space="preserve"> 19.9.2017</w:t>
      </w:r>
      <w:r>
        <w:rPr>
          <w:rFonts w:ascii="Arial" w:hAnsi="Arial" w:hint="cs"/>
          <w:rtl/>
        </w:rPr>
        <w:t>.</w:t>
      </w:r>
    </w:p>
    <w:p w14:paraId="26CA591E" w14:textId="77777777" w:rsidR="002F5400" w:rsidRDefault="002F5400" w:rsidP="002F5400">
      <w:pPr>
        <w:pStyle w:val="a9"/>
        <w:spacing w:line="360" w:lineRule="auto"/>
        <w:jc w:val="both"/>
        <w:rPr>
          <w:rFonts w:ascii="Arial" w:hAnsi="Arial"/>
        </w:rPr>
      </w:pPr>
    </w:p>
    <w:p w14:paraId="3BC99E87" w14:textId="77777777" w:rsidR="002F5400" w:rsidRDefault="002F5400" w:rsidP="002F5400">
      <w:pPr>
        <w:pStyle w:val="a9"/>
        <w:numPr>
          <w:ilvl w:val="0"/>
          <w:numId w:val="2"/>
        </w:numPr>
        <w:spacing w:line="360" w:lineRule="auto"/>
        <w:jc w:val="both"/>
        <w:rPr>
          <w:rFonts w:ascii="Arial" w:hAnsi="Arial"/>
        </w:rPr>
      </w:pPr>
      <w:r>
        <w:rPr>
          <w:rFonts w:ascii="Arial" w:hAnsi="Arial" w:hint="cs"/>
          <w:rtl/>
        </w:rPr>
        <w:t>מאסר על תנאי בן 10 חודשים, והתנאי הוא כי בתקופה בת שלוש שנים מיום שחרורו לא יעבור הנאשם עבירה בה הורשע או עבירה בה נעשה שימוש בנשק.</w:t>
      </w:r>
    </w:p>
    <w:p w14:paraId="40D37796" w14:textId="77777777" w:rsidR="002F5400" w:rsidRPr="006328E5" w:rsidRDefault="002F5400" w:rsidP="002F5400">
      <w:pPr>
        <w:pStyle w:val="a9"/>
        <w:rPr>
          <w:rFonts w:ascii="Arial" w:hAnsi="Arial"/>
          <w:rtl/>
        </w:rPr>
      </w:pPr>
    </w:p>
    <w:p w14:paraId="0B9F8778" w14:textId="77777777" w:rsidR="002F5400" w:rsidRDefault="002F5400" w:rsidP="002F5400">
      <w:pPr>
        <w:pStyle w:val="a9"/>
        <w:numPr>
          <w:ilvl w:val="0"/>
          <w:numId w:val="2"/>
        </w:numPr>
        <w:spacing w:line="360" w:lineRule="auto"/>
        <w:jc w:val="both"/>
        <w:rPr>
          <w:rFonts w:ascii="Arial" w:hAnsi="Arial"/>
        </w:rPr>
      </w:pPr>
      <w:r>
        <w:rPr>
          <w:rFonts w:ascii="Arial" w:hAnsi="Arial" w:hint="cs"/>
          <w:rtl/>
        </w:rPr>
        <w:t>מאסר על תנאי בן 5 חודשים, והתנאי הוא כי בתקופה בת שלוש שנים מיום שחרורו לא יעבור הנאשם כל עבירת אלימות, זולת עבירות נשק.</w:t>
      </w:r>
    </w:p>
    <w:p w14:paraId="021CAF22" w14:textId="77777777" w:rsidR="002F5400" w:rsidRPr="006328E5" w:rsidRDefault="002F5400" w:rsidP="002F5400">
      <w:pPr>
        <w:pStyle w:val="a9"/>
        <w:rPr>
          <w:rFonts w:ascii="Arial" w:hAnsi="Arial"/>
          <w:rtl/>
        </w:rPr>
      </w:pPr>
    </w:p>
    <w:p w14:paraId="21776918" w14:textId="77777777" w:rsidR="002F5400" w:rsidRPr="004F61AE" w:rsidRDefault="002F5400" w:rsidP="002F5400">
      <w:pPr>
        <w:pStyle w:val="a9"/>
        <w:numPr>
          <w:ilvl w:val="0"/>
          <w:numId w:val="2"/>
        </w:numPr>
        <w:spacing w:line="360" w:lineRule="auto"/>
        <w:jc w:val="both"/>
        <w:rPr>
          <w:rFonts w:ascii="Arial" w:hAnsi="Arial"/>
          <w:rtl/>
        </w:rPr>
      </w:pPr>
      <w:r>
        <w:rPr>
          <w:rFonts w:ascii="Arial" w:hAnsi="Arial" w:hint="cs"/>
          <w:rtl/>
        </w:rPr>
        <w:t>קנס בסך 12,000 ₪ או חודשיים מאסר תמורתו. הקנס ישתלם ב-20 תשלומים חודשיים, שווים ורצופים, החל ביום 1.1.2019 ובכל אחד בחודש שלאחריו.</w:t>
      </w:r>
    </w:p>
    <w:p w14:paraId="7D078AF8" w14:textId="77777777" w:rsidR="002F5400" w:rsidRDefault="002F5400" w:rsidP="002F5400">
      <w:pPr>
        <w:rPr>
          <w:sz w:val="26"/>
          <w:szCs w:val="26"/>
          <w:rtl/>
        </w:rPr>
      </w:pPr>
    </w:p>
    <w:p w14:paraId="256B475A" w14:textId="77777777" w:rsidR="002F5400" w:rsidRDefault="002F5400" w:rsidP="002F5400">
      <w:pPr>
        <w:rPr>
          <w:b/>
          <w:bCs/>
          <w:sz w:val="26"/>
          <w:szCs w:val="26"/>
          <w:rtl/>
        </w:rPr>
      </w:pPr>
    </w:p>
    <w:p w14:paraId="1F9D19E5" w14:textId="77777777" w:rsidR="002F5400" w:rsidRPr="006328E5" w:rsidRDefault="002F5400" w:rsidP="002F5400">
      <w:pPr>
        <w:rPr>
          <w:b/>
          <w:bCs/>
          <w:sz w:val="26"/>
          <w:szCs w:val="26"/>
          <w:rtl/>
        </w:rPr>
      </w:pPr>
      <w:r>
        <w:rPr>
          <w:rFonts w:hint="cs"/>
          <w:b/>
          <w:bCs/>
          <w:sz w:val="26"/>
          <w:szCs w:val="26"/>
          <w:rtl/>
        </w:rPr>
        <w:t>זכות ערעור לבית המשפט המחוזי מרכז-לוד תוך 45 יום.</w:t>
      </w:r>
    </w:p>
    <w:p w14:paraId="68F723A1" w14:textId="77777777" w:rsidR="002F5400" w:rsidRPr="00D16BE6" w:rsidRDefault="002F5400" w:rsidP="002F5400">
      <w:pPr>
        <w:rPr>
          <w:sz w:val="26"/>
          <w:szCs w:val="26"/>
          <w:rtl/>
        </w:rPr>
      </w:pPr>
    </w:p>
    <w:p w14:paraId="6C1ED597" w14:textId="77777777" w:rsidR="002F5400" w:rsidRPr="0032634C" w:rsidRDefault="0032634C" w:rsidP="002F5400">
      <w:pPr>
        <w:rPr>
          <w:color w:val="FFFFFF"/>
          <w:sz w:val="2"/>
          <w:szCs w:val="2"/>
          <w:rtl/>
        </w:rPr>
      </w:pPr>
      <w:r w:rsidRPr="0032634C">
        <w:rPr>
          <w:color w:val="FFFFFF"/>
          <w:sz w:val="2"/>
          <w:szCs w:val="2"/>
          <w:rtl/>
        </w:rPr>
        <w:t>5129371</w:t>
      </w:r>
    </w:p>
    <w:p w14:paraId="75F4F697" w14:textId="77777777" w:rsidR="002F5400" w:rsidRPr="00D16BE6" w:rsidRDefault="0032634C" w:rsidP="002F5400">
      <w:pPr>
        <w:jc w:val="center"/>
      </w:pPr>
      <w:r w:rsidRPr="0032634C">
        <w:rPr>
          <w:b/>
          <w:bCs/>
          <w:color w:val="FFFFFF"/>
          <w:sz w:val="2"/>
          <w:szCs w:val="2"/>
          <w:rtl/>
        </w:rPr>
        <w:t>54678313</w:t>
      </w:r>
      <w:r>
        <w:rPr>
          <w:b/>
          <w:bCs/>
          <w:rtl/>
        </w:rPr>
        <w:t xml:space="preserve">ניתנה והודעה היום כ' כסלו תשע"ט, 28/11/2018 במעמד הנוכחים </w:t>
      </w:r>
      <w:r w:rsidR="002F5400">
        <w:rPr>
          <w:rFonts w:ascii="Arial" w:hAnsi="Arial" w:hint="cs"/>
          <w:sz w:val="28"/>
          <w:szCs w:val="28"/>
          <w:rtl/>
        </w:rPr>
        <w:t xml:space="preserve">                                                                         </w:t>
      </w:r>
      <w:r w:rsidR="002F5400">
        <w:rPr>
          <w:rtl/>
        </w:rPr>
        <w:t xml:space="preserve">     </w:t>
      </w:r>
    </w:p>
    <w:p w14:paraId="51A4FF0F" w14:textId="77777777" w:rsidR="002F5400" w:rsidRPr="00D16BE6" w:rsidRDefault="002F5400" w:rsidP="002F5400">
      <w:pPr>
        <w:jc w:val="center"/>
        <w:rPr>
          <w:rFonts w:ascii="Arial" w:hAnsi="Arial"/>
          <w:sz w:val="28"/>
          <w:szCs w:val="28"/>
          <w:rtl/>
        </w:rPr>
      </w:pPr>
    </w:p>
    <w:p w14:paraId="41D9B432" w14:textId="77777777" w:rsidR="002F5400" w:rsidRPr="00D16BE6" w:rsidRDefault="002F5400" w:rsidP="002F5400">
      <w:pPr>
        <w:rPr>
          <w:sz w:val="28"/>
          <w:szCs w:val="28"/>
          <w:rtl/>
        </w:rPr>
      </w:pPr>
    </w:p>
    <w:p w14:paraId="57E2C285" w14:textId="77777777" w:rsidR="002F5400" w:rsidRPr="00D16BE6" w:rsidRDefault="002F5400" w:rsidP="002F5400">
      <w:pPr>
        <w:pStyle w:val="a3"/>
        <w:jc w:val="center"/>
        <w:rPr>
          <w:rtl/>
        </w:rPr>
      </w:pPr>
    </w:p>
    <w:p w14:paraId="314D58C9" w14:textId="77777777" w:rsidR="002F5400" w:rsidRPr="00934432" w:rsidRDefault="00934432" w:rsidP="002F5400">
      <w:pPr>
        <w:rPr>
          <w:rFonts w:ascii="Arial" w:hAnsi="Arial" w:cs="FrankRuehl"/>
          <w:color w:val="FFFFFF"/>
          <w:sz w:val="2"/>
          <w:szCs w:val="2"/>
        </w:rPr>
      </w:pPr>
      <w:r w:rsidRPr="00934432">
        <w:rPr>
          <w:rFonts w:ascii="Arial" w:hAnsi="Arial" w:cs="FrankRuehl"/>
          <w:color w:val="FFFFFF"/>
          <w:sz w:val="2"/>
          <w:szCs w:val="2"/>
          <w:rtl/>
        </w:rPr>
        <w:t>5129371</w:t>
      </w:r>
    </w:p>
    <w:p w14:paraId="7F53E325" w14:textId="77777777" w:rsidR="002A557E" w:rsidRPr="00934432" w:rsidRDefault="00934432" w:rsidP="0032634C">
      <w:pPr>
        <w:keepNext/>
        <w:rPr>
          <w:rFonts w:ascii="David" w:hAnsi="David"/>
          <w:color w:val="FFFFFF"/>
          <w:sz w:val="2"/>
          <w:szCs w:val="2"/>
          <w:rtl/>
        </w:rPr>
      </w:pPr>
      <w:r w:rsidRPr="00934432">
        <w:rPr>
          <w:rFonts w:ascii="David" w:hAnsi="David"/>
          <w:color w:val="FFFFFF"/>
          <w:sz w:val="2"/>
          <w:szCs w:val="2"/>
          <w:rtl/>
        </w:rPr>
        <w:t>54678313</w:t>
      </w:r>
    </w:p>
    <w:p w14:paraId="503DF142" w14:textId="77777777" w:rsidR="0032634C" w:rsidRPr="0032634C" w:rsidRDefault="0032634C" w:rsidP="0032634C">
      <w:pPr>
        <w:keepNext/>
        <w:rPr>
          <w:rFonts w:ascii="David" w:hAnsi="David"/>
          <w:color w:val="000000"/>
          <w:sz w:val="22"/>
          <w:szCs w:val="22"/>
          <w:rtl/>
        </w:rPr>
      </w:pPr>
      <w:r w:rsidRPr="0032634C">
        <w:rPr>
          <w:rFonts w:ascii="David" w:hAnsi="David"/>
          <w:color w:val="000000"/>
          <w:sz w:val="22"/>
          <w:szCs w:val="22"/>
          <w:rtl/>
        </w:rPr>
        <w:t>מיכאל קרשן 54678313</w:t>
      </w:r>
    </w:p>
    <w:p w14:paraId="735D63B0" w14:textId="77777777" w:rsidR="0032634C" w:rsidRDefault="0032634C" w:rsidP="0032634C">
      <w:r w:rsidRPr="0032634C">
        <w:rPr>
          <w:color w:val="000000"/>
          <w:rtl/>
        </w:rPr>
        <w:t>נוסח מסמך זה כפוף לשינויי ניסוח ועריכה</w:t>
      </w:r>
    </w:p>
    <w:p w14:paraId="60C65AA9" w14:textId="77777777" w:rsidR="0032634C" w:rsidRDefault="0032634C" w:rsidP="0032634C">
      <w:pPr>
        <w:rPr>
          <w:rtl/>
        </w:rPr>
      </w:pPr>
    </w:p>
    <w:p w14:paraId="3490EBD3" w14:textId="77777777" w:rsidR="0032634C" w:rsidRDefault="0032634C" w:rsidP="0032634C">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36B3BCBE" w14:textId="77777777" w:rsidR="00934432" w:rsidRPr="00934432" w:rsidRDefault="00934432" w:rsidP="00934432">
      <w:pPr>
        <w:keepNext/>
        <w:rPr>
          <w:rFonts w:ascii="David" w:hAnsi="David"/>
          <w:color w:val="000000"/>
          <w:sz w:val="22"/>
          <w:szCs w:val="22"/>
          <w:rtl/>
        </w:rPr>
      </w:pPr>
    </w:p>
    <w:p w14:paraId="285C9C9E" w14:textId="77777777" w:rsidR="0032634C" w:rsidRPr="0032634C" w:rsidRDefault="0032634C" w:rsidP="00934432">
      <w:pPr>
        <w:rPr>
          <w:color w:val="0000FF"/>
          <w:u w:val="single"/>
        </w:rPr>
      </w:pPr>
    </w:p>
    <w:sectPr w:rsidR="0032634C" w:rsidRPr="0032634C" w:rsidSect="00934432">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49732" w14:textId="77777777" w:rsidR="00056B53" w:rsidRDefault="00056B53" w:rsidP="00F150CC">
      <w:r>
        <w:separator/>
      </w:r>
    </w:p>
  </w:endnote>
  <w:endnote w:type="continuationSeparator" w:id="0">
    <w:p w14:paraId="1947377B" w14:textId="77777777" w:rsidR="00056B53" w:rsidRDefault="00056B53" w:rsidP="00F15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C0107" w14:textId="77777777" w:rsidR="00934432" w:rsidRDefault="00934432" w:rsidP="0093443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8D00857" w14:textId="77777777" w:rsidR="00914371" w:rsidRPr="00934432" w:rsidRDefault="00934432" w:rsidP="00934432">
    <w:pPr>
      <w:pStyle w:val="a5"/>
      <w:pBdr>
        <w:top w:val="single" w:sz="4" w:space="1" w:color="auto"/>
        <w:between w:val="single" w:sz="4" w:space="0" w:color="auto"/>
      </w:pBdr>
      <w:spacing w:after="60"/>
      <w:jc w:val="center"/>
      <w:rPr>
        <w:rFonts w:ascii="FrankRuehl" w:hAnsi="FrankRuehl" w:cs="FrankRuehl"/>
        <w:color w:val="000000"/>
      </w:rPr>
    </w:pPr>
    <w:r w:rsidRPr="0093443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8F3FA" w14:textId="77777777" w:rsidR="00934432" w:rsidRDefault="00934432" w:rsidP="0093443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2D35">
      <w:rPr>
        <w:rFonts w:ascii="FrankRuehl" w:hAnsi="FrankRuehl" w:cs="FrankRuehl"/>
        <w:noProof/>
        <w:rtl/>
      </w:rPr>
      <w:t>1</w:t>
    </w:r>
    <w:r>
      <w:rPr>
        <w:rFonts w:ascii="FrankRuehl" w:hAnsi="FrankRuehl" w:cs="FrankRuehl"/>
        <w:rtl/>
      </w:rPr>
      <w:fldChar w:fldCharType="end"/>
    </w:r>
  </w:p>
  <w:p w14:paraId="2534B508" w14:textId="77777777" w:rsidR="00914371" w:rsidRPr="00934432" w:rsidRDefault="00934432" w:rsidP="00934432">
    <w:pPr>
      <w:pStyle w:val="a5"/>
      <w:pBdr>
        <w:top w:val="single" w:sz="4" w:space="1" w:color="auto"/>
        <w:between w:val="single" w:sz="4" w:space="0" w:color="auto"/>
      </w:pBdr>
      <w:spacing w:after="60"/>
      <w:jc w:val="center"/>
      <w:rPr>
        <w:rFonts w:ascii="FrankRuehl" w:hAnsi="FrankRuehl" w:cs="FrankRuehl"/>
        <w:color w:val="000000"/>
      </w:rPr>
    </w:pPr>
    <w:r w:rsidRPr="00934432">
      <w:rPr>
        <w:rFonts w:ascii="FrankRuehl" w:hAnsi="FrankRuehl" w:cs="FrankRuehl"/>
        <w:color w:val="000000"/>
      </w:rPr>
      <w:pict w14:anchorId="0E1C7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908AC" w14:textId="77777777" w:rsidR="00056B53" w:rsidRDefault="00056B53" w:rsidP="00F150CC">
      <w:r>
        <w:separator/>
      </w:r>
    </w:p>
  </w:footnote>
  <w:footnote w:type="continuationSeparator" w:id="0">
    <w:p w14:paraId="1323AF0F" w14:textId="77777777" w:rsidR="00056B53" w:rsidRDefault="00056B53" w:rsidP="00F15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FCC4D" w14:textId="77777777" w:rsidR="0032634C" w:rsidRPr="00934432" w:rsidRDefault="00934432" w:rsidP="0093443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56792-09-17</w:t>
    </w:r>
    <w:r>
      <w:rPr>
        <w:rFonts w:ascii="David" w:hAnsi="David"/>
        <w:color w:val="000000"/>
        <w:sz w:val="22"/>
        <w:szCs w:val="22"/>
        <w:rtl/>
      </w:rPr>
      <w:tab/>
      <w:t xml:space="preserve"> מדינת ישראל נ' צאלח חדיג'ה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3839D" w14:textId="77777777" w:rsidR="0032634C" w:rsidRPr="00934432" w:rsidRDefault="00934432" w:rsidP="0093443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56792-09-17</w:t>
    </w:r>
    <w:r>
      <w:rPr>
        <w:rFonts w:ascii="David" w:hAnsi="David"/>
        <w:color w:val="000000"/>
        <w:sz w:val="22"/>
        <w:szCs w:val="22"/>
        <w:rtl/>
      </w:rPr>
      <w:tab/>
      <w:t xml:space="preserve"> מדינת ישראל נ' צאלח חדיג'ה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81476F"/>
    <w:multiLevelType w:val="hybridMultilevel"/>
    <w:tmpl w:val="4DF2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4A7AEC"/>
    <w:multiLevelType w:val="hybridMultilevel"/>
    <w:tmpl w:val="28862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098722">
    <w:abstractNumId w:val="1"/>
  </w:num>
  <w:num w:numId="2" w16cid:durableId="1268271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F5400"/>
    <w:rsid w:val="00056B53"/>
    <w:rsid w:val="000A11F9"/>
    <w:rsid w:val="00291804"/>
    <w:rsid w:val="002A557E"/>
    <w:rsid w:val="002F5400"/>
    <w:rsid w:val="0032634C"/>
    <w:rsid w:val="0035615C"/>
    <w:rsid w:val="004042B8"/>
    <w:rsid w:val="0044208B"/>
    <w:rsid w:val="00812D35"/>
    <w:rsid w:val="00914371"/>
    <w:rsid w:val="00934432"/>
    <w:rsid w:val="00B50490"/>
    <w:rsid w:val="00F150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C0E96F0"/>
  <w15:chartTrackingRefBased/>
  <w15:docId w15:val="{0A4D0BCC-FAA0-4728-A58E-DA2104CC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540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F5400"/>
    <w:pPr>
      <w:tabs>
        <w:tab w:val="center" w:pos="4153"/>
        <w:tab w:val="right" w:pos="8306"/>
      </w:tabs>
    </w:pPr>
  </w:style>
  <w:style w:type="character" w:customStyle="1" w:styleId="a4">
    <w:name w:val="כותרת עליונה תו"/>
    <w:link w:val="a3"/>
    <w:rsid w:val="002F5400"/>
    <w:rPr>
      <w:rFonts w:ascii="Times New Roman" w:eastAsia="Times New Roman" w:hAnsi="Times New Roman" w:cs="David"/>
      <w:sz w:val="24"/>
      <w:szCs w:val="24"/>
    </w:rPr>
  </w:style>
  <w:style w:type="paragraph" w:styleId="a5">
    <w:name w:val="footer"/>
    <w:basedOn w:val="a"/>
    <w:link w:val="a6"/>
    <w:rsid w:val="002F5400"/>
    <w:pPr>
      <w:tabs>
        <w:tab w:val="center" w:pos="4153"/>
        <w:tab w:val="right" w:pos="8306"/>
      </w:tabs>
    </w:pPr>
  </w:style>
  <w:style w:type="character" w:customStyle="1" w:styleId="a6">
    <w:name w:val="כותרת תחתונה תו"/>
    <w:link w:val="a5"/>
    <w:rsid w:val="002F5400"/>
    <w:rPr>
      <w:rFonts w:ascii="Times New Roman" w:eastAsia="Times New Roman" w:hAnsi="Times New Roman" w:cs="David"/>
      <w:sz w:val="24"/>
      <w:szCs w:val="24"/>
    </w:rPr>
  </w:style>
  <w:style w:type="table" w:styleId="a7">
    <w:name w:val="Table Grid"/>
    <w:basedOn w:val="a1"/>
    <w:rsid w:val="002F540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F5400"/>
  </w:style>
  <w:style w:type="paragraph" w:styleId="a9">
    <w:name w:val="List Paragraph"/>
    <w:basedOn w:val="a"/>
    <w:qFormat/>
    <w:rsid w:val="002F5400"/>
    <w:pPr>
      <w:ind w:left="720"/>
      <w:contextualSpacing/>
    </w:pPr>
  </w:style>
  <w:style w:type="character" w:styleId="Hyperlink">
    <w:name w:val="Hyperlink"/>
    <w:rsid w:val="0032634C"/>
    <w:rPr>
      <w:color w:val="0563C1"/>
      <w:u w:val="single"/>
    </w:rPr>
  </w:style>
  <w:style w:type="character" w:styleId="aa">
    <w:name w:val="Unresolved Mention"/>
    <w:uiPriority w:val="99"/>
    <w:semiHidden/>
    <w:unhideWhenUsed/>
    <w:rsid w:val="00404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0668741" TargetMode="External"/><Relationship Id="rId18" Type="http://schemas.openxmlformats.org/officeDocument/2006/relationships/hyperlink" Target="http://www.nevo.co.il/case/6032952"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5594340"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2334933" TargetMode="External"/><Relationship Id="rId17" Type="http://schemas.openxmlformats.org/officeDocument/2006/relationships/hyperlink" Target="http://www.nevo.co.il/case/5796872" TargetMode="External"/><Relationship Id="rId25" Type="http://schemas.openxmlformats.org/officeDocument/2006/relationships/hyperlink" Target="http://www.nevo.co.il/case/20668741" TargetMode="External"/><Relationship Id="rId2" Type="http://schemas.openxmlformats.org/officeDocument/2006/relationships/styles" Target="styles.xml"/><Relationship Id="rId16" Type="http://schemas.openxmlformats.org/officeDocument/2006/relationships/hyperlink" Target="http://www.nevo.co.il/case/5691883" TargetMode="External"/><Relationship Id="rId20" Type="http://schemas.openxmlformats.org/officeDocument/2006/relationships/hyperlink" Target="http://www.nevo.co.il/case/5691883"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0658167" TargetMode="External"/><Relationship Id="rId24" Type="http://schemas.openxmlformats.org/officeDocument/2006/relationships/hyperlink" Target="http://www.nevo.co.il/case/2426342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3844658" TargetMode="External"/><Relationship Id="rId28" Type="http://schemas.openxmlformats.org/officeDocument/2006/relationships/header" Target="header2.xml"/><Relationship Id="rId10" Type="http://schemas.openxmlformats.org/officeDocument/2006/relationships/hyperlink" Target="http://www.nevo.co.il/case/20881655" TargetMode="External"/><Relationship Id="rId19" Type="http://schemas.openxmlformats.org/officeDocument/2006/relationships/hyperlink" Target="http://www.nevo.co.il/case/1999948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case/20668741"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19999484"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1919</Words>
  <Characters>9597</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11494</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3670133</vt:i4>
      </vt:variant>
      <vt:variant>
        <vt:i4>54</vt:i4>
      </vt:variant>
      <vt:variant>
        <vt:i4>0</vt:i4>
      </vt:variant>
      <vt:variant>
        <vt:i4>5</vt:i4>
      </vt:variant>
      <vt:variant>
        <vt:lpwstr>http://www.nevo.co.il/case/20668741</vt:lpwstr>
      </vt:variant>
      <vt:variant>
        <vt:lpwstr/>
      </vt:variant>
      <vt:variant>
        <vt:i4>3211378</vt:i4>
      </vt:variant>
      <vt:variant>
        <vt:i4>51</vt:i4>
      </vt:variant>
      <vt:variant>
        <vt:i4>0</vt:i4>
      </vt:variant>
      <vt:variant>
        <vt:i4>5</vt:i4>
      </vt:variant>
      <vt:variant>
        <vt:lpwstr>http://www.nevo.co.il/case/24263426</vt:lpwstr>
      </vt:variant>
      <vt:variant>
        <vt:lpwstr/>
      </vt:variant>
      <vt:variant>
        <vt:i4>3866741</vt:i4>
      </vt:variant>
      <vt:variant>
        <vt:i4>48</vt:i4>
      </vt:variant>
      <vt:variant>
        <vt:i4>0</vt:i4>
      </vt:variant>
      <vt:variant>
        <vt:i4>5</vt:i4>
      </vt:variant>
      <vt:variant>
        <vt:lpwstr>http://www.nevo.co.il/case/23844658</vt:lpwstr>
      </vt:variant>
      <vt:variant>
        <vt:lpwstr/>
      </vt:variant>
      <vt:variant>
        <vt:i4>3735664</vt:i4>
      </vt:variant>
      <vt:variant>
        <vt:i4>45</vt:i4>
      </vt:variant>
      <vt:variant>
        <vt:i4>0</vt:i4>
      </vt:variant>
      <vt:variant>
        <vt:i4>5</vt:i4>
      </vt:variant>
      <vt:variant>
        <vt:lpwstr>http://www.nevo.co.il/case/19999484</vt:lpwstr>
      </vt:variant>
      <vt:variant>
        <vt:lpwstr/>
      </vt:variant>
      <vt:variant>
        <vt:i4>4128881</vt:i4>
      </vt:variant>
      <vt:variant>
        <vt:i4>42</vt:i4>
      </vt:variant>
      <vt:variant>
        <vt:i4>0</vt:i4>
      </vt:variant>
      <vt:variant>
        <vt:i4>5</vt:i4>
      </vt:variant>
      <vt:variant>
        <vt:lpwstr>http://www.nevo.co.il/case/5594340</vt:lpwstr>
      </vt:variant>
      <vt:variant>
        <vt:lpwstr/>
      </vt:variant>
      <vt:variant>
        <vt:i4>3604603</vt:i4>
      </vt:variant>
      <vt:variant>
        <vt:i4>39</vt:i4>
      </vt:variant>
      <vt:variant>
        <vt:i4>0</vt:i4>
      </vt:variant>
      <vt:variant>
        <vt:i4>5</vt:i4>
      </vt:variant>
      <vt:variant>
        <vt:lpwstr>http://www.nevo.co.il/case/5691883</vt:lpwstr>
      </vt:variant>
      <vt:variant>
        <vt:lpwstr/>
      </vt:variant>
      <vt:variant>
        <vt:i4>3735664</vt:i4>
      </vt:variant>
      <vt:variant>
        <vt:i4>36</vt:i4>
      </vt:variant>
      <vt:variant>
        <vt:i4>0</vt:i4>
      </vt:variant>
      <vt:variant>
        <vt:i4>5</vt:i4>
      </vt:variant>
      <vt:variant>
        <vt:lpwstr>http://www.nevo.co.il/case/19999484</vt:lpwstr>
      </vt:variant>
      <vt:variant>
        <vt:lpwstr/>
      </vt:variant>
      <vt:variant>
        <vt:i4>4063347</vt:i4>
      </vt:variant>
      <vt:variant>
        <vt:i4>33</vt:i4>
      </vt:variant>
      <vt:variant>
        <vt:i4>0</vt:i4>
      </vt:variant>
      <vt:variant>
        <vt:i4>5</vt:i4>
      </vt:variant>
      <vt:variant>
        <vt:lpwstr>http://www.nevo.co.il/case/6032952</vt:lpwstr>
      </vt:variant>
      <vt:variant>
        <vt:lpwstr/>
      </vt:variant>
      <vt:variant>
        <vt:i4>3539058</vt:i4>
      </vt:variant>
      <vt:variant>
        <vt:i4>30</vt:i4>
      </vt:variant>
      <vt:variant>
        <vt:i4>0</vt:i4>
      </vt:variant>
      <vt:variant>
        <vt:i4>5</vt:i4>
      </vt:variant>
      <vt:variant>
        <vt:lpwstr>http://www.nevo.co.il/case/5796872</vt:lpwstr>
      </vt:variant>
      <vt:variant>
        <vt:lpwstr/>
      </vt:variant>
      <vt:variant>
        <vt:i4>3604603</vt:i4>
      </vt:variant>
      <vt:variant>
        <vt:i4>27</vt:i4>
      </vt:variant>
      <vt:variant>
        <vt:i4>0</vt:i4>
      </vt:variant>
      <vt:variant>
        <vt:i4>5</vt:i4>
      </vt:variant>
      <vt:variant>
        <vt:lpwstr>http://www.nevo.co.il/case/5691883</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3670133</vt:i4>
      </vt:variant>
      <vt:variant>
        <vt:i4>18</vt:i4>
      </vt:variant>
      <vt:variant>
        <vt:i4>0</vt:i4>
      </vt:variant>
      <vt:variant>
        <vt:i4>5</vt:i4>
      </vt:variant>
      <vt:variant>
        <vt:lpwstr>http://www.nevo.co.il/case/20668741</vt:lpwstr>
      </vt:variant>
      <vt:variant>
        <vt:lpwstr/>
      </vt:variant>
      <vt:variant>
        <vt:i4>3539068</vt:i4>
      </vt:variant>
      <vt:variant>
        <vt:i4>15</vt:i4>
      </vt:variant>
      <vt:variant>
        <vt:i4>0</vt:i4>
      </vt:variant>
      <vt:variant>
        <vt:i4>5</vt:i4>
      </vt:variant>
      <vt:variant>
        <vt:lpwstr>http://www.nevo.co.il/case/22334933</vt:lpwstr>
      </vt:variant>
      <vt:variant>
        <vt:lpwstr/>
      </vt:variant>
      <vt:variant>
        <vt:i4>3801200</vt:i4>
      </vt:variant>
      <vt:variant>
        <vt:i4>12</vt:i4>
      </vt:variant>
      <vt:variant>
        <vt:i4>0</vt:i4>
      </vt:variant>
      <vt:variant>
        <vt:i4>5</vt:i4>
      </vt:variant>
      <vt:variant>
        <vt:lpwstr>http://www.nevo.co.il/case/20658167</vt:lpwstr>
      </vt:variant>
      <vt:variant>
        <vt:lpwstr/>
      </vt:variant>
      <vt:variant>
        <vt:i4>4063354</vt:i4>
      </vt:variant>
      <vt:variant>
        <vt:i4>9</vt:i4>
      </vt:variant>
      <vt:variant>
        <vt:i4>0</vt:i4>
      </vt:variant>
      <vt:variant>
        <vt:i4>5</vt:i4>
      </vt:variant>
      <vt:variant>
        <vt:lpwstr>http://www.nevo.co.il/case/20881655</vt:lpwstr>
      </vt:variant>
      <vt:variant>
        <vt:lpwstr/>
      </vt:variant>
      <vt:variant>
        <vt:i4>3670133</vt:i4>
      </vt:variant>
      <vt:variant>
        <vt:i4>6</vt:i4>
      </vt:variant>
      <vt:variant>
        <vt:i4>0</vt:i4>
      </vt:variant>
      <vt:variant>
        <vt:i4>5</vt:i4>
      </vt:variant>
      <vt:variant>
        <vt:lpwstr>http://www.nevo.co.il/case/20668741</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2025-04-25T11:06:00Z</dcterms:created>
  <dcterms:modified xsi:type="dcterms:W3CDTF">2025-04-25T11:06:00Z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56792</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צאלח חדיג'ה;מוחמד ג'באלי</vt:lpwstr>
  </property>
  <property fmtid="{D5CDD505-2E9C-101B-9397-08002B2CF9AE}" pid="10" name="LAWYER">
    <vt:lpwstr>נעמי מששה;שאדי נאטור</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20181128</vt:lpwstr>
  </property>
  <property fmtid="{D5CDD505-2E9C-101B-9397-08002B2CF9AE}" pid="14" name="TYPE_N_DATE">
    <vt:lpwstr>38020181128</vt:lpwstr>
  </property>
  <property fmtid="{D5CDD505-2E9C-101B-9397-08002B2CF9AE}" pid="15" name="WORDNUMPAGES">
    <vt:lpwstr>7</vt:lpwstr>
  </property>
  <property fmtid="{D5CDD505-2E9C-101B-9397-08002B2CF9AE}" pid="16" name="TYPE_ABS_DATE">
    <vt:lpwstr>380020181128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20668741:3;20881655;20658167;22334933;5691883:2;5796872;6032952;19999484:2;5594340;23844658;24263426</vt:lpwstr>
  </property>
  <property fmtid="{D5CDD505-2E9C-101B-9397-08002B2CF9AE}" pid="36" name="LAWLISTTMP1">
    <vt:lpwstr>70301/144.a</vt:lpwstr>
  </property>
</Properties>
</file>