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34E56" w:rsidRPr="004D0B6B" w14:paraId="70AAE9D5" w14:textId="77777777" w:rsidTr="004F0EE2">
        <w:trPr>
          <w:trHeight w:hRule="exact" w:val="418"/>
          <w:jc w:val="center"/>
        </w:trPr>
        <w:tc>
          <w:tcPr>
            <w:tcW w:w="8721" w:type="dxa"/>
            <w:gridSpan w:val="2"/>
          </w:tcPr>
          <w:p w14:paraId="2E64EB7D" w14:textId="77777777" w:rsidR="00634E56" w:rsidRPr="004D0B6B" w:rsidRDefault="00634E56" w:rsidP="00E53DE7">
            <w:pPr>
              <w:pStyle w:val="a3"/>
              <w:jc w:val="center"/>
              <w:rPr>
                <w:rFonts w:ascii="Tahoma" w:hAnsi="Tahoma" w:cs="Tahoma"/>
                <w:color w:val="000080"/>
                <w:rtl/>
              </w:rPr>
            </w:pPr>
            <w:bookmarkStart w:id="0" w:name="LastJudge"/>
            <w:r w:rsidRPr="004D0B6B">
              <w:rPr>
                <w:rFonts w:ascii="Tahoma" w:hAnsi="Tahoma" w:cs="Tahoma"/>
                <w:b/>
                <w:bCs/>
                <w:color w:val="000080"/>
                <w:rtl/>
              </w:rPr>
              <w:t>בית משפט השלום בירושלים</w:t>
            </w:r>
          </w:p>
        </w:tc>
      </w:tr>
      <w:tr w:rsidR="00634E56" w:rsidRPr="004D0B6B" w14:paraId="611CF08C" w14:textId="77777777" w:rsidTr="004F0EE2">
        <w:trPr>
          <w:trHeight w:val="337"/>
          <w:jc w:val="center"/>
        </w:trPr>
        <w:tc>
          <w:tcPr>
            <w:tcW w:w="5054" w:type="dxa"/>
          </w:tcPr>
          <w:p w14:paraId="67D97EE5" w14:textId="77777777" w:rsidR="00634E56" w:rsidRPr="004D0B6B" w:rsidRDefault="00634E56" w:rsidP="00E53DE7">
            <w:pPr>
              <w:rPr>
                <w:rFonts w:cs="FrankRuehl"/>
                <w:sz w:val="28"/>
                <w:szCs w:val="28"/>
                <w:rtl/>
              </w:rPr>
            </w:pPr>
            <w:r w:rsidRPr="004D0B6B">
              <w:rPr>
                <w:rFonts w:cs="FrankRuehl"/>
                <w:sz w:val="28"/>
                <w:szCs w:val="28"/>
                <w:rtl/>
              </w:rPr>
              <w:t>ת"פ</w:t>
            </w:r>
            <w:r w:rsidRPr="004D0B6B">
              <w:rPr>
                <w:rFonts w:cs="FrankRuehl" w:hint="cs"/>
                <w:sz w:val="28"/>
                <w:szCs w:val="28"/>
                <w:rtl/>
              </w:rPr>
              <w:t xml:space="preserve"> </w:t>
            </w:r>
            <w:r w:rsidRPr="004D0B6B">
              <w:rPr>
                <w:rFonts w:cs="FrankRuehl"/>
                <w:sz w:val="28"/>
                <w:szCs w:val="28"/>
                <w:rtl/>
              </w:rPr>
              <w:t>59369-03-18</w:t>
            </w:r>
            <w:r w:rsidRPr="004D0B6B">
              <w:rPr>
                <w:rFonts w:cs="FrankRuehl" w:hint="cs"/>
                <w:sz w:val="28"/>
                <w:szCs w:val="28"/>
                <w:rtl/>
              </w:rPr>
              <w:t xml:space="preserve"> </w:t>
            </w:r>
            <w:r w:rsidRPr="004D0B6B">
              <w:rPr>
                <w:rFonts w:cs="FrankRuehl"/>
                <w:sz w:val="28"/>
                <w:szCs w:val="28"/>
                <w:rtl/>
              </w:rPr>
              <w:t>מדינת ישראל נ' אבו חומוס</w:t>
            </w:r>
          </w:p>
          <w:p w14:paraId="1DE61466" w14:textId="77777777" w:rsidR="00634E56" w:rsidRPr="004D0B6B" w:rsidRDefault="00634E56" w:rsidP="00E53DE7">
            <w:pPr>
              <w:pStyle w:val="a3"/>
              <w:rPr>
                <w:rFonts w:cs="FrankRuehl"/>
                <w:sz w:val="28"/>
                <w:szCs w:val="28"/>
                <w:rtl/>
              </w:rPr>
            </w:pPr>
          </w:p>
        </w:tc>
        <w:tc>
          <w:tcPr>
            <w:tcW w:w="3667" w:type="dxa"/>
          </w:tcPr>
          <w:p w14:paraId="1EA9548A" w14:textId="77777777" w:rsidR="00634E56" w:rsidRPr="004D0B6B" w:rsidRDefault="00634E56" w:rsidP="00E53DE7">
            <w:pPr>
              <w:pStyle w:val="a3"/>
              <w:jc w:val="right"/>
              <w:rPr>
                <w:rFonts w:cs="FrankRuehl"/>
                <w:sz w:val="28"/>
                <w:szCs w:val="28"/>
                <w:rtl/>
              </w:rPr>
            </w:pPr>
          </w:p>
        </w:tc>
      </w:tr>
    </w:tbl>
    <w:p w14:paraId="2E451077" w14:textId="77777777" w:rsidR="00634E56" w:rsidRPr="004D0B6B" w:rsidRDefault="00634E56" w:rsidP="00634E56">
      <w:pPr>
        <w:pStyle w:val="a3"/>
        <w:rPr>
          <w:rtl/>
        </w:rPr>
      </w:pPr>
      <w:r w:rsidRPr="004D0B6B">
        <w:rPr>
          <w:rFonts w:hint="cs"/>
          <w:rtl/>
        </w:rPr>
        <w:t xml:space="preserve"> </w:t>
      </w:r>
    </w:p>
    <w:p w14:paraId="2A956466" w14:textId="77777777" w:rsidR="00634E56" w:rsidRPr="004D0B6B" w:rsidRDefault="00634E56" w:rsidP="00634E56">
      <w:pPr>
        <w:rPr>
          <w:rtl/>
        </w:rPr>
      </w:pPr>
    </w:p>
    <w:p w14:paraId="40395540" w14:textId="77777777" w:rsidR="00634E56" w:rsidRPr="004D0B6B" w:rsidRDefault="00634E56" w:rsidP="00634E5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34E56" w:rsidRPr="004D0B6B" w14:paraId="7F2CB9F5" w14:textId="77777777" w:rsidTr="00634E56">
        <w:trPr>
          <w:trHeight w:val="295"/>
          <w:jc w:val="center"/>
        </w:trPr>
        <w:tc>
          <w:tcPr>
            <w:tcW w:w="923" w:type="dxa"/>
            <w:tcBorders>
              <w:top w:val="nil"/>
              <w:left w:val="nil"/>
              <w:bottom w:val="nil"/>
              <w:right w:val="nil"/>
            </w:tcBorders>
            <w:shd w:val="clear" w:color="auto" w:fill="auto"/>
          </w:tcPr>
          <w:p w14:paraId="72885AEE" w14:textId="77777777" w:rsidR="00634E56" w:rsidRPr="004D0B6B" w:rsidRDefault="00634E56" w:rsidP="00634E56">
            <w:pPr>
              <w:jc w:val="both"/>
              <w:rPr>
                <w:rFonts w:ascii="Arial" w:hAnsi="Arial" w:cs="FrankRuehl"/>
                <w:sz w:val="28"/>
                <w:szCs w:val="28"/>
              </w:rPr>
            </w:pPr>
            <w:r w:rsidRPr="004D0B6B">
              <w:rPr>
                <w:rFonts w:ascii="Arial" w:hAnsi="Arial" w:cs="FrankRuehl" w:hint="cs"/>
                <w:sz w:val="28"/>
                <w:szCs w:val="28"/>
                <w:rtl/>
              </w:rPr>
              <w:t>ב</w:t>
            </w:r>
            <w:r w:rsidRPr="004D0B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4153EC4" w14:textId="77777777" w:rsidR="00634E56" w:rsidRPr="004D0B6B" w:rsidRDefault="00634E56" w:rsidP="00E53DE7">
            <w:pPr>
              <w:rPr>
                <w:rFonts w:ascii="Arial" w:hAnsi="Arial"/>
                <w:b/>
                <w:bCs/>
                <w:rtl/>
              </w:rPr>
            </w:pPr>
            <w:r w:rsidRPr="004D0B6B">
              <w:rPr>
                <w:rFonts w:ascii="Arial" w:hAnsi="Arial" w:hint="cs"/>
                <w:b/>
                <w:bCs/>
                <w:rtl/>
              </w:rPr>
              <w:t>כבוד ה</w:t>
            </w:r>
            <w:r w:rsidRPr="004D0B6B">
              <w:rPr>
                <w:rFonts w:ascii="Arial" w:hAnsi="Arial"/>
                <w:b/>
                <w:bCs/>
                <w:rtl/>
              </w:rPr>
              <w:t>שופט</w:t>
            </w:r>
            <w:r w:rsidRPr="004D0B6B">
              <w:rPr>
                <w:rFonts w:ascii="Arial" w:hAnsi="Arial" w:hint="cs"/>
                <w:b/>
                <w:bCs/>
                <w:rtl/>
              </w:rPr>
              <w:t xml:space="preserve">  </w:t>
            </w:r>
            <w:r w:rsidRPr="004D0B6B">
              <w:rPr>
                <w:rFonts w:ascii="Arial" w:hAnsi="Arial"/>
                <w:b/>
                <w:bCs/>
                <w:rtl/>
              </w:rPr>
              <w:t>איתן כהן</w:t>
            </w:r>
          </w:p>
          <w:p w14:paraId="6E15CB07" w14:textId="77777777" w:rsidR="00634E56" w:rsidRPr="004D0B6B" w:rsidRDefault="00634E56" w:rsidP="00E53DE7">
            <w:pPr>
              <w:rPr>
                <w:rtl/>
              </w:rPr>
            </w:pPr>
          </w:p>
          <w:p w14:paraId="551AC60D" w14:textId="77777777" w:rsidR="00634E56" w:rsidRPr="004D0B6B" w:rsidRDefault="00634E56" w:rsidP="00634E56">
            <w:pPr>
              <w:jc w:val="both"/>
              <w:rPr>
                <w:rFonts w:ascii="Arial" w:hAnsi="Arial" w:cs="FrankRuehl"/>
                <w:sz w:val="28"/>
                <w:szCs w:val="28"/>
              </w:rPr>
            </w:pPr>
          </w:p>
        </w:tc>
      </w:tr>
      <w:tr w:rsidR="00634E56" w:rsidRPr="004D0B6B" w14:paraId="347186F6" w14:textId="77777777" w:rsidTr="00634E56">
        <w:trPr>
          <w:trHeight w:val="355"/>
          <w:jc w:val="center"/>
        </w:trPr>
        <w:tc>
          <w:tcPr>
            <w:tcW w:w="923" w:type="dxa"/>
            <w:tcBorders>
              <w:top w:val="nil"/>
              <w:left w:val="nil"/>
              <w:bottom w:val="nil"/>
              <w:right w:val="nil"/>
            </w:tcBorders>
            <w:shd w:val="clear" w:color="auto" w:fill="auto"/>
          </w:tcPr>
          <w:p w14:paraId="71E6F904" w14:textId="77777777" w:rsidR="00634E56" w:rsidRPr="004D0B6B" w:rsidRDefault="00634E56" w:rsidP="00634E56">
            <w:pPr>
              <w:jc w:val="both"/>
              <w:rPr>
                <w:rFonts w:ascii="Arial" w:hAnsi="Arial" w:cs="FrankRuehl"/>
                <w:sz w:val="28"/>
                <w:szCs w:val="28"/>
              </w:rPr>
            </w:pPr>
            <w:bookmarkStart w:id="1" w:name="FirstAppellant"/>
            <w:r w:rsidRPr="004D0B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4EC08F6" w14:textId="77777777" w:rsidR="00634E56" w:rsidRPr="004D0B6B" w:rsidRDefault="00634E56" w:rsidP="00E53DE7">
            <w:r w:rsidRPr="004D0B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E209E9C" w14:textId="77777777" w:rsidR="00634E56" w:rsidRPr="004D0B6B" w:rsidRDefault="00634E56" w:rsidP="00634E56">
            <w:pPr>
              <w:jc w:val="both"/>
              <w:rPr>
                <w:rFonts w:ascii="Arial" w:hAnsi="Arial" w:cs="FrankRuehl"/>
                <w:sz w:val="28"/>
                <w:szCs w:val="28"/>
              </w:rPr>
            </w:pPr>
          </w:p>
        </w:tc>
      </w:tr>
      <w:bookmarkEnd w:id="1"/>
      <w:tr w:rsidR="00634E56" w:rsidRPr="004D0B6B" w14:paraId="6E4E44D2" w14:textId="77777777" w:rsidTr="00634E56">
        <w:trPr>
          <w:trHeight w:val="355"/>
          <w:jc w:val="center"/>
        </w:trPr>
        <w:tc>
          <w:tcPr>
            <w:tcW w:w="923" w:type="dxa"/>
            <w:tcBorders>
              <w:top w:val="nil"/>
              <w:left w:val="nil"/>
              <w:bottom w:val="nil"/>
              <w:right w:val="nil"/>
            </w:tcBorders>
            <w:shd w:val="clear" w:color="auto" w:fill="auto"/>
          </w:tcPr>
          <w:p w14:paraId="02535F5E" w14:textId="77777777" w:rsidR="00634E56" w:rsidRPr="004D0B6B" w:rsidRDefault="00634E56" w:rsidP="00634E5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7E3E03" w14:textId="77777777" w:rsidR="00634E56" w:rsidRPr="004D0B6B" w:rsidRDefault="00634E56" w:rsidP="00634E56">
            <w:pPr>
              <w:jc w:val="both"/>
              <w:rPr>
                <w:rtl/>
              </w:rPr>
            </w:pPr>
          </w:p>
        </w:tc>
        <w:tc>
          <w:tcPr>
            <w:tcW w:w="3771" w:type="dxa"/>
            <w:tcBorders>
              <w:top w:val="nil"/>
              <w:left w:val="nil"/>
              <w:bottom w:val="nil"/>
              <w:right w:val="nil"/>
            </w:tcBorders>
            <w:shd w:val="clear" w:color="auto" w:fill="auto"/>
          </w:tcPr>
          <w:p w14:paraId="2D1DE105" w14:textId="77777777" w:rsidR="00634E56" w:rsidRPr="004D0B6B" w:rsidRDefault="00634E56" w:rsidP="00634E56">
            <w:pPr>
              <w:jc w:val="right"/>
              <w:rPr>
                <w:rFonts w:ascii="Arial" w:hAnsi="Arial" w:cs="FrankRuehl"/>
                <w:sz w:val="28"/>
                <w:szCs w:val="28"/>
                <w:rtl/>
              </w:rPr>
            </w:pPr>
            <w:r w:rsidRPr="004D0B6B">
              <w:rPr>
                <w:rFonts w:ascii="Arial" w:hAnsi="Arial" w:cs="FrankRuehl" w:hint="cs"/>
                <w:sz w:val="28"/>
                <w:szCs w:val="28"/>
                <w:rtl/>
              </w:rPr>
              <w:t>ה</w:t>
            </w:r>
            <w:r w:rsidRPr="004D0B6B">
              <w:rPr>
                <w:rFonts w:ascii="Arial" w:hAnsi="Arial" w:cs="FrankRuehl"/>
                <w:sz w:val="28"/>
                <w:szCs w:val="28"/>
                <w:rtl/>
              </w:rPr>
              <w:t>מאשימה</w:t>
            </w:r>
          </w:p>
        </w:tc>
      </w:tr>
      <w:tr w:rsidR="00634E56" w:rsidRPr="004D0B6B" w14:paraId="42A35AE1" w14:textId="77777777" w:rsidTr="00634E56">
        <w:trPr>
          <w:trHeight w:val="355"/>
          <w:jc w:val="center"/>
        </w:trPr>
        <w:tc>
          <w:tcPr>
            <w:tcW w:w="923" w:type="dxa"/>
            <w:tcBorders>
              <w:top w:val="nil"/>
              <w:left w:val="nil"/>
              <w:bottom w:val="nil"/>
              <w:right w:val="nil"/>
            </w:tcBorders>
            <w:shd w:val="clear" w:color="auto" w:fill="auto"/>
          </w:tcPr>
          <w:p w14:paraId="4BB31B7B" w14:textId="77777777" w:rsidR="00634E56" w:rsidRPr="004D0B6B" w:rsidRDefault="00634E56" w:rsidP="00634E5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1322CCE" w14:textId="77777777" w:rsidR="00634E56" w:rsidRPr="004D0B6B" w:rsidRDefault="00634E56" w:rsidP="00634E56">
            <w:pPr>
              <w:jc w:val="center"/>
              <w:rPr>
                <w:rFonts w:ascii="Arial" w:hAnsi="Arial" w:cs="FrankRuehl"/>
                <w:b/>
                <w:bCs/>
                <w:sz w:val="28"/>
                <w:szCs w:val="28"/>
                <w:rtl/>
              </w:rPr>
            </w:pPr>
          </w:p>
          <w:p w14:paraId="6CED9C9F" w14:textId="77777777" w:rsidR="00634E56" w:rsidRPr="004D0B6B" w:rsidRDefault="00634E56" w:rsidP="00634E56">
            <w:pPr>
              <w:jc w:val="center"/>
              <w:rPr>
                <w:rFonts w:ascii="Arial" w:hAnsi="Arial" w:cs="FrankRuehl"/>
                <w:b/>
                <w:bCs/>
                <w:sz w:val="28"/>
                <w:szCs w:val="28"/>
                <w:rtl/>
              </w:rPr>
            </w:pPr>
            <w:r w:rsidRPr="004D0B6B">
              <w:rPr>
                <w:rFonts w:ascii="Arial" w:hAnsi="Arial" w:cs="FrankRuehl"/>
                <w:b/>
                <w:bCs/>
                <w:sz w:val="28"/>
                <w:szCs w:val="28"/>
                <w:rtl/>
              </w:rPr>
              <w:t>נגד</w:t>
            </w:r>
          </w:p>
          <w:p w14:paraId="729E6C08" w14:textId="77777777" w:rsidR="00634E56" w:rsidRPr="004D0B6B" w:rsidRDefault="00634E56" w:rsidP="00634E56">
            <w:pPr>
              <w:jc w:val="both"/>
              <w:rPr>
                <w:rFonts w:ascii="Arial" w:hAnsi="Arial" w:cs="FrankRuehl"/>
                <w:sz w:val="28"/>
                <w:szCs w:val="28"/>
              </w:rPr>
            </w:pPr>
          </w:p>
        </w:tc>
      </w:tr>
      <w:tr w:rsidR="00634E56" w:rsidRPr="004D0B6B" w14:paraId="609F7334" w14:textId="77777777" w:rsidTr="00634E56">
        <w:trPr>
          <w:trHeight w:val="355"/>
          <w:jc w:val="center"/>
        </w:trPr>
        <w:tc>
          <w:tcPr>
            <w:tcW w:w="923" w:type="dxa"/>
            <w:tcBorders>
              <w:top w:val="nil"/>
              <w:left w:val="nil"/>
              <w:bottom w:val="nil"/>
              <w:right w:val="nil"/>
            </w:tcBorders>
            <w:shd w:val="clear" w:color="auto" w:fill="auto"/>
          </w:tcPr>
          <w:p w14:paraId="0FE239D7" w14:textId="77777777" w:rsidR="00634E56" w:rsidRPr="004D0B6B" w:rsidRDefault="00634E56" w:rsidP="00E53DE7">
            <w:pPr>
              <w:rPr>
                <w:rFonts w:ascii="Arial" w:hAnsi="Arial" w:cs="FrankRuehl"/>
                <w:sz w:val="28"/>
                <w:szCs w:val="28"/>
                <w:rtl/>
              </w:rPr>
            </w:pPr>
          </w:p>
        </w:tc>
        <w:tc>
          <w:tcPr>
            <w:tcW w:w="4126" w:type="dxa"/>
            <w:tcBorders>
              <w:top w:val="nil"/>
              <w:left w:val="nil"/>
              <w:bottom w:val="nil"/>
              <w:right w:val="nil"/>
            </w:tcBorders>
            <w:shd w:val="clear" w:color="auto" w:fill="auto"/>
          </w:tcPr>
          <w:p w14:paraId="74D1A73F" w14:textId="77777777" w:rsidR="00634E56" w:rsidRPr="004D0B6B" w:rsidRDefault="00634E56" w:rsidP="00E53DE7">
            <w:pPr>
              <w:rPr>
                <w:rtl/>
              </w:rPr>
            </w:pPr>
            <w:r w:rsidRPr="004D0B6B">
              <w:rPr>
                <w:rFonts w:ascii="Arial" w:hAnsi="Arial" w:cs="FrankRuehl"/>
                <w:sz w:val="28"/>
                <w:szCs w:val="28"/>
                <w:rtl/>
              </w:rPr>
              <w:t>רבחי אבו חומוס</w:t>
            </w:r>
          </w:p>
        </w:tc>
        <w:tc>
          <w:tcPr>
            <w:tcW w:w="3771" w:type="dxa"/>
            <w:tcBorders>
              <w:top w:val="nil"/>
              <w:left w:val="nil"/>
              <w:bottom w:val="nil"/>
              <w:right w:val="nil"/>
            </w:tcBorders>
            <w:shd w:val="clear" w:color="auto" w:fill="auto"/>
          </w:tcPr>
          <w:p w14:paraId="2A0A1A4B" w14:textId="77777777" w:rsidR="00634E56" w:rsidRPr="004D0B6B" w:rsidRDefault="00634E56" w:rsidP="00634E56">
            <w:pPr>
              <w:jc w:val="right"/>
              <w:rPr>
                <w:rFonts w:ascii="Arial" w:hAnsi="Arial" w:cs="FrankRuehl"/>
                <w:sz w:val="28"/>
                <w:szCs w:val="28"/>
              </w:rPr>
            </w:pPr>
          </w:p>
        </w:tc>
      </w:tr>
      <w:tr w:rsidR="00634E56" w:rsidRPr="004D0B6B" w14:paraId="61056BE9" w14:textId="77777777" w:rsidTr="00634E56">
        <w:trPr>
          <w:trHeight w:val="355"/>
          <w:jc w:val="center"/>
        </w:trPr>
        <w:tc>
          <w:tcPr>
            <w:tcW w:w="923" w:type="dxa"/>
            <w:tcBorders>
              <w:top w:val="nil"/>
              <w:left w:val="nil"/>
              <w:bottom w:val="nil"/>
              <w:right w:val="nil"/>
            </w:tcBorders>
            <w:shd w:val="clear" w:color="auto" w:fill="auto"/>
          </w:tcPr>
          <w:p w14:paraId="6013886D" w14:textId="77777777" w:rsidR="00634E56" w:rsidRPr="004D0B6B" w:rsidRDefault="00634E56" w:rsidP="00634E5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865A512" w14:textId="77777777" w:rsidR="00634E56" w:rsidRPr="004D0B6B" w:rsidRDefault="00634E56" w:rsidP="00634E56">
            <w:pPr>
              <w:jc w:val="both"/>
              <w:rPr>
                <w:rtl/>
              </w:rPr>
            </w:pPr>
          </w:p>
        </w:tc>
        <w:tc>
          <w:tcPr>
            <w:tcW w:w="3771" w:type="dxa"/>
            <w:tcBorders>
              <w:top w:val="nil"/>
              <w:left w:val="nil"/>
              <w:bottom w:val="nil"/>
              <w:right w:val="nil"/>
            </w:tcBorders>
            <w:shd w:val="clear" w:color="auto" w:fill="auto"/>
          </w:tcPr>
          <w:p w14:paraId="1E7A9DD3" w14:textId="77777777" w:rsidR="00634E56" w:rsidRPr="004D0B6B" w:rsidRDefault="00634E56" w:rsidP="00634E56">
            <w:pPr>
              <w:jc w:val="right"/>
              <w:rPr>
                <w:rFonts w:ascii="Arial" w:hAnsi="Arial" w:cs="FrankRuehl"/>
                <w:sz w:val="28"/>
                <w:szCs w:val="28"/>
              </w:rPr>
            </w:pPr>
            <w:r w:rsidRPr="004D0B6B">
              <w:rPr>
                <w:rFonts w:ascii="Arial" w:hAnsi="Arial" w:cs="FrankRuehl" w:hint="cs"/>
                <w:sz w:val="28"/>
                <w:szCs w:val="28"/>
                <w:rtl/>
              </w:rPr>
              <w:t>ה</w:t>
            </w:r>
            <w:r w:rsidRPr="004D0B6B">
              <w:rPr>
                <w:rFonts w:ascii="Arial" w:hAnsi="Arial" w:cs="FrankRuehl"/>
                <w:sz w:val="28"/>
                <w:szCs w:val="28"/>
                <w:rtl/>
              </w:rPr>
              <w:t>נאשם</w:t>
            </w:r>
          </w:p>
        </w:tc>
      </w:tr>
    </w:tbl>
    <w:p w14:paraId="2809B5B1" w14:textId="77777777" w:rsidR="004F0EE2" w:rsidRPr="004F0EE2" w:rsidRDefault="004F0EE2" w:rsidP="004F0EE2">
      <w:pPr>
        <w:spacing w:before="120" w:after="120" w:line="240" w:lineRule="exact"/>
        <w:ind w:left="283" w:hanging="283"/>
        <w:jc w:val="both"/>
        <w:rPr>
          <w:rFonts w:ascii="FrankRuehl" w:hAnsi="FrankRuehl" w:cs="FrankRuehl"/>
        </w:rPr>
      </w:pPr>
      <w:bookmarkStart w:id="2" w:name="LawTable"/>
      <w:bookmarkEnd w:id="2"/>
      <w:r w:rsidRPr="004F0EE2">
        <w:rPr>
          <w:rFonts w:ascii="FrankRuehl" w:hAnsi="FrankRuehl" w:cs="FrankRuehl"/>
          <w:rtl/>
        </w:rPr>
        <w:t xml:space="preserve">חקיקה שאוזכרה: </w:t>
      </w:r>
    </w:p>
    <w:p w14:paraId="178C1E4C" w14:textId="77777777" w:rsidR="004F0EE2" w:rsidRPr="004F0EE2" w:rsidRDefault="004F0EE2" w:rsidP="004F0EE2">
      <w:pPr>
        <w:spacing w:before="120" w:after="120" w:line="240" w:lineRule="exact"/>
        <w:ind w:left="283" w:hanging="283"/>
        <w:jc w:val="both"/>
        <w:rPr>
          <w:rFonts w:ascii="FrankRuehl" w:hAnsi="FrankRuehl" w:cs="FrankRuehl"/>
        </w:rPr>
      </w:pPr>
      <w:hyperlink r:id="rId7" w:history="1">
        <w:r w:rsidRPr="004F0EE2">
          <w:rPr>
            <w:rFonts w:ascii="FrankRuehl" w:hAnsi="FrankRuehl" w:cs="FrankRuehl"/>
            <w:color w:val="0000FF"/>
            <w:u w:val="single"/>
            <w:rtl/>
          </w:rPr>
          <w:t>חוק העונשין, תשל"ז-1977</w:t>
        </w:r>
      </w:hyperlink>
      <w:r w:rsidRPr="004F0EE2">
        <w:rPr>
          <w:rFonts w:ascii="FrankRuehl" w:hAnsi="FrankRuehl" w:cs="FrankRuehl"/>
        </w:rPr>
        <w:t xml:space="preserve">: </w:t>
      </w:r>
      <w:r w:rsidRPr="004F0EE2">
        <w:rPr>
          <w:rFonts w:ascii="FrankRuehl" w:hAnsi="FrankRuehl" w:cs="FrankRuehl"/>
          <w:rtl/>
        </w:rPr>
        <w:t>סע</w:t>
      </w:r>
      <w:r w:rsidRPr="004F0EE2">
        <w:rPr>
          <w:rFonts w:ascii="FrankRuehl" w:hAnsi="FrankRuehl" w:cs="FrankRuehl"/>
        </w:rPr>
        <w:t xml:space="preserve">'  </w:t>
      </w:r>
      <w:hyperlink r:id="rId8" w:history="1">
        <w:r w:rsidRPr="004F0EE2">
          <w:rPr>
            <w:rFonts w:ascii="FrankRuehl" w:hAnsi="FrankRuehl" w:cs="FrankRuehl"/>
            <w:color w:val="0000FF"/>
            <w:u w:val="single"/>
          </w:rPr>
          <w:t>144(</w:t>
        </w:r>
        <w:r w:rsidRPr="004F0EE2">
          <w:rPr>
            <w:rFonts w:ascii="FrankRuehl" w:hAnsi="FrankRuehl" w:cs="FrankRuehl"/>
            <w:color w:val="0000FF"/>
            <w:u w:val="single"/>
            <w:rtl/>
          </w:rPr>
          <w:t>א</w:t>
        </w:r>
        <w:r w:rsidRPr="004F0EE2">
          <w:rPr>
            <w:rFonts w:ascii="FrankRuehl" w:hAnsi="FrankRuehl" w:cs="FrankRuehl"/>
            <w:color w:val="0000FF"/>
            <w:u w:val="single"/>
          </w:rPr>
          <w:t>)</w:t>
        </w:r>
      </w:hyperlink>
      <w:r w:rsidRPr="004F0EE2">
        <w:rPr>
          <w:rFonts w:ascii="FrankRuehl" w:hAnsi="FrankRuehl" w:cs="FrankRuehl"/>
        </w:rPr>
        <w:t xml:space="preserve">, </w:t>
      </w:r>
      <w:hyperlink r:id="rId9" w:history="1">
        <w:r w:rsidRPr="004F0EE2">
          <w:rPr>
            <w:rFonts w:ascii="FrankRuehl" w:hAnsi="FrankRuehl" w:cs="FrankRuehl"/>
            <w:color w:val="0000FF"/>
            <w:u w:val="single"/>
          </w:rPr>
          <w:t xml:space="preserve">40 </w:t>
        </w:r>
        <w:r w:rsidRPr="004F0EE2">
          <w:rPr>
            <w:rFonts w:ascii="FrankRuehl" w:hAnsi="FrankRuehl" w:cs="FrankRuehl"/>
            <w:color w:val="0000FF"/>
            <w:u w:val="single"/>
            <w:rtl/>
          </w:rPr>
          <w:t>יג</w:t>
        </w:r>
      </w:hyperlink>
    </w:p>
    <w:p w14:paraId="7572F8A9" w14:textId="77777777" w:rsidR="00634E56" w:rsidRPr="004F0EE2" w:rsidRDefault="00634E56" w:rsidP="004F0EE2">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4E56" w14:paraId="55B3C0F0" w14:textId="77777777" w:rsidTr="00634E56">
        <w:trPr>
          <w:trHeight w:val="355"/>
          <w:jc w:val="center"/>
        </w:trPr>
        <w:tc>
          <w:tcPr>
            <w:tcW w:w="8820" w:type="dxa"/>
            <w:tcBorders>
              <w:top w:val="nil"/>
              <w:left w:val="nil"/>
              <w:bottom w:val="nil"/>
              <w:right w:val="nil"/>
            </w:tcBorders>
            <w:shd w:val="clear" w:color="auto" w:fill="auto"/>
          </w:tcPr>
          <w:p w14:paraId="56BA6E4B" w14:textId="77777777" w:rsidR="004D0B6B" w:rsidRPr="004D0B6B" w:rsidRDefault="004D0B6B" w:rsidP="004D0B6B">
            <w:pPr>
              <w:jc w:val="center"/>
              <w:rPr>
                <w:rFonts w:ascii="Arial" w:hAnsi="Arial" w:cs="FrankRuehl"/>
                <w:b/>
                <w:bCs/>
                <w:sz w:val="32"/>
                <w:szCs w:val="32"/>
                <w:u w:val="single"/>
                <w:rtl/>
              </w:rPr>
            </w:pPr>
            <w:bookmarkStart w:id="4" w:name="PsakDin" w:colFirst="0" w:colLast="0"/>
            <w:bookmarkEnd w:id="0"/>
            <w:r w:rsidRPr="004D0B6B">
              <w:rPr>
                <w:rFonts w:ascii="Arial" w:hAnsi="Arial" w:cs="FrankRuehl"/>
                <w:b/>
                <w:bCs/>
                <w:sz w:val="32"/>
                <w:szCs w:val="32"/>
                <w:u w:val="single"/>
                <w:rtl/>
              </w:rPr>
              <w:t>גזר דין</w:t>
            </w:r>
          </w:p>
          <w:p w14:paraId="492619AC" w14:textId="77777777" w:rsidR="00634E56" w:rsidRPr="004D0B6B" w:rsidRDefault="00634E56" w:rsidP="004D0B6B">
            <w:pPr>
              <w:jc w:val="center"/>
              <w:rPr>
                <w:rFonts w:ascii="Arial" w:hAnsi="Arial" w:cs="FrankRuehl"/>
                <w:bCs/>
                <w:sz w:val="32"/>
                <w:szCs w:val="32"/>
                <w:u w:val="single"/>
                <w:rtl/>
              </w:rPr>
            </w:pPr>
          </w:p>
        </w:tc>
      </w:tr>
      <w:bookmarkEnd w:id="4"/>
    </w:tbl>
    <w:p w14:paraId="6BFD8EC7" w14:textId="77777777" w:rsidR="00634E56" w:rsidRPr="00B05847" w:rsidRDefault="00634E56" w:rsidP="00634E56">
      <w:pPr>
        <w:rPr>
          <w:rtl/>
        </w:rPr>
      </w:pPr>
    </w:p>
    <w:p w14:paraId="795B4F17" w14:textId="77777777" w:rsidR="00634E56" w:rsidRPr="00F372F7" w:rsidRDefault="00634E56" w:rsidP="00634E56">
      <w:pPr>
        <w:spacing w:line="360" w:lineRule="auto"/>
        <w:jc w:val="both"/>
        <w:rPr>
          <w:rFonts w:ascii="Arial" w:hAnsi="Arial"/>
          <w:b/>
          <w:bCs/>
        </w:rPr>
      </w:pPr>
      <w:r w:rsidRPr="00F372F7">
        <w:rPr>
          <w:rFonts w:ascii="Arial" w:hAnsi="Arial"/>
          <w:b/>
          <w:bCs/>
          <w:rtl/>
        </w:rPr>
        <w:t>כללי</w:t>
      </w:r>
    </w:p>
    <w:p w14:paraId="3EF62DA7" w14:textId="77777777" w:rsidR="00634E56" w:rsidRPr="00F372F7" w:rsidRDefault="00634E56" w:rsidP="00634E56">
      <w:pPr>
        <w:numPr>
          <w:ilvl w:val="0"/>
          <w:numId w:val="1"/>
        </w:numPr>
        <w:spacing w:line="360" w:lineRule="auto"/>
        <w:jc w:val="both"/>
        <w:rPr>
          <w:rFonts w:ascii="Arial" w:hAnsi="Arial"/>
          <w:rtl/>
        </w:rPr>
      </w:pPr>
      <w:bookmarkStart w:id="5" w:name="ABSTRACT_START"/>
      <w:bookmarkEnd w:id="5"/>
      <w:r>
        <w:rPr>
          <w:rFonts w:ascii="Arial" w:hAnsi="Arial"/>
          <w:rtl/>
        </w:rPr>
        <w:t>הנאשם הורשע</w:t>
      </w:r>
      <w:r>
        <w:rPr>
          <w:rFonts w:ascii="Arial" w:hAnsi="Arial" w:hint="cs"/>
          <w:rtl/>
        </w:rPr>
        <w:t xml:space="preserve"> </w:t>
      </w:r>
      <w:r w:rsidRPr="00F372F7">
        <w:rPr>
          <w:rFonts w:ascii="Arial" w:hAnsi="Arial"/>
          <w:rtl/>
        </w:rPr>
        <w:t xml:space="preserve"> </w:t>
      </w:r>
      <w:r>
        <w:rPr>
          <w:rFonts w:ascii="Arial" w:hAnsi="Arial" w:hint="cs"/>
          <w:rtl/>
        </w:rPr>
        <w:t xml:space="preserve">על פי הודאתו ובמסגרת </w:t>
      </w:r>
      <w:r w:rsidRPr="00F372F7">
        <w:rPr>
          <w:rFonts w:ascii="Arial" w:hAnsi="Arial"/>
          <w:rtl/>
        </w:rPr>
        <w:t xml:space="preserve">הסדר טיעון </w:t>
      </w:r>
      <w:r>
        <w:rPr>
          <w:rFonts w:ascii="Arial" w:hAnsi="Arial"/>
          <w:rtl/>
        </w:rPr>
        <w:t xml:space="preserve">בהחזקת נשק </w:t>
      </w:r>
      <w:r>
        <w:rPr>
          <w:rFonts w:ascii="Arial" w:hAnsi="Arial" w:hint="cs"/>
          <w:rtl/>
        </w:rPr>
        <w:t xml:space="preserve">בלא רשות כדין </w:t>
      </w:r>
      <w:r>
        <w:rPr>
          <w:rFonts w:ascii="Arial" w:hAnsi="Arial"/>
          <w:rtl/>
        </w:rPr>
        <w:t xml:space="preserve">לפי </w:t>
      </w:r>
      <w:hyperlink r:id="rId10" w:history="1">
        <w:r w:rsidR="004F0EE2" w:rsidRPr="004F0EE2">
          <w:rPr>
            <w:rFonts w:ascii="Arial" w:hAnsi="Arial"/>
            <w:color w:val="0000FF"/>
            <w:u w:val="single"/>
            <w:rtl/>
          </w:rPr>
          <w:t>סעיף 144(א)</w:t>
        </w:r>
      </w:hyperlink>
      <w:r>
        <w:rPr>
          <w:rFonts w:ascii="Arial" w:hAnsi="Arial"/>
          <w:rtl/>
        </w:rPr>
        <w:t xml:space="preserve"> ריש</w:t>
      </w:r>
      <w:r>
        <w:rPr>
          <w:rFonts w:ascii="Arial" w:hAnsi="Arial" w:hint="cs"/>
          <w:rtl/>
        </w:rPr>
        <w:t>א</w:t>
      </w:r>
      <w:r w:rsidRPr="00F372F7">
        <w:rPr>
          <w:rFonts w:ascii="Arial" w:hAnsi="Arial"/>
          <w:rtl/>
        </w:rPr>
        <w:t xml:space="preserve"> ל</w:t>
      </w:r>
      <w:hyperlink r:id="rId11" w:history="1">
        <w:r w:rsidR="004D0B6B" w:rsidRPr="004D0B6B">
          <w:rPr>
            <w:rFonts w:ascii="Arial" w:hAnsi="Arial"/>
            <w:color w:val="0000FF"/>
            <w:u w:val="single"/>
            <w:rtl/>
          </w:rPr>
          <w:t>חוק העונשין</w:t>
        </w:r>
      </w:hyperlink>
      <w:r w:rsidRPr="00F372F7">
        <w:rPr>
          <w:rFonts w:ascii="Arial" w:hAnsi="Arial"/>
          <w:rtl/>
        </w:rPr>
        <w:t xml:space="preserve">, תשל"ז-1977 </w:t>
      </w:r>
      <w:bookmarkStart w:id="6" w:name="ABSTRACT_END"/>
      <w:bookmarkEnd w:id="6"/>
      <w:r w:rsidRPr="00F372F7">
        <w:rPr>
          <w:rFonts w:ascii="Arial" w:hAnsi="Arial"/>
          <w:rtl/>
        </w:rPr>
        <w:t>(להלן: "</w:t>
      </w:r>
      <w:r w:rsidRPr="00F372F7">
        <w:rPr>
          <w:rFonts w:ascii="Arial" w:hAnsi="Arial"/>
          <w:b/>
          <w:bCs/>
          <w:rtl/>
        </w:rPr>
        <w:t>החוק</w:t>
      </w:r>
      <w:r w:rsidRPr="00F372F7">
        <w:rPr>
          <w:rFonts w:ascii="Arial" w:hAnsi="Arial"/>
          <w:rtl/>
        </w:rPr>
        <w:t>").</w:t>
      </w:r>
    </w:p>
    <w:p w14:paraId="054222BC" w14:textId="77777777" w:rsidR="00634E56" w:rsidRPr="00F372F7" w:rsidRDefault="00634E56" w:rsidP="00634E56">
      <w:pPr>
        <w:jc w:val="both"/>
        <w:rPr>
          <w:rFonts w:ascii="Arial" w:hAnsi="Arial"/>
        </w:rPr>
      </w:pPr>
    </w:p>
    <w:p w14:paraId="553B2936" w14:textId="77777777" w:rsidR="00634E56" w:rsidRDefault="00634E56" w:rsidP="00634E56">
      <w:pPr>
        <w:numPr>
          <w:ilvl w:val="0"/>
          <w:numId w:val="1"/>
        </w:numPr>
        <w:spacing w:line="360" w:lineRule="auto"/>
        <w:jc w:val="both"/>
        <w:rPr>
          <w:rFonts w:ascii="Arial" w:hAnsi="Arial"/>
        </w:rPr>
      </w:pPr>
      <w:r w:rsidRPr="00F372F7">
        <w:rPr>
          <w:rFonts w:ascii="Arial" w:hAnsi="Arial"/>
          <w:rtl/>
        </w:rPr>
        <w:t xml:space="preserve">בהסדר הטיעון שנכרת בין הצדדים הוסכם שהנאשם יודה ויורשע בכתב אישום מתוקן. אשר לעונש </w:t>
      </w:r>
      <w:r>
        <w:rPr>
          <w:rFonts w:ascii="Arial" w:hAnsi="Arial" w:hint="cs"/>
          <w:rtl/>
        </w:rPr>
        <w:t>הוסכם</w:t>
      </w:r>
      <w:r>
        <w:rPr>
          <w:rFonts w:ascii="Arial" w:hAnsi="Arial"/>
          <w:rtl/>
        </w:rPr>
        <w:t xml:space="preserve"> שהצדדים יטענו באופן חופשי</w:t>
      </w:r>
      <w:r>
        <w:rPr>
          <w:rFonts w:ascii="Arial" w:hAnsi="Arial" w:hint="cs"/>
          <w:rtl/>
        </w:rPr>
        <w:t>.</w:t>
      </w:r>
    </w:p>
    <w:p w14:paraId="59A8EF2E" w14:textId="77777777" w:rsidR="00634E56" w:rsidRPr="00F372F7" w:rsidRDefault="00634E56" w:rsidP="00634E56">
      <w:pPr>
        <w:spacing w:line="360" w:lineRule="auto"/>
        <w:ind w:left="720"/>
        <w:jc w:val="both"/>
        <w:rPr>
          <w:rFonts w:ascii="Arial" w:hAnsi="Arial"/>
        </w:rPr>
      </w:pPr>
    </w:p>
    <w:p w14:paraId="40ECAD80" w14:textId="77777777" w:rsidR="00634E56" w:rsidRPr="00F372F7" w:rsidRDefault="00634E56" w:rsidP="00634E56">
      <w:pPr>
        <w:spacing w:line="360" w:lineRule="auto"/>
        <w:jc w:val="both"/>
        <w:rPr>
          <w:rFonts w:ascii="Arial" w:hAnsi="Arial"/>
          <w:b/>
          <w:bCs/>
        </w:rPr>
      </w:pPr>
      <w:r w:rsidRPr="00F372F7">
        <w:rPr>
          <w:rFonts w:ascii="Arial" w:hAnsi="Arial"/>
          <w:b/>
          <w:bCs/>
          <w:rtl/>
        </w:rPr>
        <w:t>כתב האישום המתוקן</w:t>
      </w:r>
    </w:p>
    <w:p w14:paraId="52C8CFA8" w14:textId="77777777" w:rsidR="00634E56" w:rsidRDefault="00634E56" w:rsidP="00634E56">
      <w:pPr>
        <w:numPr>
          <w:ilvl w:val="0"/>
          <w:numId w:val="1"/>
        </w:numPr>
        <w:spacing w:line="360" w:lineRule="auto"/>
        <w:jc w:val="both"/>
        <w:rPr>
          <w:rFonts w:ascii="Arial" w:hAnsi="Arial"/>
        </w:rPr>
      </w:pPr>
      <w:r w:rsidRPr="00F372F7">
        <w:rPr>
          <w:rFonts w:ascii="Arial" w:hAnsi="Arial"/>
          <w:rtl/>
        </w:rPr>
        <w:t xml:space="preserve">על פי עובדות כתב האישום המתוקן, ביום </w:t>
      </w:r>
      <w:r>
        <w:rPr>
          <w:rFonts w:ascii="Arial" w:hAnsi="Arial" w:hint="cs"/>
          <w:rtl/>
        </w:rPr>
        <w:t>0</w:t>
      </w:r>
      <w:r w:rsidRPr="00F372F7">
        <w:rPr>
          <w:rFonts w:ascii="Arial" w:hAnsi="Arial"/>
          <w:rtl/>
        </w:rPr>
        <w:t>4.</w:t>
      </w:r>
      <w:r>
        <w:rPr>
          <w:rFonts w:ascii="Arial" w:hAnsi="Arial" w:hint="cs"/>
          <w:rtl/>
        </w:rPr>
        <w:t>0</w:t>
      </w:r>
      <w:r w:rsidRPr="00F372F7">
        <w:rPr>
          <w:rFonts w:ascii="Arial" w:hAnsi="Arial"/>
          <w:rtl/>
        </w:rPr>
        <w:t>1.</w:t>
      </w:r>
      <w:r>
        <w:rPr>
          <w:rFonts w:ascii="Arial" w:hAnsi="Arial" w:hint="cs"/>
          <w:rtl/>
        </w:rPr>
        <w:t>20</w:t>
      </w:r>
      <w:r w:rsidRPr="00F372F7">
        <w:rPr>
          <w:rFonts w:ascii="Arial" w:hAnsi="Arial"/>
          <w:rtl/>
        </w:rPr>
        <w:t>16 נתפס בבית הנאשם</w:t>
      </w:r>
      <w:r>
        <w:rPr>
          <w:rFonts w:ascii="Arial" w:hAnsi="Arial" w:hint="cs"/>
          <w:rtl/>
        </w:rPr>
        <w:t xml:space="preserve"> בעיסאוויה</w:t>
      </w:r>
      <w:r w:rsidRPr="00F372F7">
        <w:rPr>
          <w:rFonts w:ascii="Arial" w:hAnsi="Arial"/>
          <w:rtl/>
        </w:rPr>
        <w:t xml:space="preserve"> אקדח חצי אוטומטי מסוג </w:t>
      </w:r>
      <w:r w:rsidRPr="00F372F7">
        <w:rPr>
          <w:rFonts w:ascii="Arial" w:hAnsi="Arial"/>
        </w:rPr>
        <w:t>Beretta</w:t>
      </w:r>
      <w:r w:rsidRPr="00F372F7">
        <w:rPr>
          <w:rFonts w:ascii="Arial" w:hAnsi="Arial"/>
          <w:rtl/>
        </w:rPr>
        <w:t xml:space="preserve">, מודל </w:t>
      </w:r>
      <w:r w:rsidRPr="00F372F7">
        <w:rPr>
          <w:rFonts w:ascii="Arial" w:hAnsi="Arial"/>
        </w:rPr>
        <w:t>84BB</w:t>
      </w:r>
      <w:r w:rsidRPr="00F372F7">
        <w:rPr>
          <w:rFonts w:ascii="Arial" w:hAnsi="Arial"/>
          <w:rtl/>
        </w:rPr>
        <w:t>, קליבר תשעה מ"מ קצר</w:t>
      </w:r>
      <w:r>
        <w:rPr>
          <w:rFonts w:ascii="Arial" w:hAnsi="Arial" w:hint="cs"/>
          <w:rtl/>
        </w:rPr>
        <w:t xml:space="preserve">. האקדח </w:t>
      </w:r>
      <w:r>
        <w:rPr>
          <w:rFonts w:ascii="Arial" w:hAnsi="Arial"/>
          <w:rtl/>
        </w:rPr>
        <w:t>ה</w:t>
      </w:r>
      <w:r>
        <w:rPr>
          <w:rFonts w:ascii="Arial" w:hAnsi="Arial" w:hint="cs"/>
          <w:rtl/>
        </w:rPr>
        <w:t>וסתר</w:t>
      </w:r>
      <w:r>
        <w:rPr>
          <w:rFonts w:ascii="Arial" w:hAnsi="Arial"/>
          <w:rtl/>
        </w:rPr>
        <w:t xml:space="preserve"> בתוך תיק עור שחור </w:t>
      </w:r>
      <w:r>
        <w:rPr>
          <w:rFonts w:ascii="Arial" w:hAnsi="Arial" w:hint="cs"/>
          <w:rtl/>
        </w:rPr>
        <w:t>עטוף בשקית</w:t>
      </w:r>
      <w:r>
        <w:rPr>
          <w:rFonts w:ascii="Arial" w:hAnsi="Arial"/>
          <w:rtl/>
        </w:rPr>
        <w:t xml:space="preserve"> </w:t>
      </w:r>
      <w:r>
        <w:rPr>
          <w:rFonts w:ascii="Arial" w:hAnsi="Arial" w:hint="cs"/>
          <w:rtl/>
        </w:rPr>
        <w:t xml:space="preserve">והונח </w:t>
      </w:r>
      <w:r>
        <w:rPr>
          <w:rFonts w:ascii="Arial" w:hAnsi="Arial"/>
          <w:rtl/>
        </w:rPr>
        <w:t>ב</w:t>
      </w:r>
      <w:r>
        <w:rPr>
          <w:rFonts w:ascii="Arial" w:hAnsi="Arial" w:hint="cs"/>
          <w:rtl/>
        </w:rPr>
        <w:t xml:space="preserve">תוך </w:t>
      </w:r>
      <w:r>
        <w:rPr>
          <w:rFonts w:ascii="Arial" w:hAnsi="Arial"/>
          <w:rtl/>
        </w:rPr>
        <w:t xml:space="preserve">כספת </w:t>
      </w:r>
      <w:r>
        <w:rPr>
          <w:rFonts w:ascii="Arial" w:hAnsi="Arial" w:hint="cs"/>
          <w:rtl/>
        </w:rPr>
        <w:t xml:space="preserve">שממוקמת </w:t>
      </w:r>
      <w:r>
        <w:rPr>
          <w:rFonts w:ascii="Arial" w:hAnsi="Arial"/>
          <w:rtl/>
        </w:rPr>
        <w:t xml:space="preserve">בשידה </w:t>
      </w:r>
      <w:r>
        <w:rPr>
          <w:rFonts w:ascii="Arial" w:hAnsi="Arial" w:hint="cs"/>
          <w:rtl/>
        </w:rPr>
        <w:t>ש</w:t>
      </w:r>
      <w:r>
        <w:rPr>
          <w:rFonts w:ascii="Arial" w:hAnsi="Arial"/>
          <w:rtl/>
        </w:rPr>
        <w:t>בחדר השינה של</w:t>
      </w:r>
      <w:r>
        <w:rPr>
          <w:rFonts w:ascii="Arial" w:hAnsi="Arial" w:hint="cs"/>
          <w:rtl/>
        </w:rPr>
        <w:t xml:space="preserve"> הנאשם</w:t>
      </w:r>
      <w:r w:rsidRPr="00F372F7">
        <w:rPr>
          <w:rFonts w:ascii="Arial" w:hAnsi="Arial"/>
          <w:rtl/>
        </w:rPr>
        <w:t xml:space="preserve">. הנאשם לא היה בעל רישיון לשאת את הנשק, ומעולם לא החזיק ברישיון לנשק.  </w:t>
      </w:r>
    </w:p>
    <w:p w14:paraId="7CD336CB" w14:textId="77777777" w:rsidR="00634E56" w:rsidRPr="00324192" w:rsidRDefault="00634E56" w:rsidP="00634E56">
      <w:pPr>
        <w:spacing w:line="360" w:lineRule="auto"/>
        <w:ind w:left="720"/>
        <w:jc w:val="both"/>
        <w:rPr>
          <w:rFonts w:ascii="Arial" w:hAnsi="Arial"/>
          <w:rtl/>
        </w:rPr>
      </w:pPr>
    </w:p>
    <w:p w14:paraId="4DEA16FC" w14:textId="77777777" w:rsidR="00634E56" w:rsidRPr="00F372F7" w:rsidRDefault="00634E56" w:rsidP="00634E56">
      <w:pPr>
        <w:spacing w:line="360" w:lineRule="auto"/>
        <w:ind w:left="720"/>
        <w:jc w:val="both"/>
        <w:rPr>
          <w:rFonts w:ascii="Arial" w:hAnsi="Arial"/>
          <w:rtl/>
        </w:rPr>
      </w:pPr>
      <w:r w:rsidRPr="00F372F7">
        <w:rPr>
          <w:rFonts w:ascii="Arial" w:hAnsi="Arial"/>
          <w:rtl/>
        </w:rPr>
        <w:t>ה</w:t>
      </w:r>
      <w:r>
        <w:rPr>
          <w:rFonts w:ascii="Arial" w:hAnsi="Arial"/>
          <w:rtl/>
        </w:rPr>
        <w:t>נאשם הורשע על שבמעשיו החזיק נשק</w:t>
      </w:r>
      <w:r w:rsidRPr="00F372F7">
        <w:rPr>
          <w:rFonts w:ascii="Arial" w:hAnsi="Arial"/>
          <w:rtl/>
        </w:rPr>
        <w:t xml:space="preserve"> בלא רשות </w:t>
      </w:r>
      <w:r>
        <w:rPr>
          <w:rFonts w:ascii="Arial" w:hAnsi="Arial" w:hint="cs"/>
          <w:rtl/>
        </w:rPr>
        <w:t>כ</w:t>
      </w:r>
      <w:r w:rsidRPr="00F372F7">
        <w:rPr>
          <w:rFonts w:ascii="Arial" w:hAnsi="Arial"/>
          <w:rtl/>
        </w:rPr>
        <w:t xml:space="preserve">דין. </w:t>
      </w:r>
    </w:p>
    <w:p w14:paraId="2880AA86" w14:textId="77777777" w:rsidR="00634E56" w:rsidRPr="00F372F7" w:rsidRDefault="00634E56" w:rsidP="00634E56">
      <w:pPr>
        <w:spacing w:line="360" w:lineRule="auto"/>
        <w:jc w:val="both"/>
        <w:rPr>
          <w:rFonts w:ascii="Arial" w:hAnsi="Arial"/>
        </w:rPr>
      </w:pPr>
    </w:p>
    <w:p w14:paraId="6B1A9C83" w14:textId="77777777" w:rsidR="00634E56" w:rsidRPr="00F372F7" w:rsidRDefault="00634E56" w:rsidP="00634E56">
      <w:pPr>
        <w:spacing w:line="360" w:lineRule="auto"/>
        <w:jc w:val="both"/>
        <w:rPr>
          <w:rFonts w:ascii="Arial" w:hAnsi="Arial"/>
          <w:b/>
          <w:bCs/>
        </w:rPr>
      </w:pPr>
      <w:r w:rsidRPr="00F372F7">
        <w:rPr>
          <w:rFonts w:ascii="Arial" w:hAnsi="Arial"/>
          <w:b/>
          <w:bCs/>
          <w:rtl/>
        </w:rPr>
        <w:t>תסקיר שירות המבחן</w:t>
      </w:r>
    </w:p>
    <w:p w14:paraId="76F33284" w14:textId="77777777" w:rsidR="00634E56" w:rsidRPr="004C31B8" w:rsidRDefault="00634E56" w:rsidP="00634E56">
      <w:pPr>
        <w:numPr>
          <w:ilvl w:val="0"/>
          <w:numId w:val="1"/>
        </w:numPr>
        <w:spacing w:line="360" w:lineRule="auto"/>
        <w:jc w:val="both"/>
        <w:rPr>
          <w:rFonts w:ascii="Arial" w:hAnsi="Arial"/>
          <w:rtl/>
        </w:rPr>
      </w:pPr>
      <w:r w:rsidRPr="004C31B8">
        <w:rPr>
          <w:rFonts w:ascii="Arial" w:hAnsi="Arial"/>
          <w:rtl/>
        </w:rPr>
        <w:lastRenderedPageBreak/>
        <w:t xml:space="preserve">תסקיר שירות המבחן הוגש ביום </w:t>
      </w:r>
      <w:r w:rsidRPr="004C31B8">
        <w:rPr>
          <w:rFonts w:ascii="Arial" w:hAnsi="Arial" w:hint="cs"/>
          <w:rtl/>
        </w:rPr>
        <w:t xml:space="preserve">18.12.2019. התסקיר </w:t>
      </w:r>
      <w:r w:rsidRPr="004C31B8">
        <w:rPr>
          <w:rFonts w:ascii="Arial" w:hAnsi="Arial"/>
          <w:rtl/>
        </w:rPr>
        <w:t xml:space="preserve">סוקר את הרקע האישי, המשפחתי, </w:t>
      </w:r>
      <w:r w:rsidRPr="004C31B8">
        <w:rPr>
          <w:rFonts w:ascii="Arial" w:hAnsi="Arial" w:hint="cs"/>
          <w:rtl/>
        </w:rPr>
        <w:t>ו</w:t>
      </w:r>
      <w:r w:rsidRPr="004C31B8">
        <w:rPr>
          <w:rFonts w:ascii="Arial" w:hAnsi="Arial"/>
          <w:rtl/>
        </w:rPr>
        <w:t xml:space="preserve">התעסוקתי של הנאשם. </w:t>
      </w:r>
      <w:r w:rsidRPr="004C31B8">
        <w:rPr>
          <w:rFonts w:ascii="Arial" w:hAnsi="Arial" w:hint="cs"/>
          <w:rtl/>
        </w:rPr>
        <w:t>הנאשם בן 7</w:t>
      </w:r>
      <w:r>
        <w:rPr>
          <w:rFonts w:ascii="Arial" w:hAnsi="Arial" w:hint="cs"/>
          <w:rtl/>
        </w:rPr>
        <w:t>4, נשוי ואב לארבעה ילדים בגיל</w:t>
      </w:r>
      <w:r w:rsidRPr="004C31B8">
        <w:rPr>
          <w:rFonts w:ascii="Arial" w:hAnsi="Arial" w:hint="cs"/>
          <w:rtl/>
        </w:rPr>
        <w:t xml:space="preserve"> 27-17, לא עובד מזה 15 שנה. לנאשם 12 שנות לימוד ובהמשך למד 4 שנים באוניברסיטה הפתוחה במגמת מחשבים. בגיל 23 חבר לתנועת הפת"ח וכעבור שנתיים הורשע במספר עבירות הקשורות להשתייכותו לארגון. בגין עבירות אלה נידון למאסר בפועל למשך 40 שנה, אך שוחרר כעבור 15 שנה בלבד במסגרת עסקת חילופי שבויים. במהלך השנים</w:t>
      </w:r>
      <w:r>
        <w:rPr>
          <w:rFonts w:ascii="Arial" w:hAnsi="Arial" w:hint="cs"/>
          <w:rtl/>
        </w:rPr>
        <w:t xml:space="preserve"> עבד במספר עבודות ובגיל 58 חדל</w:t>
      </w:r>
      <w:r w:rsidRPr="004C31B8">
        <w:rPr>
          <w:rFonts w:ascii="Arial" w:hAnsi="Arial" w:hint="cs"/>
          <w:rtl/>
        </w:rPr>
        <w:t xml:space="preserve"> לעבוד. משנת 2012 מתקיים </w:t>
      </w:r>
      <w:r>
        <w:rPr>
          <w:rFonts w:ascii="Arial" w:hAnsi="Arial" w:hint="cs"/>
          <w:rtl/>
        </w:rPr>
        <w:t xml:space="preserve">הנאשם </w:t>
      </w:r>
      <w:r w:rsidRPr="004C31B8">
        <w:rPr>
          <w:rFonts w:ascii="Arial" w:hAnsi="Arial" w:hint="cs"/>
          <w:rtl/>
        </w:rPr>
        <w:t xml:space="preserve">מקצבת אזרח ותיק הכוללת תוספת השלמת הכנסה. </w:t>
      </w:r>
    </w:p>
    <w:p w14:paraId="6AE5E591" w14:textId="77777777" w:rsidR="00634E56" w:rsidRDefault="00634E56" w:rsidP="00634E56">
      <w:pPr>
        <w:spacing w:line="360" w:lineRule="auto"/>
        <w:ind w:left="720"/>
        <w:jc w:val="both"/>
        <w:rPr>
          <w:rFonts w:ascii="Arial" w:hAnsi="Arial"/>
          <w:rtl/>
        </w:rPr>
      </w:pPr>
      <w:r>
        <w:rPr>
          <w:rFonts w:ascii="Arial" w:hAnsi="Arial" w:hint="cs"/>
          <w:rtl/>
        </w:rPr>
        <w:t>אשר למצבו הרפואי, לנאשם כאבים במפרקי הידיים, ברגליים ובגב, והוא  מקבל עזרת סיעוד למשך שעתיים חמישה ימים בשבוע. הנאשם זכאי לגמלת סיעוד החל משנת 2013. בעבר אושפז עקב בעיות לב ולדבריו כיום מושתל בליבו קוצב לב.</w:t>
      </w:r>
    </w:p>
    <w:p w14:paraId="10A4D002" w14:textId="77777777" w:rsidR="00634E56" w:rsidRDefault="00634E56" w:rsidP="00634E56">
      <w:pPr>
        <w:spacing w:line="360" w:lineRule="auto"/>
        <w:ind w:left="720"/>
        <w:jc w:val="both"/>
        <w:rPr>
          <w:rFonts w:ascii="Arial" w:hAnsi="Arial"/>
          <w:rtl/>
        </w:rPr>
      </w:pPr>
      <w:r>
        <w:rPr>
          <w:rFonts w:ascii="Arial" w:hAnsi="Arial" w:hint="cs"/>
          <w:rtl/>
        </w:rPr>
        <w:t>שירות המבחן נפגש עם אשתו של הנאשם, שמסרה שהיא סועדת אותו ונעזרת לשם כך גם בילדיהם. לדבריה המשפחה דואגת שהנאשם יהיה תחת השגחה.</w:t>
      </w:r>
    </w:p>
    <w:p w14:paraId="1DCC9899" w14:textId="77777777" w:rsidR="00634E56" w:rsidRDefault="00634E56" w:rsidP="00634E56">
      <w:pPr>
        <w:ind w:left="720"/>
        <w:jc w:val="both"/>
        <w:rPr>
          <w:rFonts w:ascii="Arial" w:hAnsi="Arial"/>
          <w:rtl/>
        </w:rPr>
      </w:pPr>
    </w:p>
    <w:p w14:paraId="4D06DE14" w14:textId="77777777" w:rsidR="00634E56" w:rsidRDefault="00634E56" w:rsidP="00634E56">
      <w:pPr>
        <w:spacing w:line="360" w:lineRule="auto"/>
        <w:ind w:left="720"/>
        <w:jc w:val="both"/>
        <w:rPr>
          <w:rFonts w:ascii="Arial" w:hAnsi="Arial"/>
          <w:rtl/>
        </w:rPr>
      </w:pPr>
      <w:r>
        <w:rPr>
          <w:rFonts w:ascii="Arial" w:hAnsi="Arial" w:hint="cs"/>
          <w:rtl/>
        </w:rPr>
        <w:t xml:space="preserve">אשר לעברו הפלילי, לנאשם שלוש הרשעות קודמות בעבירות של פריצה לבניין, חברות בקבוצה המבצעת עבירות סד"צ, חברות בהתאגדות בלתי חוקית, נשיאת חומר נפץ שלא כחוק, ונשיאת נשק או חומרי נפץ ללא היתר. </w:t>
      </w:r>
    </w:p>
    <w:p w14:paraId="1B827D75" w14:textId="77777777" w:rsidR="00634E56" w:rsidRDefault="00634E56" w:rsidP="00634E56">
      <w:pPr>
        <w:ind w:left="720"/>
        <w:jc w:val="both"/>
        <w:rPr>
          <w:rFonts w:ascii="Arial" w:hAnsi="Arial"/>
          <w:rtl/>
        </w:rPr>
      </w:pPr>
    </w:p>
    <w:p w14:paraId="7813C353" w14:textId="77777777" w:rsidR="00634E56" w:rsidRDefault="00634E56" w:rsidP="00634E56">
      <w:pPr>
        <w:spacing w:line="360" w:lineRule="auto"/>
        <w:ind w:left="720"/>
        <w:jc w:val="both"/>
        <w:rPr>
          <w:rFonts w:ascii="Arial" w:hAnsi="Arial"/>
          <w:rtl/>
        </w:rPr>
      </w:pPr>
      <w:r>
        <w:rPr>
          <w:rFonts w:ascii="Arial" w:hAnsi="Arial" w:hint="cs"/>
          <w:rtl/>
        </w:rPr>
        <w:t>בהתייחסו לעבירה הנוכחית, הנאשם קיבל אחריות מילולית בלבד על ביצועה, תוך שצמצם את הרקע לה ואת נסיבותיה. הנאשם טען שאסף תיק עור מהודר שאותו מצא ברחוב, ואיפסן אותו בכספת ביתו, בלי שפתח אותו ובלי שידע שהוא מכיל כלי-נשק.</w:t>
      </w:r>
    </w:p>
    <w:p w14:paraId="29392E7B" w14:textId="77777777" w:rsidR="00634E56" w:rsidRDefault="00634E56" w:rsidP="00634E56">
      <w:pPr>
        <w:ind w:left="720"/>
        <w:jc w:val="both"/>
        <w:rPr>
          <w:rFonts w:ascii="Arial" w:hAnsi="Arial"/>
          <w:rtl/>
        </w:rPr>
      </w:pPr>
    </w:p>
    <w:p w14:paraId="11B8EABF" w14:textId="77777777" w:rsidR="00634E56" w:rsidRDefault="00634E56" w:rsidP="00634E56">
      <w:pPr>
        <w:spacing w:line="360" w:lineRule="auto"/>
        <w:ind w:left="720"/>
        <w:jc w:val="both"/>
        <w:rPr>
          <w:rFonts w:ascii="Arial" w:hAnsi="Arial"/>
          <w:rtl/>
        </w:rPr>
      </w:pPr>
      <w:r w:rsidRPr="00E86D89">
        <w:rPr>
          <w:rFonts w:ascii="Arial" w:hAnsi="Arial" w:hint="cs"/>
          <w:rtl/>
        </w:rPr>
        <w:t xml:space="preserve">כגורמי </w:t>
      </w:r>
      <w:r w:rsidRPr="00D22D9A">
        <w:rPr>
          <w:rFonts w:ascii="Arial" w:hAnsi="Arial" w:hint="cs"/>
          <w:b/>
          <w:bCs/>
          <w:rtl/>
        </w:rPr>
        <w:t xml:space="preserve">סיכון להישנות </w:t>
      </w:r>
      <w:r>
        <w:rPr>
          <w:rFonts w:ascii="Arial" w:hAnsi="Arial" w:hint="cs"/>
          <w:b/>
          <w:bCs/>
          <w:rtl/>
        </w:rPr>
        <w:t>ה</w:t>
      </w:r>
      <w:r w:rsidRPr="00D22D9A">
        <w:rPr>
          <w:rFonts w:ascii="Arial" w:hAnsi="Arial" w:hint="cs"/>
          <w:b/>
          <w:bCs/>
          <w:rtl/>
        </w:rPr>
        <w:t>עבירה</w:t>
      </w:r>
      <w:r>
        <w:rPr>
          <w:rFonts w:ascii="Arial" w:hAnsi="Arial" w:hint="cs"/>
          <w:rtl/>
        </w:rPr>
        <w:t>, צוינו: קושי בהבנת חומרת המעשים; עמדות מקלות ראש בהתייחס לגורמי סמכות, ממסד וגבולות; עמדה מטשטשת ונמנעת הן לגבי קשייו והן לגבי המניעים שבבסיס העבירה הנידונה.</w:t>
      </w:r>
    </w:p>
    <w:p w14:paraId="7E124E7D" w14:textId="77777777" w:rsidR="00634E56" w:rsidRDefault="00634E56" w:rsidP="00634E56">
      <w:pPr>
        <w:spacing w:line="360" w:lineRule="auto"/>
        <w:ind w:left="720"/>
        <w:jc w:val="both"/>
        <w:rPr>
          <w:rFonts w:ascii="Arial" w:hAnsi="Arial"/>
          <w:rtl/>
        </w:rPr>
      </w:pPr>
    </w:p>
    <w:p w14:paraId="1F5A1EF4" w14:textId="77777777" w:rsidR="00634E56" w:rsidRDefault="00634E56" w:rsidP="00634E56">
      <w:pPr>
        <w:spacing w:line="360" w:lineRule="auto"/>
        <w:ind w:left="720"/>
        <w:jc w:val="both"/>
        <w:rPr>
          <w:rFonts w:ascii="Arial" w:hAnsi="Arial"/>
          <w:rtl/>
        </w:rPr>
      </w:pPr>
      <w:r>
        <w:rPr>
          <w:rFonts w:ascii="Arial" w:hAnsi="Arial" w:hint="cs"/>
          <w:rtl/>
        </w:rPr>
        <w:t xml:space="preserve">כגורמי </w:t>
      </w:r>
      <w:r w:rsidRPr="00D22D9A">
        <w:rPr>
          <w:rFonts w:ascii="Arial" w:hAnsi="Arial" w:hint="cs"/>
          <w:b/>
          <w:bCs/>
          <w:rtl/>
        </w:rPr>
        <w:t>סיכוי לשיקום</w:t>
      </w:r>
      <w:r>
        <w:rPr>
          <w:rFonts w:ascii="Arial" w:hAnsi="Arial" w:hint="cs"/>
          <w:rtl/>
        </w:rPr>
        <w:t>, צוינו: אי מעורבות בפלילים מאז ששוחרר הנאשם ממאסרו; הבעת מוטיבציה לניהול אורח חיים נורמטיבי.</w:t>
      </w:r>
    </w:p>
    <w:p w14:paraId="5F622EC3" w14:textId="77777777" w:rsidR="00634E56" w:rsidRDefault="00634E56" w:rsidP="00634E56">
      <w:pPr>
        <w:ind w:left="720"/>
        <w:jc w:val="both"/>
        <w:rPr>
          <w:rFonts w:ascii="Arial" w:hAnsi="Arial"/>
          <w:rtl/>
        </w:rPr>
      </w:pPr>
    </w:p>
    <w:p w14:paraId="54A8CA8D" w14:textId="77777777" w:rsidR="00634E56" w:rsidRPr="006D3132" w:rsidRDefault="00634E56" w:rsidP="00634E56">
      <w:pPr>
        <w:spacing w:line="360" w:lineRule="auto"/>
        <w:ind w:left="720"/>
        <w:jc w:val="both"/>
        <w:rPr>
          <w:rFonts w:ascii="Arial" w:hAnsi="Arial"/>
        </w:rPr>
      </w:pPr>
      <w:r>
        <w:rPr>
          <w:rFonts w:ascii="Arial" w:hAnsi="Arial" w:hint="cs"/>
          <w:rtl/>
        </w:rPr>
        <w:t xml:space="preserve">לאור עברו הפלילי של הנאשם, חומרת העבירה המסכנת חיי אדם ואי קבלת אחריות, לא המליץ שירות המבחן על חלופת ענישה או על שיקום במסגרת הקהילה.  </w:t>
      </w:r>
    </w:p>
    <w:p w14:paraId="6A6F69A6" w14:textId="77777777" w:rsidR="00634E56" w:rsidRPr="006D30EC" w:rsidRDefault="00634E56" w:rsidP="00634E56">
      <w:pPr>
        <w:spacing w:line="360" w:lineRule="auto"/>
        <w:jc w:val="both"/>
        <w:rPr>
          <w:rFonts w:ascii="Arial" w:hAnsi="Arial"/>
          <w:b/>
          <w:bCs/>
          <w:rtl/>
        </w:rPr>
      </w:pPr>
    </w:p>
    <w:p w14:paraId="4F34EAC2" w14:textId="77777777" w:rsidR="00634E56" w:rsidRPr="00F372F7" w:rsidRDefault="00634E56" w:rsidP="00634E56">
      <w:pPr>
        <w:spacing w:line="360" w:lineRule="auto"/>
        <w:jc w:val="both"/>
        <w:rPr>
          <w:rFonts w:ascii="Arial" w:hAnsi="Arial"/>
          <w:rtl/>
        </w:rPr>
      </w:pPr>
      <w:r w:rsidRPr="00F372F7">
        <w:rPr>
          <w:rFonts w:ascii="Arial" w:hAnsi="Arial"/>
          <w:b/>
          <w:bCs/>
          <w:rtl/>
        </w:rPr>
        <w:t xml:space="preserve">טיעוני הצדדים לעונש </w:t>
      </w:r>
    </w:p>
    <w:p w14:paraId="3C1EEC11" w14:textId="77777777" w:rsidR="00634E56" w:rsidRPr="00D3513C" w:rsidRDefault="00634E56" w:rsidP="00634E56">
      <w:pPr>
        <w:numPr>
          <w:ilvl w:val="0"/>
          <w:numId w:val="1"/>
        </w:numPr>
        <w:spacing w:line="360" w:lineRule="auto"/>
        <w:jc w:val="both"/>
        <w:rPr>
          <w:rFonts w:ascii="Arial" w:hAnsi="Arial"/>
        </w:rPr>
      </w:pPr>
      <w:r w:rsidRPr="00D3513C">
        <w:rPr>
          <w:rFonts w:ascii="Arial" w:hAnsi="Arial" w:hint="cs"/>
          <w:rtl/>
        </w:rPr>
        <w:t xml:space="preserve">כראיות לעונש מטעם המאשימה הוגש פלט הרשעותיו הקודמות של הנאשם. </w:t>
      </w:r>
    </w:p>
    <w:p w14:paraId="09532EFB" w14:textId="77777777" w:rsidR="00634E56" w:rsidRDefault="00634E56" w:rsidP="00634E56">
      <w:pPr>
        <w:ind w:left="720"/>
        <w:jc w:val="both"/>
        <w:rPr>
          <w:rFonts w:ascii="Arial" w:hAnsi="Arial"/>
        </w:rPr>
      </w:pPr>
    </w:p>
    <w:p w14:paraId="573E0EC0" w14:textId="77777777" w:rsidR="00634E56" w:rsidRDefault="00634E56" w:rsidP="00634E56">
      <w:pPr>
        <w:numPr>
          <w:ilvl w:val="0"/>
          <w:numId w:val="1"/>
        </w:numPr>
        <w:spacing w:line="360" w:lineRule="auto"/>
        <w:jc w:val="both"/>
        <w:rPr>
          <w:rFonts w:ascii="Arial" w:hAnsi="Arial"/>
        </w:rPr>
      </w:pPr>
      <w:r w:rsidRPr="00D3513C">
        <w:rPr>
          <w:rFonts w:ascii="Arial" w:hAnsi="Arial"/>
          <w:rtl/>
        </w:rPr>
        <w:t>ב"כ המאשימה, עו"ד</w:t>
      </w:r>
      <w:r w:rsidRPr="00D3513C">
        <w:rPr>
          <w:rFonts w:ascii="Arial" w:hAnsi="Arial" w:hint="cs"/>
          <w:rtl/>
        </w:rPr>
        <w:t xml:space="preserve"> מנאל אבו עאמר</w:t>
      </w:r>
      <w:r w:rsidRPr="00D3513C">
        <w:rPr>
          <w:rFonts w:ascii="Arial" w:hAnsi="Arial"/>
          <w:rtl/>
        </w:rPr>
        <w:t xml:space="preserve">, עתרה להשית על הנאשם </w:t>
      </w:r>
      <w:r w:rsidRPr="00D3513C">
        <w:rPr>
          <w:rFonts w:ascii="Arial" w:hAnsi="Arial" w:hint="cs"/>
          <w:rtl/>
        </w:rPr>
        <w:t xml:space="preserve"> מאסר בפועל למשך שנתיים, לצד מאסר מותנה וקנס משמעותי. </w:t>
      </w:r>
      <w:r w:rsidRPr="00D3513C">
        <w:rPr>
          <w:rFonts w:ascii="Arial" w:hAnsi="Arial"/>
          <w:rtl/>
        </w:rPr>
        <w:t xml:space="preserve">אשר למתחם העונש ההולם, </w:t>
      </w:r>
      <w:r>
        <w:rPr>
          <w:rFonts w:ascii="Arial" w:hAnsi="Arial" w:hint="cs"/>
          <w:rtl/>
        </w:rPr>
        <w:t xml:space="preserve">טענה שזה נע בין </w:t>
      </w:r>
      <w:r>
        <w:rPr>
          <w:rFonts w:ascii="Arial" w:hAnsi="Arial" w:hint="cs"/>
          <w:rtl/>
        </w:rPr>
        <w:lastRenderedPageBreak/>
        <w:t>שנה</w:t>
      </w:r>
      <w:r w:rsidRPr="00D3513C">
        <w:rPr>
          <w:rFonts w:ascii="Arial" w:hAnsi="Arial" w:hint="cs"/>
          <w:rtl/>
        </w:rPr>
        <w:t xml:space="preserve"> </w:t>
      </w:r>
      <w:r>
        <w:rPr>
          <w:rFonts w:ascii="Arial" w:hAnsi="Arial" w:hint="cs"/>
          <w:rtl/>
        </w:rPr>
        <w:t xml:space="preserve">אחת </w:t>
      </w:r>
      <w:r w:rsidRPr="00D3513C">
        <w:rPr>
          <w:rFonts w:ascii="Arial" w:hAnsi="Arial" w:hint="cs"/>
          <w:rtl/>
        </w:rPr>
        <w:t xml:space="preserve">לשלוש שנות מאסר בפועל, כאשר יש למקם את הנאשם בשליש האמצעי. </w:t>
      </w:r>
      <w:r w:rsidRPr="00D3513C">
        <w:rPr>
          <w:rFonts w:ascii="Arial" w:hAnsi="Arial"/>
          <w:rtl/>
        </w:rPr>
        <w:t xml:space="preserve">בטיעוניה הדגישה </w:t>
      </w:r>
      <w:r w:rsidRPr="00D3513C">
        <w:rPr>
          <w:rFonts w:ascii="Arial" w:hAnsi="Arial" w:hint="cs"/>
          <w:rtl/>
        </w:rPr>
        <w:t>את החומרה הרבה שבעבירות הנשק, הטומנות בחובן פוטנציאל נזק וסיכון הרסני לפגיעה בביטחון הציבור. ב"כ המאשימה הפנתה לפסיקה המעידה על מגמה של החמרה בענישה בעבירות נשק. לחומרה, ציינה את עברו הפלילי של הנאשם ואת אי נטילת האחריות על המעשה.</w:t>
      </w:r>
    </w:p>
    <w:p w14:paraId="02C8C51A" w14:textId="77777777" w:rsidR="00634E56" w:rsidRPr="00D3513C" w:rsidRDefault="00634E56" w:rsidP="00634E56">
      <w:pPr>
        <w:spacing w:line="360" w:lineRule="auto"/>
        <w:ind w:left="720"/>
        <w:jc w:val="both"/>
        <w:rPr>
          <w:rFonts w:ascii="Arial" w:hAnsi="Arial"/>
          <w:rtl/>
        </w:rPr>
      </w:pPr>
    </w:p>
    <w:p w14:paraId="6B3E38C1" w14:textId="77777777" w:rsidR="00634E56" w:rsidRDefault="00634E56" w:rsidP="00634E56">
      <w:pPr>
        <w:numPr>
          <w:ilvl w:val="0"/>
          <w:numId w:val="1"/>
        </w:numPr>
        <w:spacing w:line="360" w:lineRule="auto"/>
        <w:jc w:val="both"/>
        <w:rPr>
          <w:rFonts w:ascii="Arial" w:hAnsi="Arial"/>
        </w:rPr>
      </w:pPr>
      <w:r>
        <w:rPr>
          <w:rFonts w:ascii="Arial" w:hAnsi="Arial" w:hint="cs"/>
          <w:rtl/>
        </w:rPr>
        <w:t>כראיות לעונש מטעם ההגנה הוגשו המסמכים הבאים:</w:t>
      </w:r>
    </w:p>
    <w:p w14:paraId="4D143ACD" w14:textId="77777777" w:rsidR="00634E56" w:rsidRDefault="00634E56" w:rsidP="00634E56">
      <w:pPr>
        <w:pStyle w:val="a9"/>
        <w:numPr>
          <w:ilvl w:val="0"/>
          <w:numId w:val="5"/>
        </w:numPr>
        <w:spacing w:line="360" w:lineRule="auto"/>
        <w:jc w:val="both"/>
        <w:rPr>
          <w:rFonts w:ascii="Arial" w:hAnsi="Arial"/>
        </w:rPr>
      </w:pPr>
      <w:r>
        <w:rPr>
          <w:rFonts w:ascii="Arial" w:hAnsi="Arial" w:hint="cs"/>
          <w:rtl/>
        </w:rPr>
        <w:t>מסמך רפואי מטעם מומחה לאורתופדיה מיום 27.11.2013, המעיד על הפניית הנאשם לטיפול פיזיותרפיה עקב תלונות על כאבי ידיים וגב;</w:t>
      </w:r>
    </w:p>
    <w:p w14:paraId="1C20B09A" w14:textId="77777777" w:rsidR="00634E56" w:rsidRDefault="00634E56" w:rsidP="00634E56">
      <w:pPr>
        <w:pStyle w:val="a9"/>
        <w:numPr>
          <w:ilvl w:val="0"/>
          <w:numId w:val="5"/>
        </w:numPr>
        <w:spacing w:line="360" w:lineRule="auto"/>
        <w:jc w:val="both"/>
        <w:rPr>
          <w:rFonts w:ascii="Arial" w:hAnsi="Arial"/>
        </w:rPr>
      </w:pPr>
      <w:r>
        <w:rPr>
          <w:rFonts w:ascii="Arial" w:hAnsi="Arial" w:hint="cs"/>
          <w:rtl/>
        </w:rPr>
        <w:t>מסמך סיכום מחלה של מערך הלב בבי"ח הדסה עין כרם מיום 09.06.2017, המעיד על הפניית הנאשם להשתלת קוצב לב קבוע;</w:t>
      </w:r>
    </w:p>
    <w:p w14:paraId="2D23CD87" w14:textId="77777777" w:rsidR="00634E56" w:rsidRPr="0039144B" w:rsidRDefault="00634E56" w:rsidP="00634E56">
      <w:pPr>
        <w:pStyle w:val="a9"/>
        <w:numPr>
          <w:ilvl w:val="0"/>
          <w:numId w:val="5"/>
        </w:numPr>
        <w:spacing w:line="360" w:lineRule="auto"/>
        <w:jc w:val="both"/>
        <w:rPr>
          <w:rFonts w:ascii="Arial" w:hAnsi="Arial"/>
        </w:rPr>
      </w:pPr>
      <w:r>
        <w:rPr>
          <w:rFonts w:ascii="Arial" w:hAnsi="Arial" w:hint="cs"/>
          <w:rtl/>
        </w:rPr>
        <w:t>מסמך מטעם המוסד לביטוח לאומי מיום 08.10.2018 המעיד על אישור זכאות לגמלת סיעוד החל משנת 2013.</w:t>
      </w:r>
    </w:p>
    <w:p w14:paraId="519075C1" w14:textId="77777777" w:rsidR="00634E56" w:rsidRDefault="00634E56" w:rsidP="00634E56">
      <w:pPr>
        <w:ind w:left="720"/>
        <w:jc w:val="both"/>
        <w:rPr>
          <w:rFonts w:ascii="Arial" w:hAnsi="Arial"/>
        </w:rPr>
      </w:pPr>
    </w:p>
    <w:p w14:paraId="2E02526B" w14:textId="77777777" w:rsidR="00634E56" w:rsidRPr="006A124D" w:rsidRDefault="00634E56" w:rsidP="00634E56">
      <w:pPr>
        <w:numPr>
          <w:ilvl w:val="0"/>
          <w:numId w:val="1"/>
        </w:numPr>
        <w:spacing w:line="360" w:lineRule="auto"/>
        <w:jc w:val="both"/>
        <w:rPr>
          <w:rFonts w:ascii="Arial" w:hAnsi="Arial"/>
        </w:rPr>
      </w:pPr>
      <w:r w:rsidRPr="006A124D">
        <w:rPr>
          <w:rFonts w:ascii="Arial" w:hAnsi="Arial"/>
          <w:rtl/>
        </w:rPr>
        <w:t>ב"כ הנאשם, עו"ד</w:t>
      </w:r>
      <w:r w:rsidRPr="006A124D">
        <w:rPr>
          <w:rFonts w:ascii="Arial" w:hAnsi="Arial" w:hint="cs"/>
          <w:rtl/>
        </w:rPr>
        <w:t xml:space="preserve"> נמיר אדלבי</w:t>
      </w:r>
      <w:r>
        <w:rPr>
          <w:rFonts w:ascii="Arial" w:hAnsi="Arial" w:hint="cs"/>
          <w:rtl/>
        </w:rPr>
        <w:t xml:space="preserve"> אשר לימד סנגוריה על הנאשם</w:t>
      </w:r>
      <w:r w:rsidRPr="006A124D">
        <w:rPr>
          <w:rFonts w:ascii="Arial" w:hAnsi="Arial"/>
          <w:rtl/>
        </w:rPr>
        <w:t xml:space="preserve">, </w:t>
      </w:r>
      <w:r>
        <w:rPr>
          <w:rFonts w:ascii="Arial" w:hAnsi="Arial" w:hint="cs"/>
          <w:rtl/>
        </w:rPr>
        <w:t>ביקש</w:t>
      </w:r>
      <w:r w:rsidRPr="006A124D">
        <w:rPr>
          <w:rFonts w:ascii="Arial" w:hAnsi="Arial"/>
          <w:rtl/>
        </w:rPr>
        <w:t xml:space="preserve"> להסתפק ב</w:t>
      </w:r>
      <w:r w:rsidRPr="006A124D">
        <w:rPr>
          <w:rFonts w:ascii="Arial" w:hAnsi="Arial" w:hint="cs"/>
          <w:rtl/>
        </w:rPr>
        <w:t>מאסר מותנה וקנס.</w:t>
      </w:r>
      <w:r>
        <w:rPr>
          <w:rFonts w:ascii="Arial" w:hAnsi="Arial" w:hint="cs"/>
          <w:rtl/>
        </w:rPr>
        <w:t xml:space="preserve"> </w:t>
      </w:r>
      <w:r w:rsidRPr="006A124D">
        <w:rPr>
          <w:rFonts w:ascii="Arial" w:hAnsi="Arial"/>
          <w:rtl/>
        </w:rPr>
        <w:t xml:space="preserve">בטיעוניו הדגיש </w:t>
      </w:r>
      <w:r>
        <w:rPr>
          <w:rFonts w:ascii="Arial" w:hAnsi="Arial" w:hint="cs"/>
          <w:rtl/>
        </w:rPr>
        <w:t xml:space="preserve">שבהסדר הטיעון הוסכם שההגנה תטען שהאקדח אינו שייך לנאשם והמאשימה לא תסתור טענה זו. לשיטתו, יש בעובדה זו כדי להפחית משמעותית מחומרת העבירה ומהמתחם שאותו יש לקבוע בגינה. עוד הדגיש את נסיבותיו האישיות של הנאשם, את גילו המתקדם, את מצבו הבריאותי הרעוע, ואת חלוף הזמן מאז שנעברה העבירה. כן טען שאם ייקבע מתחם עונש הולם שיכלול מאסר בפועל, הרי שהמקרה שלפנינו מצדיק לסטות ממנו משיקולי צדק. בהתייחסו לעברו הפלילי של הנאשם, טען שמדובר בעבר ישן מאוד וכי מאז שוחרר הנאשם מכלאו בשנת 1985 הוא חי חיים נורמטיביים ולא הסתבך עם החוק. </w:t>
      </w:r>
    </w:p>
    <w:p w14:paraId="2A209C87" w14:textId="77777777" w:rsidR="00634E56" w:rsidRPr="00F372F7" w:rsidRDefault="00634E56" w:rsidP="00634E56">
      <w:pPr>
        <w:spacing w:line="360" w:lineRule="auto"/>
        <w:jc w:val="both"/>
        <w:rPr>
          <w:rFonts w:ascii="Arial" w:hAnsi="Arial"/>
          <w:b/>
          <w:bCs/>
        </w:rPr>
      </w:pPr>
    </w:p>
    <w:p w14:paraId="4021AFB9" w14:textId="77777777"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 xml:space="preserve">הנאשם </w:t>
      </w:r>
      <w:r>
        <w:rPr>
          <w:rFonts w:ascii="Arial" w:hAnsi="Arial" w:hint="cs"/>
          <w:rtl/>
        </w:rPr>
        <w:t>ויתר על</w:t>
      </w:r>
      <w:r w:rsidRPr="00F372F7">
        <w:rPr>
          <w:rFonts w:ascii="Arial" w:hAnsi="Arial"/>
          <w:rtl/>
        </w:rPr>
        <w:t xml:space="preserve"> זכותו למילה האחרונה</w:t>
      </w:r>
      <w:r>
        <w:rPr>
          <w:rFonts w:ascii="Arial" w:hAnsi="Arial" w:hint="cs"/>
          <w:rtl/>
        </w:rPr>
        <w:t>.</w:t>
      </w:r>
      <w:r w:rsidRPr="00F372F7">
        <w:rPr>
          <w:rFonts w:ascii="Arial" w:hAnsi="Arial"/>
          <w:rtl/>
        </w:rPr>
        <w:t xml:space="preserve"> </w:t>
      </w:r>
    </w:p>
    <w:p w14:paraId="675F2D63" w14:textId="77777777" w:rsidR="00634E56" w:rsidRPr="00F372F7" w:rsidRDefault="00634E56" w:rsidP="00634E56">
      <w:pPr>
        <w:spacing w:line="360" w:lineRule="auto"/>
        <w:jc w:val="both"/>
        <w:rPr>
          <w:rFonts w:ascii="Arial" w:hAnsi="Arial"/>
          <w:b/>
          <w:bCs/>
        </w:rPr>
      </w:pPr>
    </w:p>
    <w:p w14:paraId="495D1F5B" w14:textId="77777777" w:rsidR="00634E56" w:rsidRPr="00F372F7" w:rsidRDefault="00634E56" w:rsidP="00634E56">
      <w:pPr>
        <w:spacing w:line="360" w:lineRule="auto"/>
        <w:jc w:val="both"/>
        <w:rPr>
          <w:rFonts w:ascii="Arial" w:hAnsi="Arial"/>
          <w:rtl/>
        </w:rPr>
      </w:pPr>
      <w:r w:rsidRPr="00F372F7">
        <w:rPr>
          <w:rFonts w:ascii="Arial" w:hAnsi="Arial"/>
          <w:b/>
          <w:bCs/>
          <w:rtl/>
        </w:rPr>
        <w:t>דיון והכרעה</w:t>
      </w:r>
    </w:p>
    <w:p w14:paraId="1488D195" w14:textId="77777777" w:rsidR="00634E56" w:rsidRPr="00F372F7" w:rsidRDefault="00634E56" w:rsidP="00634E56">
      <w:pPr>
        <w:spacing w:line="120" w:lineRule="auto"/>
        <w:jc w:val="both"/>
        <w:rPr>
          <w:rFonts w:ascii="Arial" w:hAnsi="Arial"/>
          <w:b/>
          <w:bCs/>
        </w:rPr>
      </w:pPr>
    </w:p>
    <w:p w14:paraId="5FDD0DB4" w14:textId="77777777" w:rsidR="00634E56" w:rsidRPr="00F372F7" w:rsidRDefault="00634E56" w:rsidP="00634E56">
      <w:pPr>
        <w:spacing w:line="360" w:lineRule="auto"/>
        <w:jc w:val="both"/>
        <w:rPr>
          <w:rFonts w:ascii="Arial" w:hAnsi="Arial"/>
          <w:rtl/>
        </w:rPr>
      </w:pPr>
      <w:r w:rsidRPr="00F372F7">
        <w:rPr>
          <w:rFonts w:ascii="Arial" w:hAnsi="Arial"/>
          <w:b/>
          <w:bCs/>
          <w:rtl/>
        </w:rPr>
        <w:t>קביעת מתחם העונש ההולם</w:t>
      </w:r>
    </w:p>
    <w:p w14:paraId="3E63A4A8" w14:textId="77777777" w:rsidR="00634E56" w:rsidRDefault="00634E56" w:rsidP="00634E56">
      <w:pPr>
        <w:numPr>
          <w:ilvl w:val="0"/>
          <w:numId w:val="1"/>
        </w:numPr>
        <w:spacing w:line="360" w:lineRule="auto"/>
        <w:jc w:val="both"/>
        <w:rPr>
          <w:rFonts w:ascii="Arial" w:hAnsi="Arial"/>
        </w:rPr>
      </w:pPr>
      <w:r w:rsidRPr="00F372F7">
        <w:rPr>
          <w:rFonts w:ascii="Arial" w:hAnsi="Arial"/>
          <w:rtl/>
        </w:rPr>
        <w:t xml:space="preserve">כידוע, העיקרון המנחה בקביעת העונש הוא </w:t>
      </w:r>
      <w:r w:rsidRPr="00F372F7">
        <w:rPr>
          <w:rFonts w:ascii="Arial" w:hAnsi="Arial"/>
          <w:b/>
          <w:bCs/>
          <w:rtl/>
        </w:rPr>
        <w:t>עיקרון ההלימה</w:t>
      </w:r>
      <w:r w:rsidRPr="00F372F7">
        <w:rPr>
          <w:rFonts w:ascii="Arial" w:hAnsi="Arial"/>
          <w:rtl/>
        </w:rPr>
        <w:t>, דהיינו, קיומו של יחס הולם בין חומרת מעשה העבירה בנסיבותיו ומידת אשמו של הנאשם, ובין סוג ומידת העונש שיוטל עליו (להלן: "</w:t>
      </w:r>
      <w:r w:rsidRPr="00F372F7">
        <w:rPr>
          <w:rFonts w:ascii="Arial" w:hAnsi="Arial"/>
          <w:b/>
          <w:bCs/>
          <w:rtl/>
        </w:rPr>
        <w:t>העיקרון המנחה</w:t>
      </w:r>
      <w:r w:rsidRPr="00F372F7">
        <w:rPr>
          <w:rFonts w:ascii="Arial" w:hAnsi="Arial"/>
          <w:rtl/>
        </w:rPr>
        <w:t xml:space="preserve">"). </w:t>
      </w:r>
    </w:p>
    <w:p w14:paraId="0FB09AF3" w14:textId="77777777" w:rsidR="00634E56" w:rsidRDefault="00634E56" w:rsidP="00634E56">
      <w:pPr>
        <w:spacing w:line="360" w:lineRule="auto"/>
        <w:ind w:left="720"/>
        <w:jc w:val="both"/>
        <w:rPr>
          <w:rFonts w:ascii="Arial" w:hAnsi="Arial"/>
        </w:rPr>
      </w:pPr>
    </w:p>
    <w:p w14:paraId="05350E8F" w14:textId="77777777" w:rsidR="00634E56" w:rsidRPr="002F0786" w:rsidRDefault="00634E56" w:rsidP="00634E56">
      <w:pPr>
        <w:spacing w:line="360" w:lineRule="auto"/>
        <w:ind w:left="720"/>
        <w:jc w:val="both"/>
        <w:rPr>
          <w:rFonts w:ascii="Arial" w:hAnsi="Arial"/>
          <w:rtl/>
        </w:rPr>
      </w:pPr>
      <w:r w:rsidRPr="002F0786">
        <w:rPr>
          <w:rFonts w:ascii="Arial" w:hAnsi="Arial"/>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5F7C32DA" w14:textId="77777777" w:rsidR="00634E56" w:rsidRPr="00F372F7" w:rsidRDefault="00634E56" w:rsidP="00634E56">
      <w:pPr>
        <w:spacing w:line="360" w:lineRule="auto"/>
        <w:jc w:val="both"/>
        <w:rPr>
          <w:rFonts w:ascii="Arial" w:hAnsi="Arial"/>
          <w:rtl/>
        </w:rPr>
      </w:pPr>
    </w:p>
    <w:p w14:paraId="3AB7CA29" w14:textId="77777777" w:rsidR="00634E56" w:rsidRDefault="00634E56" w:rsidP="00634E56">
      <w:pPr>
        <w:numPr>
          <w:ilvl w:val="0"/>
          <w:numId w:val="1"/>
        </w:numPr>
        <w:spacing w:line="360" w:lineRule="auto"/>
        <w:jc w:val="both"/>
        <w:rPr>
          <w:rFonts w:ascii="Arial" w:hAnsi="Arial"/>
        </w:rPr>
      </w:pPr>
      <w:r w:rsidRPr="00F372F7">
        <w:rPr>
          <w:rFonts w:ascii="Arial" w:hAnsi="Arial"/>
          <w:rtl/>
        </w:rPr>
        <w:t xml:space="preserve">במקרה דנא, </w:t>
      </w:r>
      <w:r>
        <w:rPr>
          <w:rFonts w:ascii="Arial" w:hAnsi="Arial"/>
          <w:b/>
          <w:bCs/>
          <w:rtl/>
        </w:rPr>
        <w:t>הער</w:t>
      </w:r>
      <w:r>
        <w:rPr>
          <w:rFonts w:ascii="Arial" w:hAnsi="Arial" w:hint="cs"/>
          <w:b/>
          <w:bCs/>
          <w:rtl/>
        </w:rPr>
        <w:t>כים</w:t>
      </w:r>
      <w:r w:rsidRPr="00F372F7">
        <w:rPr>
          <w:rFonts w:ascii="Arial" w:hAnsi="Arial"/>
          <w:b/>
          <w:bCs/>
          <w:rtl/>
        </w:rPr>
        <w:t xml:space="preserve"> החברתי</w:t>
      </w:r>
      <w:r>
        <w:rPr>
          <w:rFonts w:ascii="Arial" w:hAnsi="Arial" w:hint="cs"/>
          <w:b/>
          <w:bCs/>
          <w:rtl/>
        </w:rPr>
        <w:t>ים</w:t>
      </w:r>
      <w:r>
        <w:rPr>
          <w:rFonts w:ascii="Arial" w:hAnsi="Arial"/>
          <w:b/>
          <w:bCs/>
          <w:rtl/>
        </w:rPr>
        <w:t xml:space="preserve"> המוג</w:t>
      </w:r>
      <w:r>
        <w:rPr>
          <w:rFonts w:ascii="Arial" w:hAnsi="Arial" w:hint="cs"/>
          <w:b/>
          <w:bCs/>
          <w:rtl/>
        </w:rPr>
        <w:t>נים</w:t>
      </w:r>
      <w:r w:rsidRPr="00F372F7">
        <w:rPr>
          <w:rFonts w:ascii="Arial" w:hAnsi="Arial"/>
          <w:b/>
          <w:bCs/>
          <w:rtl/>
        </w:rPr>
        <w:t xml:space="preserve"> </w:t>
      </w:r>
      <w:r w:rsidRPr="00F372F7">
        <w:rPr>
          <w:rFonts w:ascii="Arial" w:hAnsi="Arial"/>
          <w:rtl/>
        </w:rPr>
        <w:t>שנפגע</w:t>
      </w:r>
      <w:r>
        <w:rPr>
          <w:rFonts w:ascii="Arial" w:hAnsi="Arial" w:hint="cs"/>
          <w:rtl/>
        </w:rPr>
        <w:t xml:space="preserve">ו הם ההגנה על שלום הציבור ובטחונו ומניעת סיכון לחיי אדם. </w:t>
      </w:r>
    </w:p>
    <w:p w14:paraId="37D34F20" w14:textId="77777777" w:rsidR="00634E56" w:rsidRDefault="00634E56" w:rsidP="00634E56">
      <w:pPr>
        <w:spacing w:line="360" w:lineRule="auto"/>
        <w:ind w:left="720"/>
        <w:jc w:val="both"/>
        <w:rPr>
          <w:rFonts w:ascii="Arial" w:hAnsi="Arial"/>
          <w:rtl/>
        </w:rPr>
      </w:pPr>
    </w:p>
    <w:p w14:paraId="408F5C5C" w14:textId="77777777" w:rsidR="00634E56" w:rsidRPr="00B86762" w:rsidRDefault="00634E56" w:rsidP="00634E56">
      <w:pPr>
        <w:spacing w:line="360" w:lineRule="auto"/>
        <w:ind w:left="720"/>
        <w:jc w:val="both"/>
        <w:rPr>
          <w:rFonts w:ascii="Arial" w:hAnsi="Arial"/>
        </w:rPr>
      </w:pPr>
      <w:r>
        <w:rPr>
          <w:rFonts w:ascii="Arial" w:hAnsi="Arial" w:hint="cs"/>
          <w:rtl/>
        </w:rPr>
        <w:t>ביהמ"ש העליון עמד פעמים רבות על חומרתן של עבירות הנשק ועל הסיכון הטמון בהן לשלום הציבור. ב</w:t>
      </w:r>
      <w:hyperlink r:id="rId12" w:history="1">
        <w:r w:rsidR="004D0B6B" w:rsidRPr="004D0B6B">
          <w:rPr>
            <w:rFonts w:ascii="Arial" w:hAnsi="Arial"/>
            <w:color w:val="0000FF"/>
            <w:u w:val="single"/>
            <w:rtl/>
          </w:rPr>
          <w:t>ע"פ 135/17</w:t>
        </w:r>
      </w:hyperlink>
      <w:r w:rsidRPr="00B86762">
        <w:rPr>
          <w:rFonts w:ascii="Arial" w:hAnsi="Arial" w:hint="cs"/>
          <w:rtl/>
        </w:rPr>
        <w:t xml:space="preserve"> </w:t>
      </w:r>
      <w:r w:rsidRPr="00B86762">
        <w:rPr>
          <w:rFonts w:ascii="Arial" w:hAnsi="Arial" w:hint="cs"/>
          <w:b/>
          <w:bCs/>
          <w:rtl/>
        </w:rPr>
        <w:t>מדינת ישראל נגד בסל</w:t>
      </w:r>
      <w:r w:rsidRPr="00B86762">
        <w:rPr>
          <w:rFonts w:ascii="Arial" w:hAnsi="Arial" w:hint="cs"/>
          <w:rtl/>
        </w:rPr>
        <w:t xml:space="preserve"> (08.03.2</w:t>
      </w:r>
      <w:r>
        <w:rPr>
          <w:rFonts w:ascii="Arial" w:hAnsi="Arial" w:hint="cs"/>
          <w:rtl/>
        </w:rPr>
        <w:t>017) נאמרו הדברים כך:</w:t>
      </w:r>
    </w:p>
    <w:p w14:paraId="56D7182D" w14:textId="77777777" w:rsidR="00634E56" w:rsidRPr="00B86762" w:rsidRDefault="00634E56" w:rsidP="00634E56">
      <w:pPr>
        <w:ind w:left="720"/>
        <w:jc w:val="both"/>
        <w:rPr>
          <w:rFonts w:ascii="Arial" w:hAnsi="Arial"/>
        </w:rPr>
      </w:pPr>
    </w:p>
    <w:p w14:paraId="14C75FA0" w14:textId="77777777" w:rsidR="00634E56" w:rsidRPr="00500989" w:rsidRDefault="00634E56" w:rsidP="00634E56">
      <w:pPr>
        <w:spacing w:line="360" w:lineRule="auto"/>
        <w:ind w:left="1275" w:right="709"/>
        <w:jc w:val="both"/>
        <w:rPr>
          <w:rFonts w:ascii="Arial" w:hAnsi="Arial"/>
        </w:rPr>
      </w:pPr>
      <w:r w:rsidRPr="00E42171">
        <w:rPr>
          <w:rFonts w:ascii="Arial" w:hAnsi="Arial" w:hint="cs"/>
          <w:b/>
          <w:bCs/>
          <w:rtl/>
        </w:rPr>
        <w:t>"נשק המתגלגל מיד ליד עלול להגיע לידי גורמים עברייניים או לפעילות ביטחונית, פגיעתו הרעה מורגשת ומהווה איום על שלום הציבור כולו"</w:t>
      </w:r>
      <w:r w:rsidRPr="00E42171">
        <w:rPr>
          <w:rFonts w:ascii="Arial" w:hAnsi="Arial"/>
          <w:b/>
          <w:bCs/>
          <w:rtl/>
        </w:rPr>
        <w:t xml:space="preserve"> </w:t>
      </w:r>
    </w:p>
    <w:p w14:paraId="3FAC3878" w14:textId="77777777" w:rsidR="00634E56" w:rsidRPr="00B86762" w:rsidRDefault="00634E56" w:rsidP="00634E56">
      <w:pPr>
        <w:jc w:val="both"/>
        <w:rPr>
          <w:rFonts w:ascii="Arial" w:hAnsi="Arial"/>
        </w:rPr>
      </w:pPr>
    </w:p>
    <w:p w14:paraId="4CFF280A" w14:textId="77777777" w:rsidR="00634E56" w:rsidRDefault="00634E56" w:rsidP="00634E56">
      <w:pPr>
        <w:numPr>
          <w:ilvl w:val="0"/>
          <w:numId w:val="1"/>
        </w:numPr>
        <w:spacing w:line="360" w:lineRule="auto"/>
        <w:jc w:val="both"/>
        <w:rPr>
          <w:rFonts w:ascii="Arial" w:hAnsi="Arial"/>
        </w:rPr>
      </w:pPr>
      <w:r w:rsidRPr="00EA250C">
        <w:rPr>
          <w:rFonts w:ascii="Arial" w:hAnsi="Arial"/>
          <w:b/>
          <w:bCs/>
          <w:rtl/>
        </w:rPr>
        <w:t>מידת הפגיעה בערך המוגן</w:t>
      </w:r>
      <w:r w:rsidRPr="00EA250C">
        <w:rPr>
          <w:rFonts w:ascii="Arial" w:hAnsi="Arial" w:hint="cs"/>
          <w:rtl/>
        </w:rPr>
        <w:t xml:space="preserve"> </w:t>
      </w:r>
      <w:r w:rsidRPr="00EA250C">
        <w:rPr>
          <w:rFonts w:ascii="Arial" w:hAnsi="Arial"/>
          <w:rtl/>
        </w:rPr>
        <w:t>–</w:t>
      </w:r>
      <w:r w:rsidRPr="00EA250C">
        <w:rPr>
          <w:rFonts w:ascii="Arial" w:hAnsi="Arial" w:hint="cs"/>
          <w:rtl/>
        </w:rPr>
        <w:t xml:space="preserve"> גבוהה. </w:t>
      </w:r>
      <w:r>
        <w:rPr>
          <w:rFonts w:ascii="Arial" w:hAnsi="Arial" w:hint="cs"/>
          <w:rtl/>
        </w:rPr>
        <w:t xml:space="preserve">מדובר בעבירה שמקימה פוטנציאל להסלמה עבריינית ויוצרת סיכון ממשי לשלום הציבור ובטחונו. כך גם </w:t>
      </w:r>
      <w:r w:rsidRPr="00EA250C">
        <w:rPr>
          <w:rFonts w:ascii="Arial" w:hAnsi="Arial" w:hint="cs"/>
          <w:rtl/>
        </w:rPr>
        <w:t>האקדח שהוסתר בחדרו של הנאשם עלול היה ל</w:t>
      </w:r>
      <w:r>
        <w:rPr>
          <w:rFonts w:ascii="Arial" w:hAnsi="Arial" w:hint="cs"/>
          <w:rtl/>
        </w:rPr>
        <w:t>התגלגל</w:t>
      </w:r>
      <w:r w:rsidRPr="00EA250C">
        <w:rPr>
          <w:rFonts w:ascii="Arial" w:hAnsi="Arial" w:hint="cs"/>
          <w:rtl/>
        </w:rPr>
        <w:t xml:space="preserve"> לידיים עויינות ולהמיט אסון עד כדי</w:t>
      </w:r>
      <w:r>
        <w:rPr>
          <w:rFonts w:ascii="Arial" w:hAnsi="Arial" w:hint="cs"/>
          <w:rtl/>
        </w:rPr>
        <w:t xml:space="preserve"> אובדן</w:t>
      </w:r>
      <w:r w:rsidRPr="00EA250C">
        <w:rPr>
          <w:rFonts w:ascii="Arial" w:hAnsi="Arial" w:hint="cs"/>
          <w:rtl/>
        </w:rPr>
        <w:t xml:space="preserve"> חיי אדם ממש. </w:t>
      </w:r>
    </w:p>
    <w:p w14:paraId="73AFD64E" w14:textId="77777777" w:rsidR="00634E56" w:rsidRPr="00EA250C" w:rsidRDefault="00634E56" w:rsidP="00634E56">
      <w:pPr>
        <w:spacing w:line="360" w:lineRule="auto"/>
        <w:ind w:left="720"/>
        <w:jc w:val="both"/>
        <w:rPr>
          <w:rFonts w:ascii="Arial" w:hAnsi="Arial"/>
        </w:rPr>
      </w:pPr>
    </w:p>
    <w:p w14:paraId="3BBD63E6" w14:textId="77777777" w:rsidR="00634E56" w:rsidRDefault="00634E56" w:rsidP="00634E56">
      <w:pPr>
        <w:numPr>
          <w:ilvl w:val="0"/>
          <w:numId w:val="1"/>
        </w:numPr>
        <w:spacing w:line="360" w:lineRule="auto"/>
        <w:jc w:val="both"/>
        <w:rPr>
          <w:rFonts w:ascii="Arial" w:hAnsi="Arial"/>
        </w:rPr>
      </w:pPr>
      <w:r w:rsidRPr="00F372F7">
        <w:rPr>
          <w:rFonts w:ascii="Arial" w:hAnsi="Arial"/>
          <w:rtl/>
        </w:rPr>
        <w:t xml:space="preserve">לעניין </w:t>
      </w:r>
      <w:r w:rsidRPr="00F372F7">
        <w:rPr>
          <w:rFonts w:ascii="Arial" w:hAnsi="Arial"/>
          <w:b/>
          <w:bCs/>
          <w:rtl/>
        </w:rPr>
        <w:t>מדיניות הענישה הנוהגת,</w:t>
      </w:r>
      <w:r w:rsidRPr="00F372F7">
        <w:rPr>
          <w:rFonts w:ascii="Arial" w:hAnsi="Arial"/>
          <w:rtl/>
        </w:rPr>
        <w:t xml:space="preserve"> </w:t>
      </w:r>
      <w:r>
        <w:rPr>
          <w:rFonts w:ascii="Arial" w:hAnsi="Arial" w:hint="cs"/>
          <w:rtl/>
        </w:rPr>
        <w:t xml:space="preserve">עיון בפסקי דין בפרט מהתקופה האחרונה מלמד על מגמת החמרה מובהקת ובלתי מתפשרת בעבירות נשק אשר בגינן, ככלל, מוטלים עונשי מאסר ממושכים בפועל. </w:t>
      </w:r>
    </w:p>
    <w:p w14:paraId="6BAE483E" w14:textId="77777777" w:rsidR="00634E56" w:rsidRDefault="00634E56" w:rsidP="00634E56">
      <w:pPr>
        <w:spacing w:line="360" w:lineRule="auto"/>
        <w:ind w:left="720"/>
        <w:jc w:val="both"/>
        <w:rPr>
          <w:rFonts w:ascii="Arial" w:hAnsi="Arial"/>
          <w:rtl/>
        </w:rPr>
      </w:pPr>
    </w:p>
    <w:p w14:paraId="18165CA0" w14:textId="77777777" w:rsidR="00634E56" w:rsidRDefault="00634E56" w:rsidP="00634E56">
      <w:pPr>
        <w:spacing w:line="360" w:lineRule="auto"/>
        <w:ind w:left="720"/>
        <w:jc w:val="both"/>
        <w:rPr>
          <w:rFonts w:ascii="Arial" w:hAnsi="Arial"/>
          <w:rtl/>
        </w:rPr>
      </w:pPr>
      <w:r>
        <w:rPr>
          <w:rFonts w:ascii="Arial" w:hAnsi="Arial" w:hint="cs"/>
          <w:rtl/>
        </w:rPr>
        <w:t>עוד אזכיר בהקשר זה שהמחוקק גילה דעתו להחמיר בעבירות החזקת נשק בלא רשות כדין בקובעו לצד העבירה עונש מאסר בן 7 שנים.</w:t>
      </w:r>
    </w:p>
    <w:p w14:paraId="2CEC2165" w14:textId="77777777" w:rsidR="00634E56" w:rsidRDefault="00634E56" w:rsidP="00634E56">
      <w:pPr>
        <w:spacing w:line="360" w:lineRule="auto"/>
        <w:ind w:left="720"/>
        <w:jc w:val="both"/>
        <w:rPr>
          <w:rFonts w:ascii="Arial" w:hAnsi="Arial"/>
          <w:rtl/>
        </w:rPr>
      </w:pPr>
    </w:p>
    <w:p w14:paraId="79C9ED2A" w14:textId="77777777" w:rsidR="00634E56" w:rsidRPr="00F5754C" w:rsidRDefault="00634E56" w:rsidP="00634E56">
      <w:pPr>
        <w:spacing w:line="360" w:lineRule="auto"/>
        <w:ind w:left="720"/>
        <w:rPr>
          <w:rFonts w:ascii="Arial" w:hAnsi="Arial"/>
          <w:rtl/>
        </w:rPr>
      </w:pPr>
      <w:r w:rsidRPr="00F5754C">
        <w:rPr>
          <w:rFonts w:ascii="Arial" w:hAnsi="Arial"/>
          <w:rtl/>
        </w:rPr>
        <w:t xml:space="preserve">לעניין מדיניות הענישה הנוהגת, </w:t>
      </w:r>
      <w:r>
        <w:rPr>
          <w:rFonts w:ascii="Arial" w:hAnsi="Arial" w:hint="cs"/>
          <w:rtl/>
        </w:rPr>
        <w:t>אעיר שתי הערות מקדימות</w:t>
      </w:r>
      <w:r w:rsidRPr="00F5754C">
        <w:rPr>
          <w:rFonts w:ascii="Arial" w:hAnsi="Arial"/>
          <w:rtl/>
        </w:rPr>
        <w:t>.</w:t>
      </w:r>
    </w:p>
    <w:p w14:paraId="529C5D6B" w14:textId="77777777" w:rsidR="00634E56" w:rsidRPr="00F5754C" w:rsidRDefault="00634E56" w:rsidP="00634E56">
      <w:pPr>
        <w:spacing w:line="360" w:lineRule="auto"/>
        <w:ind w:left="720"/>
        <w:rPr>
          <w:rFonts w:ascii="Arial" w:hAnsi="Arial"/>
          <w:rtl/>
        </w:rPr>
      </w:pPr>
    </w:p>
    <w:p w14:paraId="53B8A0C5" w14:textId="77777777" w:rsidR="00634E56" w:rsidRPr="00F5754C" w:rsidRDefault="00634E56" w:rsidP="00634E56">
      <w:pPr>
        <w:spacing w:line="360" w:lineRule="auto"/>
        <w:ind w:left="720"/>
        <w:jc w:val="both"/>
        <w:rPr>
          <w:rFonts w:ascii="Arial" w:hAnsi="Arial"/>
          <w:rtl/>
        </w:rPr>
      </w:pPr>
      <w:r>
        <w:rPr>
          <w:rFonts w:ascii="Arial" w:hAnsi="Arial"/>
          <w:rtl/>
        </w:rPr>
        <w:t>הראשונה עניינה בכך ש</w:t>
      </w:r>
      <w:r>
        <w:rPr>
          <w:rFonts w:ascii="Arial" w:hAnsi="Arial" w:hint="cs"/>
          <w:rtl/>
        </w:rPr>
        <w:t xml:space="preserve">רוב </w:t>
      </w:r>
      <w:r>
        <w:rPr>
          <w:rFonts w:ascii="Arial" w:hAnsi="Arial"/>
          <w:rtl/>
        </w:rPr>
        <w:t>פסקי הדין שיוצגו</w:t>
      </w:r>
      <w:r w:rsidRPr="00F5754C">
        <w:rPr>
          <w:rFonts w:ascii="Arial" w:hAnsi="Arial"/>
          <w:rtl/>
        </w:rPr>
        <w:t xml:space="preserve"> </w:t>
      </w:r>
      <w:r>
        <w:rPr>
          <w:rFonts w:ascii="Arial" w:hAnsi="Arial" w:hint="cs"/>
          <w:rtl/>
        </w:rPr>
        <w:t xml:space="preserve">להלן עוסקים בעבירות שנסיבותיהן חמורות יותר מנסיבות התיק דנא. </w:t>
      </w:r>
      <w:r w:rsidRPr="00F5754C">
        <w:rPr>
          <w:rFonts w:ascii="Arial" w:hAnsi="Arial"/>
          <w:rtl/>
        </w:rPr>
        <w:t xml:space="preserve">מטרת הבאתם אפוא היא לשם </w:t>
      </w:r>
      <w:r>
        <w:rPr>
          <w:rFonts w:ascii="Arial" w:hAnsi="Arial" w:hint="cs"/>
          <w:rtl/>
        </w:rPr>
        <w:t>המשחת מגמת ההחמרה בעבירות נשק ו</w:t>
      </w:r>
      <w:r>
        <w:rPr>
          <w:rFonts w:ascii="Arial" w:hAnsi="Arial"/>
          <w:rtl/>
        </w:rPr>
        <w:t>הצבתם כקנה מידה</w:t>
      </w:r>
      <w:r>
        <w:rPr>
          <w:rFonts w:ascii="Arial" w:hAnsi="Arial" w:hint="cs"/>
          <w:rtl/>
        </w:rPr>
        <w:t xml:space="preserve">.  </w:t>
      </w:r>
    </w:p>
    <w:p w14:paraId="6CFC89AB" w14:textId="77777777" w:rsidR="00634E56" w:rsidRPr="00F5754C" w:rsidRDefault="00634E56" w:rsidP="00634E56">
      <w:pPr>
        <w:spacing w:line="360" w:lineRule="auto"/>
        <w:ind w:left="720"/>
        <w:rPr>
          <w:rFonts w:ascii="Arial" w:hAnsi="Arial"/>
          <w:rtl/>
        </w:rPr>
      </w:pPr>
    </w:p>
    <w:p w14:paraId="2F3A58BD" w14:textId="77777777" w:rsidR="00634E56" w:rsidRDefault="00634E56" w:rsidP="00634E56">
      <w:pPr>
        <w:spacing w:line="360" w:lineRule="auto"/>
        <w:ind w:left="720"/>
        <w:jc w:val="both"/>
        <w:rPr>
          <w:rFonts w:ascii="Arial" w:hAnsi="Arial"/>
        </w:rPr>
      </w:pPr>
      <w:r w:rsidRPr="00F5754C">
        <w:rPr>
          <w:rFonts w:ascii="Arial" w:hAnsi="Arial"/>
          <w:rtl/>
        </w:rPr>
        <w:t>השנייה עניינה בהבדל שבין טווח הענישה המקובל בפסיקה למתחם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המבוססת על שורה של שיקולים שהפסיקה הנוהגת היא רק אחד מהם.</w:t>
      </w:r>
    </w:p>
    <w:p w14:paraId="6C6B08A0" w14:textId="77777777" w:rsidR="00634E56" w:rsidRDefault="00634E56" w:rsidP="00634E56">
      <w:pPr>
        <w:spacing w:line="360" w:lineRule="auto"/>
        <w:ind w:left="720"/>
        <w:jc w:val="both"/>
        <w:rPr>
          <w:rFonts w:ascii="Arial" w:hAnsi="Arial"/>
        </w:rPr>
      </w:pPr>
    </w:p>
    <w:p w14:paraId="6136C448" w14:textId="77777777" w:rsidR="00634E56" w:rsidRDefault="00634E56" w:rsidP="00634E56">
      <w:pPr>
        <w:spacing w:line="360" w:lineRule="auto"/>
        <w:ind w:left="720"/>
        <w:jc w:val="both"/>
        <w:rPr>
          <w:rFonts w:ascii="Arial" w:hAnsi="Arial"/>
          <w:rtl/>
        </w:rPr>
      </w:pPr>
      <w:r>
        <w:rPr>
          <w:rFonts w:ascii="Arial" w:hAnsi="Arial" w:hint="cs"/>
          <w:rtl/>
        </w:rPr>
        <w:t xml:space="preserve">בהתייחס לרמת הענישה הראויה בעבירות נשק, קבע בית המשפט העליון </w:t>
      </w:r>
      <w:r w:rsidRPr="00B04FD5">
        <w:rPr>
          <w:rFonts w:ascii="Arial" w:hAnsi="Arial"/>
          <w:rtl/>
        </w:rPr>
        <w:t>לאחרונה</w:t>
      </w:r>
      <w:r>
        <w:rPr>
          <w:rFonts w:ascii="Arial" w:hAnsi="Arial"/>
          <w:rtl/>
        </w:rPr>
        <w:t xml:space="preserve"> </w:t>
      </w:r>
      <w:r w:rsidRPr="00F5754C">
        <w:rPr>
          <w:rFonts w:ascii="Arial" w:hAnsi="Arial"/>
          <w:u w:val="single"/>
          <w:rtl/>
        </w:rPr>
        <w:t>ב</w:t>
      </w:r>
      <w:hyperlink r:id="rId13" w:history="1">
        <w:r w:rsidR="004D0B6B" w:rsidRPr="004D0B6B">
          <w:rPr>
            <w:rFonts w:ascii="Arial" w:hAnsi="Arial"/>
            <w:color w:val="0000FF"/>
            <w:u w:val="single"/>
            <w:rtl/>
          </w:rPr>
          <w:t>ע"פ 4406/19</w:t>
        </w:r>
      </w:hyperlink>
      <w:r w:rsidRPr="00F5754C">
        <w:rPr>
          <w:rFonts w:ascii="Arial" w:hAnsi="Arial"/>
          <w:u w:val="single"/>
          <w:rtl/>
        </w:rPr>
        <w:t xml:space="preserve"> </w:t>
      </w:r>
      <w:r w:rsidRPr="00F5754C">
        <w:rPr>
          <w:rFonts w:ascii="Arial" w:hAnsi="Arial"/>
          <w:b/>
          <w:bCs/>
          <w:u w:val="single"/>
          <w:rtl/>
        </w:rPr>
        <w:t>מדינת ישראל נ</w:t>
      </w:r>
      <w:r w:rsidRPr="00F5754C">
        <w:rPr>
          <w:rFonts w:ascii="Arial" w:hAnsi="Arial" w:hint="cs"/>
          <w:b/>
          <w:bCs/>
          <w:u w:val="single"/>
          <w:rtl/>
        </w:rPr>
        <w:t>גד</w:t>
      </w:r>
      <w:r w:rsidRPr="00F5754C">
        <w:rPr>
          <w:rFonts w:ascii="Arial" w:hAnsi="Arial"/>
          <w:b/>
          <w:bCs/>
          <w:u w:val="single"/>
          <w:rtl/>
        </w:rPr>
        <w:t xml:space="preserve"> סובח</w:t>
      </w:r>
      <w:r w:rsidRPr="00F5754C">
        <w:rPr>
          <w:rFonts w:ascii="Arial" w:hAnsi="Arial"/>
          <w:u w:val="single"/>
          <w:rtl/>
        </w:rPr>
        <w:t xml:space="preserve"> (5.11.</w:t>
      </w:r>
      <w:r w:rsidRPr="00F5754C">
        <w:rPr>
          <w:rFonts w:ascii="Arial" w:hAnsi="Arial" w:hint="cs"/>
          <w:u w:val="single"/>
          <w:rtl/>
        </w:rPr>
        <w:t>20</w:t>
      </w:r>
      <w:r w:rsidRPr="00F5754C">
        <w:rPr>
          <w:rFonts w:ascii="Arial" w:hAnsi="Arial"/>
          <w:u w:val="single"/>
          <w:rtl/>
        </w:rPr>
        <w:t xml:space="preserve">19) </w:t>
      </w:r>
      <w:r w:rsidRPr="00B04FD5">
        <w:rPr>
          <w:rFonts w:ascii="Arial" w:hAnsi="Arial"/>
          <w:rtl/>
        </w:rPr>
        <w:t xml:space="preserve">כי </w:t>
      </w:r>
      <w:r>
        <w:rPr>
          <w:rFonts w:ascii="Arial" w:hAnsi="Arial" w:hint="cs"/>
          <w:rtl/>
        </w:rPr>
        <w:t>אין די ב</w:t>
      </w:r>
      <w:r w:rsidRPr="00B04FD5">
        <w:rPr>
          <w:rFonts w:ascii="Arial" w:hAnsi="Arial"/>
          <w:rtl/>
        </w:rPr>
        <w:t>ענישה ה</w:t>
      </w:r>
      <w:r>
        <w:rPr>
          <w:rFonts w:ascii="Arial" w:hAnsi="Arial" w:hint="cs"/>
          <w:rtl/>
        </w:rPr>
        <w:t xml:space="preserve">נוהגת כיום </w:t>
      </w:r>
      <w:r w:rsidRPr="00B04FD5">
        <w:rPr>
          <w:rFonts w:ascii="Arial" w:hAnsi="Arial"/>
          <w:rtl/>
        </w:rPr>
        <w:t>ויש</w:t>
      </w:r>
      <w:r>
        <w:rPr>
          <w:rFonts w:ascii="Arial" w:hAnsi="Arial"/>
          <w:rtl/>
        </w:rPr>
        <w:t xml:space="preserve"> להעלות את רף הענישה בעבירות </w:t>
      </w:r>
      <w:r>
        <w:rPr>
          <w:rFonts w:ascii="Arial" w:hAnsi="Arial" w:hint="cs"/>
          <w:rtl/>
        </w:rPr>
        <w:t>אלה. ובלשון בית המשפט נאמרו הדברים כך</w:t>
      </w:r>
      <w:r w:rsidRPr="00B04FD5">
        <w:rPr>
          <w:rFonts w:ascii="Arial" w:hAnsi="Arial"/>
          <w:rtl/>
        </w:rPr>
        <w:t xml:space="preserve">: </w:t>
      </w:r>
    </w:p>
    <w:p w14:paraId="0D14D633" w14:textId="77777777" w:rsidR="00634E56" w:rsidRPr="00B04FD5" w:rsidRDefault="00634E56" w:rsidP="00634E56">
      <w:pPr>
        <w:spacing w:line="360" w:lineRule="auto"/>
        <w:ind w:left="720"/>
        <w:rPr>
          <w:rFonts w:ascii="Arial" w:hAnsi="Arial"/>
          <w:rtl/>
        </w:rPr>
      </w:pPr>
    </w:p>
    <w:p w14:paraId="736A2669" w14:textId="77777777" w:rsidR="00634E56" w:rsidRPr="001C4CBB" w:rsidRDefault="00634E56" w:rsidP="00634E56">
      <w:pPr>
        <w:spacing w:line="360" w:lineRule="auto"/>
        <w:ind w:left="1275" w:right="709"/>
        <w:jc w:val="both"/>
        <w:rPr>
          <w:rFonts w:ascii="Arial" w:hAnsi="Arial"/>
          <w:b/>
          <w:bCs/>
          <w:rtl/>
        </w:rPr>
      </w:pPr>
      <w:r>
        <w:rPr>
          <w:rFonts w:ascii="Arial" w:hAnsi="Arial"/>
          <w:b/>
          <w:bCs/>
          <w:rtl/>
        </w:rPr>
        <w:t>"...</w:t>
      </w:r>
      <w:r w:rsidRPr="001C4CBB">
        <w:rPr>
          <w:rFonts w:ascii="Arial" w:hAnsi="Arial"/>
          <w:b/>
          <w:bCs/>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4A5079B6" w14:textId="77777777" w:rsidR="00634E56" w:rsidRPr="00B04FD5" w:rsidRDefault="00634E56" w:rsidP="00634E56">
      <w:pPr>
        <w:spacing w:line="360" w:lineRule="auto"/>
        <w:ind w:left="720"/>
        <w:rPr>
          <w:rFonts w:ascii="Arial" w:hAnsi="Arial"/>
          <w:rtl/>
        </w:rPr>
      </w:pPr>
    </w:p>
    <w:p w14:paraId="0C5A26CB" w14:textId="77777777" w:rsidR="00634E56" w:rsidRPr="00B04FD5" w:rsidRDefault="00634E56" w:rsidP="00634E56">
      <w:pPr>
        <w:spacing w:line="360" w:lineRule="auto"/>
        <w:ind w:left="720"/>
        <w:rPr>
          <w:rFonts w:ascii="Arial" w:hAnsi="Arial"/>
          <w:rtl/>
        </w:rPr>
      </w:pPr>
      <w:r w:rsidRPr="00B04FD5">
        <w:rPr>
          <w:rFonts w:ascii="Arial" w:hAnsi="Arial"/>
          <w:rtl/>
        </w:rPr>
        <w:t>בהתייחס</w:t>
      </w:r>
      <w:r>
        <w:rPr>
          <w:rFonts w:ascii="Arial" w:hAnsi="Arial" w:hint="cs"/>
          <w:rtl/>
        </w:rPr>
        <w:t>ו</w:t>
      </w:r>
      <w:r w:rsidRPr="00B04FD5">
        <w:rPr>
          <w:rFonts w:ascii="Arial" w:hAnsi="Arial"/>
          <w:rtl/>
        </w:rPr>
        <w:t xml:space="preserve"> לעבירה ש</w:t>
      </w:r>
      <w:r>
        <w:rPr>
          <w:rFonts w:ascii="Arial" w:hAnsi="Arial"/>
          <w:rtl/>
        </w:rPr>
        <w:t>ל החזקת נשק</w:t>
      </w:r>
      <w:r>
        <w:rPr>
          <w:rFonts w:ascii="Arial" w:hAnsi="Arial" w:hint="cs"/>
          <w:rtl/>
        </w:rPr>
        <w:t xml:space="preserve"> בלא רשות כדין,</w:t>
      </w:r>
      <w:r>
        <w:rPr>
          <w:rFonts w:ascii="Arial" w:hAnsi="Arial"/>
          <w:rtl/>
        </w:rPr>
        <w:t xml:space="preserve"> אמר</w:t>
      </w:r>
      <w:r>
        <w:rPr>
          <w:rFonts w:ascii="Arial" w:hAnsi="Arial" w:hint="cs"/>
          <w:rtl/>
        </w:rPr>
        <w:t xml:space="preserve"> בית המשפט כך</w:t>
      </w:r>
      <w:r w:rsidRPr="00B04FD5">
        <w:rPr>
          <w:rFonts w:ascii="Arial" w:hAnsi="Arial"/>
          <w:rtl/>
        </w:rPr>
        <w:t xml:space="preserve">: </w:t>
      </w:r>
    </w:p>
    <w:p w14:paraId="798EEDE5" w14:textId="77777777" w:rsidR="00634E56" w:rsidRPr="00B04FD5" w:rsidRDefault="00634E56" w:rsidP="00634E56">
      <w:pPr>
        <w:spacing w:line="360" w:lineRule="auto"/>
        <w:ind w:left="720"/>
        <w:rPr>
          <w:rFonts w:ascii="Arial" w:hAnsi="Arial"/>
          <w:rtl/>
        </w:rPr>
      </w:pPr>
    </w:p>
    <w:p w14:paraId="7B495436" w14:textId="77777777" w:rsidR="00634E56" w:rsidRPr="00B04FD5" w:rsidRDefault="00634E56" w:rsidP="00634E56">
      <w:pPr>
        <w:spacing w:line="360" w:lineRule="auto"/>
        <w:ind w:left="1275" w:right="709"/>
        <w:jc w:val="both"/>
        <w:rPr>
          <w:rFonts w:ascii="Arial" w:hAnsi="Arial"/>
          <w:rtl/>
        </w:rPr>
      </w:pPr>
      <w:r w:rsidRPr="001C4CBB">
        <w:rPr>
          <w:rFonts w:ascii="Arial" w:hAnsi="Arial"/>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47309CB8" w14:textId="77777777" w:rsidR="00634E56" w:rsidRDefault="00634E56" w:rsidP="00634E56">
      <w:pPr>
        <w:spacing w:line="360" w:lineRule="auto"/>
        <w:ind w:left="720"/>
        <w:jc w:val="both"/>
        <w:rPr>
          <w:rFonts w:ascii="Arial" w:hAnsi="Arial"/>
          <w:rtl/>
        </w:rPr>
      </w:pPr>
    </w:p>
    <w:p w14:paraId="2EF9177C" w14:textId="77777777" w:rsidR="00634E56" w:rsidRDefault="00634E56" w:rsidP="00634E56">
      <w:pPr>
        <w:spacing w:line="360" w:lineRule="auto"/>
        <w:ind w:left="720"/>
        <w:jc w:val="both"/>
        <w:rPr>
          <w:rFonts w:ascii="Arial" w:hAnsi="Arial"/>
          <w:rtl/>
        </w:rPr>
      </w:pPr>
      <w:r w:rsidRPr="00C55082">
        <w:rPr>
          <w:rFonts w:ascii="Arial" w:hAnsi="Arial" w:hint="cs"/>
          <w:u w:val="single"/>
          <w:rtl/>
        </w:rPr>
        <w:t>ב</w:t>
      </w:r>
      <w:hyperlink r:id="rId14" w:history="1">
        <w:r w:rsidR="004D0B6B" w:rsidRPr="004D0B6B">
          <w:rPr>
            <w:rFonts w:ascii="Arial" w:hAnsi="Arial"/>
            <w:color w:val="0000FF"/>
            <w:u w:val="single"/>
            <w:rtl/>
          </w:rPr>
          <w:t>ע"פ 2826/19</w:t>
        </w:r>
      </w:hyperlink>
      <w:r w:rsidRPr="00C55082">
        <w:rPr>
          <w:rFonts w:ascii="Arial" w:hAnsi="Arial" w:hint="cs"/>
          <w:u w:val="single"/>
          <w:rtl/>
        </w:rPr>
        <w:t xml:space="preserve"> </w:t>
      </w:r>
      <w:r w:rsidRPr="00C55082">
        <w:rPr>
          <w:rFonts w:ascii="Arial" w:hAnsi="Arial" w:hint="cs"/>
          <w:b/>
          <w:bCs/>
          <w:u w:val="single"/>
          <w:rtl/>
        </w:rPr>
        <w:t>מרעאנה נגד מדינת ישראל</w:t>
      </w:r>
      <w:r w:rsidRPr="00C55082">
        <w:rPr>
          <w:rFonts w:ascii="Arial" w:hAnsi="Arial" w:hint="cs"/>
          <w:u w:val="single"/>
          <w:rtl/>
        </w:rPr>
        <w:t xml:space="preserve"> (11.07.2019)</w:t>
      </w:r>
      <w:r>
        <w:rPr>
          <w:rFonts w:ascii="Arial" w:hAnsi="Arial" w:hint="cs"/>
          <w:rtl/>
        </w:rPr>
        <w:t xml:space="preserve">; הקל בית המשפט העליון בעונשו של נאשם שהורשע בהחזקת אקדח ומחסנית והעמיד אותו על </w:t>
      </w:r>
      <w:r w:rsidRPr="00CE3965">
        <w:rPr>
          <w:rFonts w:ascii="Arial" w:hAnsi="Arial" w:hint="cs"/>
          <w:b/>
          <w:bCs/>
          <w:rtl/>
        </w:rPr>
        <w:t>9 חודשי מאסר בעבודות שירות</w:t>
      </w:r>
      <w:r>
        <w:rPr>
          <w:rFonts w:ascii="Arial" w:hAnsi="Arial" w:hint="cs"/>
          <w:rtl/>
        </w:rPr>
        <w:t>. בית המשפט המחוזי קבע שמתחם העונש ההולם נע בין 9 חודשי מאסר בפועל מאחורי סורג ובריח ועד ל- 24 חודשים  ודן את הנאשם ל-10 חודשי מאסר בפועל. בית המשפט העליון קבע שגזר הדין מתון ומאוזן, אך הקל בעונשו של הנאשם בעקבות שיתוף הפעולה שלו עם רשויות אכיפת החוק ובהתחשב בתסקיר שירות המבחן. נימוקים אלה אינם מאפשרים לגזור גזירה שווה לענייננו.</w:t>
      </w:r>
    </w:p>
    <w:p w14:paraId="2506C551" w14:textId="77777777" w:rsidR="00634E56" w:rsidRDefault="00634E56" w:rsidP="00634E56">
      <w:pPr>
        <w:spacing w:line="360" w:lineRule="auto"/>
        <w:ind w:left="720"/>
        <w:jc w:val="both"/>
        <w:rPr>
          <w:rFonts w:ascii="Arial" w:hAnsi="Arial"/>
          <w:rtl/>
        </w:rPr>
      </w:pPr>
    </w:p>
    <w:p w14:paraId="0FCC8307" w14:textId="77777777" w:rsidR="00634E56" w:rsidRDefault="00634E56" w:rsidP="00634E56">
      <w:pPr>
        <w:spacing w:line="360" w:lineRule="auto"/>
        <w:ind w:left="720"/>
        <w:jc w:val="both"/>
        <w:rPr>
          <w:rFonts w:ascii="Arial" w:hAnsi="Arial"/>
        </w:rPr>
      </w:pPr>
      <w:r w:rsidRPr="00C55082">
        <w:rPr>
          <w:rFonts w:ascii="Arial" w:hAnsi="Arial" w:hint="cs"/>
          <w:u w:val="single"/>
          <w:rtl/>
        </w:rPr>
        <w:t>ב</w:t>
      </w:r>
      <w:hyperlink r:id="rId15" w:history="1">
        <w:r w:rsidR="004D0B6B" w:rsidRPr="004D0B6B">
          <w:rPr>
            <w:rFonts w:ascii="Arial" w:hAnsi="Arial"/>
            <w:color w:val="0000FF"/>
            <w:u w:val="single"/>
            <w:rtl/>
          </w:rPr>
          <w:t>ע"פ 9702/16</w:t>
        </w:r>
      </w:hyperlink>
      <w:r w:rsidRPr="00C55082">
        <w:rPr>
          <w:rFonts w:ascii="Arial" w:hAnsi="Arial" w:hint="cs"/>
          <w:u w:val="single"/>
          <w:rtl/>
        </w:rPr>
        <w:t xml:space="preserve"> </w:t>
      </w:r>
      <w:r w:rsidRPr="00C55082">
        <w:rPr>
          <w:rFonts w:ascii="Arial" w:hAnsi="Arial" w:hint="cs"/>
          <w:b/>
          <w:bCs/>
          <w:u w:val="single"/>
          <w:rtl/>
        </w:rPr>
        <w:t>אבו אלוליאיה נגד מדינת ישראל</w:t>
      </w:r>
      <w:r w:rsidRPr="00C55082">
        <w:rPr>
          <w:rFonts w:ascii="Arial" w:hAnsi="Arial" w:hint="cs"/>
          <w:u w:val="single"/>
          <w:rtl/>
        </w:rPr>
        <w:t xml:space="preserve"> (13.09.2017)</w:t>
      </w:r>
      <w:r>
        <w:rPr>
          <w:rFonts w:ascii="Arial" w:hAnsi="Arial" w:hint="cs"/>
          <w:rtl/>
        </w:rPr>
        <w:t>; חזר ביהמ"ש העליון על מדיניות הענישה המחמירה בעבירות נשק וקבע כדברים הבאים:</w:t>
      </w:r>
    </w:p>
    <w:p w14:paraId="33CB6BC6" w14:textId="77777777" w:rsidR="00634E56" w:rsidRDefault="00634E56" w:rsidP="00634E56">
      <w:pPr>
        <w:ind w:left="720"/>
        <w:jc w:val="both"/>
        <w:rPr>
          <w:rFonts w:ascii="Arial" w:hAnsi="Arial"/>
        </w:rPr>
      </w:pPr>
    </w:p>
    <w:p w14:paraId="1DF268AB" w14:textId="77777777" w:rsidR="00634E56" w:rsidRDefault="00634E56" w:rsidP="00634E56">
      <w:pPr>
        <w:spacing w:line="360" w:lineRule="auto"/>
        <w:ind w:left="1275" w:right="709"/>
        <w:jc w:val="both"/>
        <w:rPr>
          <w:rFonts w:ascii="Arial" w:hAnsi="Arial"/>
          <w:b/>
          <w:bCs/>
          <w:rtl/>
        </w:rPr>
      </w:pPr>
      <w:r>
        <w:rPr>
          <w:rFonts w:ascii="Arial" w:hAnsi="Arial" w:hint="cs"/>
          <w:b/>
          <w:bCs/>
          <w:rtl/>
        </w:rPr>
        <w:t xml:space="preserve">"[...] </w:t>
      </w:r>
      <w:r w:rsidRPr="00107F31">
        <w:rPr>
          <w:rFonts w:ascii="Arial" w:hAnsi="Arial"/>
          <w:b/>
          <w:bCs/>
          <w:rtl/>
        </w:rPr>
        <w:t xml:space="preserve">ככלל, בפסיקת בית משפט זה באה לידי ביטוי, בשורה ארוכה של פסקי דין, מדיניות של החמרה בענישה בעבירות נשק </w:t>
      </w:r>
      <w:r w:rsidRPr="00CC188B">
        <w:rPr>
          <w:rFonts w:ascii="Arial" w:hAnsi="Arial"/>
          <w:rtl/>
        </w:rPr>
        <w:t xml:space="preserve">(ראו למשל: </w:t>
      </w:r>
      <w:hyperlink r:id="rId16" w:history="1">
        <w:r w:rsidR="004D0B6B" w:rsidRPr="004D0B6B">
          <w:rPr>
            <w:rFonts w:ascii="Arial" w:hAnsi="Arial"/>
            <w:color w:val="0000FF"/>
            <w:u w:val="single"/>
            <w:rtl/>
          </w:rPr>
          <w:t>ע"פ 4945/13</w:t>
        </w:r>
      </w:hyperlink>
      <w:r w:rsidRPr="00635E9E">
        <w:rPr>
          <w:rFonts w:ascii="Arial" w:hAnsi="Arial"/>
          <w:rtl/>
        </w:rPr>
        <w:t xml:space="preserve"> מדינת ישראל נ' עבד אלכרים סלימאן [פורסם בנבו] (19.1.2014); </w:t>
      </w:r>
      <w:hyperlink r:id="rId17" w:history="1">
        <w:r w:rsidR="004D0B6B" w:rsidRPr="004D0B6B">
          <w:rPr>
            <w:rFonts w:ascii="Arial" w:hAnsi="Arial"/>
            <w:color w:val="0000FF"/>
            <w:u w:val="single"/>
            <w:rtl/>
          </w:rPr>
          <w:t>ע"פ 2251/11</w:t>
        </w:r>
      </w:hyperlink>
      <w:r w:rsidRPr="00635E9E">
        <w:rPr>
          <w:rFonts w:ascii="Arial" w:hAnsi="Arial"/>
          <w:rtl/>
        </w:rPr>
        <w:t xml:space="preserve"> נפאע נ' מדינת ישראל, [פורסם בנבו] בפסקה 7 (4.12.2011); </w:t>
      </w:r>
      <w:hyperlink r:id="rId18" w:history="1">
        <w:r w:rsidR="004D0B6B" w:rsidRPr="004D0B6B">
          <w:rPr>
            <w:rFonts w:ascii="Arial" w:hAnsi="Arial"/>
            <w:color w:val="0000FF"/>
            <w:u w:val="single"/>
            <w:rtl/>
          </w:rPr>
          <w:t>ע"פ 6371/11</w:t>
        </w:r>
      </w:hyperlink>
      <w:r w:rsidRPr="00635E9E">
        <w:rPr>
          <w:rFonts w:ascii="Arial" w:hAnsi="Arial"/>
          <w:rtl/>
        </w:rPr>
        <w:t xml:space="preserve"> מדינת ישראל נ' הייבי [פורסם בנבו] (18.12.2011); </w:t>
      </w:r>
      <w:hyperlink r:id="rId19" w:history="1">
        <w:r w:rsidR="004D0B6B" w:rsidRPr="004D0B6B">
          <w:rPr>
            <w:rFonts w:ascii="Arial" w:hAnsi="Arial"/>
            <w:color w:val="0000FF"/>
            <w:u w:val="single"/>
            <w:rtl/>
          </w:rPr>
          <w:t>ע"פ 1323/13</w:t>
        </w:r>
      </w:hyperlink>
      <w:r w:rsidRPr="00635E9E">
        <w:rPr>
          <w:rFonts w:ascii="Arial" w:hAnsi="Arial"/>
          <w:rtl/>
        </w:rPr>
        <w:t xml:space="preserve"> חסן </w:t>
      </w:r>
      <w:r w:rsidRPr="00CC188B">
        <w:rPr>
          <w:rFonts w:ascii="Arial" w:hAnsi="Arial"/>
          <w:rtl/>
        </w:rPr>
        <w:t>נ' מדינת ישראל [פורסם בנבו] (5.6.2013)).</w:t>
      </w:r>
      <w:r w:rsidRPr="00107F31">
        <w:rPr>
          <w:rFonts w:ascii="Arial" w:hAnsi="Arial"/>
          <w:b/>
          <w:bCs/>
          <w:rtl/>
        </w:rPr>
        <w:t xml:space="preserve">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w:t>
      </w:r>
      <w:r w:rsidRPr="00CC188B">
        <w:rPr>
          <w:rFonts w:ascii="Arial" w:hAnsi="Arial"/>
          <w:rtl/>
        </w:rPr>
        <w:t xml:space="preserve">(וראו למשל: </w:t>
      </w:r>
      <w:hyperlink r:id="rId20" w:history="1">
        <w:r w:rsidR="004D0B6B" w:rsidRPr="004D0B6B">
          <w:rPr>
            <w:rFonts w:ascii="Arial" w:hAnsi="Arial"/>
            <w:color w:val="0000FF"/>
            <w:u w:val="single"/>
            <w:rtl/>
          </w:rPr>
          <w:t>ע"פ 8846/15</w:t>
        </w:r>
      </w:hyperlink>
      <w:r w:rsidRPr="00635E9E">
        <w:rPr>
          <w:rFonts w:ascii="Arial" w:hAnsi="Arial"/>
          <w:rtl/>
        </w:rPr>
        <w:t xml:space="preserve"> דראז נ' מדינת ישראל [פורסם בנבו] (13.3.2016); </w:t>
      </w:r>
      <w:hyperlink r:id="rId21" w:history="1">
        <w:r w:rsidR="004D0B6B" w:rsidRPr="004D0B6B">
          <w:rPr>
            <w:rFonts w:ascii="Arial" w:hAnsi="Arial"/>
            <w:color w:val="0000FF"/>
            <w:u w:val="single"/>
            <w:rtl/>
          </w:rPr>
          <w:t>ע"פ 5681/14</w:t>
        </w:r>
      </w:hyperlink>
      <w:r w:rsidRPr="00635E9E">
        <w:rPr>
          <w:rFonts w:ascii="Arial" w:hAnsi="Arial"/>
          <w:rtl/>
        </w:rPr>
        <w:t xml:space="preserve"> מדינת ישראל נ' טאטור [פורסם בנבו] (1.2.2015)).</w:t>
      </w:r>
      <w:r w:rsidRPr="00635E9E">
        <w:rPr>
          <w:rFonts w:ascii="Arial" w:hAnsi="Arial"/>
          <w:b/>
          <w:bCs/>
          <w:rtl/>
        </w:rPr>
        <w:t xml:space="preserve"> הכלל של השתת מאסר בפועל לתקופה משמעותית בעבירת החזקת נשק חל גם כאשר מדובר בעבירות שאינן במדרג הגבוה, כמו מקרה זה </w:t>
      </w:r>
      <w:r w:rsidRPr="00635E9E">
        <w:rPr>
          <w:rFonts w:ascii="Arial" w:hAnsi="Arial"/>
          <w:rtl/>
        </w:rPr>
        <w:t>(</w:t>
      </w:r>
      <w:hyperlink r:id="rId22" w:history="1">
        <w:r w:rsidR="004D0B6B" w:rsidRPr="004D0B6B">
          <w:rPr>
            <w:rFonts w:ascii="Arial" w:hAnsi="Arial"/>
            <w:color w:val="0000FF"/>
            <w:u w:val="single"/>
            <w:rtl/>
          </w:rPr>
          <w:t>ע"פ 5220/09</w:t>
        </w:r>
      </w:hyperlink>
      <w:r w:rsidRPr="00635E9E">
        <w:rPr>
          <w:rFonts w:ascii="Arial" w:hAnsi="Arial"/>
          <w:rtl/>
        </w:rPr>
        <w:t xml:space="preserve"> עוואודה נ' מדינת ישראל [פורסם בנבו] (30.12.2009); </w:t>
      </w:r>
      <w:hyperlink r:id="rId23" w:history="1">
        <w:r w:rsidR="004D0B6B" w:rsidRPr="004D0B6B">
          <w:rPr>
            <w:rFonts w:ascii="Arial" w:hAnsi="Arial"/>
            <w:color w:val="0000FF"/>
            <w:u w:val="single"/>
            <w:rtl/>
          </w:rPr>
          <w:t>ע"פ 2398/14</w:t>
        </w:r>
      </w:hyperlink>
      <w:r w:rsidRPr="00635E9E">
        <w:rPr>
          <w:rFonts w:ascii="Arial" w:hAnsi="Arial"/>
          <w:rtl/>
        </w:rPr>
        <w:t xml:space="preserve"> אלהזייל נ' מדינת ישראל [פורסם בנבו] (8.7.2014)).</w:t>
      </w:r>
      <w:r w:rsidRPr="00635E9E">
        <w:rPr>
          <w:rFonts w:ascii="Arial" w:hAnsi="Arial" w:hint="cs"/>
          <w:rtl/>
        </w:rPr>
        <w:t>.</w:t>
      </w:r>
      <w:r w:rsidRPr="00635E9E">
        <w:rPr>
          <w:rFonts w:ascii="Arial" w:hAnsi="Arial"/>
          <w:rtl/>
        </w:rPr>
        <w:t>.</w:t>
      </w:r>
      <w:r w:rsidRPr="00635E9E">
        <w:rPr>
          <w:rFonts w:ascii="Arial" w:hAnsi="Arial"/>
          <w:b/>
          <w:bCs/>
          <w:rtl/>
        </w:rPr>
        <w:t xml:space="preserve"> היקפן המתרחב של עבירות המבוצעות בנשק, החזקת נשק באופן בלתי חוקי תוך יצירת הפתח והאפשרות הזמינה לשימוש בו, מהווה סיכון של ממש לשלום הציבור </w:t>
      </w:r>
      <w:r w:rsidRPr="00635E9E">
        <w:rPr>
          <w:rFonts w:ascii="Arial" w:hAnsi="Arial"/>
          <w:rtl/>
        </w:rPr>
        <w:t xml:space="preserve">(ראו גם: </w:t>
      </w:r>
      <w:hyperlink r:id="rId24" w:history="1">
        <w:r w:rsidR="004D0B6B" w:rsidRPr="004D0B6B">
          <w:rPr>
            <w:rFonts w:ascii="Arial" w:hAnsi="Arial"/>
            <w:color w:val="0000FF"/>
            <w:u w:val="single"/>
            <w:rtl/>
          </w:rPr>
          <w:t>ע"פ 1903/13</w:t>
        </w:r>
      </w:hyperlink>
      <w:r w:rsidRPr="00635E9E">
        <w:rPr>
          <w:rFonts w:ascii="Arial" w:hAnsi="Arial"/>
          <w:rtl/>
        </w:rPr>
        <w:t xml:space="preserve"> עיאשה נ' מדינת ישראל [פורסם בנבו] (14.7.2013); </w:t>
      </w:r>
      <w:hyperlink r:id="rId25" w:history="1">
        <w:r w:rsidR="004D0B6B" w:rsidRPr="004D0B6B">
          <w:rPr>
            <w:rFonts w:ascii="Arial" w:hAnsi="Arial"/>
            <w:color w:val="0000FF"/>
            <w:u w:val="single"/>
            <w:rtl/>
          </w:rPr>
          <w:t>ע"פ 1323/13</w:t>
        </w:r>
      </w:hyperlink>
      <w:r w:rsidRPr="00635E9E">
        <w:rPr>
          <w:rFonts w:ascii="Arial" w:hAnsi="Arial"/>
          <w:rtl/>
        </w:rPr>
        <w:t xml:space="preserve"> בעניין חסן הנ"</w:t>
      </w:r>
      <w:r w:rsidRPr="00CC188B">
        <w:rPr>
          <w:rFonts w:ascii="Arial" w:hAnsi="Arial"/>
          <w:rtl/>
        </w:rPr>
        <w:t xml:space="preserve">ל). </w:t>
      </w:r>
      <w:r w:rsidRPr="00107F31">
        <w:rPr>
          <w:rFonts w:ascii="Arial" w:hAnsi="Arial"/>
          <w:b/>
          <w:bCs/>
          <w:rtl/>
        </w:rPr>
        <w:t>זאת על אחת כמה וכמה שעה שמדובר בסוג של כלי נשק שעשוי להביא למותו של אדם</w:t>
      </w:r>
      <w:r>
        <w:rPr>
          <w:rFonts w:ascii="Arial" w:hAnsi="Arial" w:hint="cs"/>
          <w:b/>
          <w:bCs/>
          <w:rtl/>
        </w:rPr>
        <w:t>"</w:t>
      </w:r>
      <w:r w:rsidRPr="00107F31">
        <w:rPr>
          <w:rFonts w:ascii="Arial" w:hAnsi="Arial"/>
          <w:b/>
          <w:bCs/>
          <w:rtl/>
        </w:rPr>
        <w:t>.</w:t>
      </w:r>
    </w:p>
    <w:p w14:paraId="77A62483" w14:textId="77777777" w:rsidR="00634E56" w:rsidRDefault="00634E56" w:rsidP="00634E56">
      <w:pPr>
        <w:spacing w:line="360" w:lineRule="auto"/>
        <w:ind w:left="1275" w:right="709"/>
        <w:jc w:val="both"/>
        <w:rPr>
          <w:rFonts w:ascii="Arial" w:hAnsi="Arial"/>
          <w:b/>
          <w:bCs/>
          <w:rtl/>
        </w:rPr>
      </w:pPr>
    </w:p>
    <w:p w14:paraId="3BD39EDD" w14:textId="77777777" w:rsidR="00634E56" w:rsidRDefault="00634E56" w:rsidP="00634E56">
      <w:pPr>
        <w:spacing w:line="360" w:lineRule="auto"/>
        <w:ind w:left="720"/>
        <w:jc w:val="both"/>
        <w:rPr>
          <w:rFonts w:ascii="David" w:hAnsi="David"/>
          <w:rtl/>
        </w:rPr>
      </w:pPr>
      <w:r w:rsidRPr="001A16AA">
        <w:rPr>
          <w:rFonts w:ascii="David" w:hAnsi="David" w:hint="cs"/>
          <w:u w:val="single"/>
          <w:rtl/>
        </w:rPr>
        <w:t>ב</w:t>
      </w:r>
      <w:hyperlink r:id="rId26" w:history="1">
        <w:r w:rsidR="004D0B6B" w:rsidRPr="004D0B6B">
          <w:rPr>
            <w:rFonts w:ascii="David" w:hAnsi="David"/>
            <w:color w:val="0000FF"/>
            <w:u w:val="single"/>
            <w:rtl/>
          </w:rPr>
          <w:t>עפ"ג (מחוזי נצ') 21260-10-19</w:t>
        </w:r>
      </w:hyperlink>
      <w:r w:rsidRPr="001A16AA">
        <w:rPr>
          <w:rFonts w:ascii="David" w:hAnsi="David"/>
          <w:b/>
          <w:bCs/>
          <w:u w:val="single"/>
          <w:rtl/>
        </w:rPr>
        <w:t xml:space="preserve"> מדינת ישראל נ</w:t>
      </w:r>
      <w:r w:rsidRPr="001A16AA">
        <w:rPr>
          <w:rFonts w:ascii="David" w:hAnsi="David" w:hint="cs"/>
          <w:b/>
          <w:bCs/>
          <w:u w:val="single"/>
          <w:rtl/>
        </w:rPr>
        <w:t>גד</w:t>
      </w:r>
      <w:r w:rsidRPr="001A16AA">
        <w:rPr>
          <w:rFonts w:ascii="David" w:hAnsi="David"/>
          <w:b/>
          <w:bCs/>
          <w:u w:val="single"/>
          <w:rtl/>
        </w:rPr>
        <w:t xml:space="preserve"> מזאריב</w:t>
      </w:r>
      <w:r w:rsidRPr="001A16AA">
        <w:rPr>
          <w:rFonts w:ascii="David" w:hAnsi="David" w:hint="cs"/>
          <w:b/>
          <w:bCs/>
          <w:u w:val="single"/>
          <w:rtl/>
        </w:rPr>
        <w:t xml:space="preserve"> </w:t>
      </w:r>
      <w:r w:rsidRPr="001A16AA">
        <w:rPr>
          <w:rFonts w:ascii="David" w:hAnsi="David" w:hint="cs"/>
          <w:u w:val="single"/>
          <w:rtl/>
        </w:rPr>
        <w:t>(24.11.2019)</w:t>
      </w:r>
      <w:r>
        <w:rPr>
          <w:rFonts w:ascii="David" w:hAnsi="David" w:hint="cs"/>
          <w:rtl/>
        </w:rPr>
        <w:t>;</w:t>
      </w:r>
      <w:r w:rsidRPr="0014600A">
        <w:rPr>
          <w:rFonts w:ascii="David" w:hAnsi="David" w:hint="cs"/>
          <w:rtl/>
        </w:rPr>
        <w:t xml:space="preserve"> </w:t>
      </w:r>
      <w:r>
        <w:rPr>
          <w:rFonts w:ascii="David" w:hAnsi="David" w:hint="cs"/>
          <w:rtl/>
        </w:rPr>
        <w:t xml:space="preserve">החמיר בית המשפט את עונשו של הנאשם והעמידו על </w:t>
      </w:r>
      <w:r w:rsidRPr="0027306E">
        <w:rPr>
          <w:rFonts w:ascii="David" w:hAnsi="David" w:hint="cs"/>
          <w:b/>
          <w:bCs/>
          <w:rtl/>
        </w:rPr>
        <w:t xml:space="preserve">12 חודשי מאסר, מאסר על תנאי, </w:t>
      </w:r>
      <w:r>
        <w:rPr>
          <w:rFonts w:ascii="David" w:hAnsi="David" w:hint="cs"/>
          <w:b/>
          <w:bCs/>
          <w:rtl/>
        </w:rPr>
        <w:t>ו</w:t>
      </w:r>
      <w:r w:rsidRPr="0027306E">
        <w:rPr>
          <w:rFonts w:ascii="David" w:hAnsi="David" w:hint="cs"/>
          <w:b/>
          <w:bCs/>
          <w:rtl/>
        </w:rPr>
        <w:t>קנס בסך 5,000 ₪</w:t>
      </w:r>
      <w:r w:rsidRPr="000B14B0">
        <w:rPr>
          <w:rFonts w:ascii="David" w:hAnsi="David" w:hint="cs"/>
          <w:rtl/>
        </w:rPr>
        <w:t>.</w:t>
      </w:r>
      <w:r w:rsidRPr="0027306E">
        <w:rPr>
          <w:rFonts w:ascii="David" w:hAnsi="David" w:hint="cs"/>
          <w:b/>
          <w:bCs/>
          <w:rtl/>
        </w:rPr>
        <w:t xml:space="preserve"> </w:t>
      </w:r>
      <w:r>
        <w:rPr>
          <w:rFonts w:ascii="David" w:hAnsi="David" w:hint="cs"/>
          <w:rtl/>
        </w:rPr>
        <w:t>הנאשם הורשע במסגרת הסדר טיעון שלא כלל הסכמה עונשית בכך שהחזיק בארון בגדים בחדר השינה שלו בתת מקלע מאולתר ובמחסנית מלאה ב-21 כדורים. כלי-הנשק והמחסנית היו מוסלקים בתוך קופסת נעליים בארון נעול. בית משפט השלום קבע שמתחם העונש ההולם נע בין 12 חודשי מאסר בפועל ועד 24 חודשים לצד ענישה נלווית, אולם החליט לסטות ממתחם העונש ההולם משיקולי שיקום ודן את הנאשם ל-9 חודשי מאסר בעבודות שירות, מאסר על תנאי, קנס בסך 5,000 ₪  וצו מבחן. בית המשפט המחוזי עמד על מדרג החומרה המקובל בעבירות נשק וקבע שההחמרה בענישה נדרשת בכל קשת עבירות הנשק לרבות בעבירות המצויות בצדו הנמוך של המדרג כמו החזקה בלבד, וזאת בשל פוטנציאל הסיכון הטמון בעבירות אלה. אשר למידת הסיכון הפוטנציאלי לפגיעה באחרים אמר בית המשפט שלא דומה החזקת תת-מקלע להחזקת אקדח. יש להעיר שבמובן זה המקרה דנא קל יותר בהשוואה למקרה שנדון שם. בהתייחס למתחם העונש ההולם ולקביעת העונש המתאים, קבע בית המשפט המחוזי שנפלו טעויות הן בקביעת המתחם והן בעונש והעונש שהוטל בבית משפט השלום. בית המשפט מצא שהעונש נמוך בשיעור ניכר מהעונש הראוי באופן שמצדיק את התערבותה של ערכאת הערעור.</w:t>
      </w:r>
    </w:p>
    <w:p w14:paraId="40826611" w14:textId="77777777" w:rsidR="00634E56" w:rsidRDefault="00634E56" w:rsidP="00634E56">
      <w:pPr>
        <w:spacing w:line="360" w:lineRule="auto"/>
        <w:ind w:left="1275"/>
        <w:jc w:val="both"/>
        <w:rPr>
          <w:rFonts w:ascii="David" w:hAnsi="David"/>
          <w:rtl/>
        </w:rPr>
      </w:pPr>
    </w:p>
    <w:p w14:paraId="65927596" w14:textId="77777777" w:rsidR="00634E56" w:rsidRPr="00455A99" w:rsidRDefault="00634E56" w:rsidP="00634E56">
      <w:pPr>
        <w:spacing w:line="360" w:lineRule="auto"/>
        <w:ind w:left="720"/>
        <w:jc w:val="both"/>
        <w:rPr>
          <w:rFonts w:ascii="Arial" w:hAnsi="Arial"/>
          <w:rtl/>
        </w:rPr>
      </w:pPr>
      <w:r w:rsidRPr="001A16AA">
        <w:rPr>
          <w:rFonts w:ascii="David" w:hAnsi="David" w:hint="cs"/>
          <w:u w:val="single"/>
          <w:rtl/>
        </w:rPr>
        <w:t xml:space="preserve">בת"פ (מחוזי חי') </w:t>
      </w:r>
      <w:hyperlink r:id="rId27" w:history="1">
        <w:r w:rsidR="004D0B6B" w:rsidRPr="004D0B6B">
          <w:rPr>
            <w:rFonts w:ascii="David" w:hAnsi="David"/>
            <w:color w:val="0000FF"/>
            <w:u w:val="single"/>
            <w:rtl/>
          </w:rPr>
          <w:t>ת"פ 43244-01-19</w:t>
        </w:r>
      </w:hyperlink>
      <w:r w:rsidRPr="001A16AA">
        <w:rPr>
          <w:rFonts w:ascii="David" w:hAnsi="David" w:hint="cs"/>
          <w:u w:val="single"/>
          <w:rtl/>
        </w:rPr>
        <w:t xml:space="preserve"> </w:t>
      </w:r>
      <w:r w:rsidRPr="001A16AA">
        <w:rPr>
          <w:rFonts w:ascii="David" w:hAnsi="David" w:hint="cs"/>
          <w:b/>
          <w:bCs/>
          <w:u w:val="single"/>
          <w:rtl/>
        </w:rPr>
        <w:t>מדינת ישראל נגד טאהא</w:t>
      </w:r>
      <w:r w:rsidRPr="001A16AA">
        <w:rPr>
          <w:rFonts w:ascii="David" w:hAnsi="David" w:hint="cs"/>
          <w:u w:val="single"/>
          <w:rtl/>
        </w:rPr>
        <w:t xml:space="preserve"> (29.10.2019)</w:t>
      </w:r>
      <w:r w:rsidRPr="001A16AA">
        <w:rPr>
          <w:rFonts w:ascii="David" w:hAnsi="David" w:hint="cs"/>
          <w:rtl/>
        </w:rPr>
        <w:t>;</w:t>
      </w:r>
      <w:r>
        <w:rPr>
          <w:rFonts w:ascii="David" w:hAnsi="David" w:hint="cs"/>
          <w:rtl/>
        </w:rPr>
        <w:t xml:space="preserve"> בית המשפט המחוזי, בצעד חריג, סטה מהסדר טיעון שגובש בין הצדדים ושכלל עונש מוסכם, החמיר את עונשו </w:t>
      </w:r>
      <w:r w:rsidRPr="00455A99">
        <w:rPr>
          <w:rFonts w:ascii="David" w:hAnsi="David" w:hint="cs"/>
          <w:rtl/>
        </w:rPr>
        <w:t>ש</w:t>
      </w:r>
      <w:r w:rsidRPr="00455A99">
        <w:rPr>
          <w:rFonts w:ascii="Arial" w:hAnsi="Arial" w:hint="cs"/>
          <w:rtl/>
        </w:rPr>
        <w:t>ל הנאשם</w:t>
      </w:r>
      <w:r>
        <w:rPr>
          <w:rFonts w:ascii="Arial" w:hAnsi="Arial" w:hint="cs"/>
          <w:rtl/>
        </w:rPr>
        <w:t xml:space="preserve"> והעמידו על </w:t>
      </w:r>
      <w:r>
        <w:rPr>
          <w:rFonts w:ascii="Arial" w:hAnsi="Arial" w:hint="cs"/>
          <w:b/>
          <w:bCs/>
          <w:rtl/>
        </w:rPr>
        <w:t xml:space="preserve">22 חודשי מאסר לצד מאסר על תנאי. </w:t>
      </w:r>
      <w:r w:rsidRPr="00455A99">
        <w:rPr>
          <w:rFonts w:ascii="Arial" w:hAnsi="Arial" w:hint="cs"/>
          <w:rtl/>
        </w:rPr>
        <w:t>הנאשם הורשע ב</w:t>
      </w:r>
      <w:r>
        <w:rPr>
          <w:rFonts w:ascii="Arial" w:hAnsi="Arial" w:hint="cs"/>
          <w:rtl/>
        </w:rPr>
        <w:t>סיוע לסחר בנשק (עסקה אחרת)</w:t>
      </w:r>
      <w:r>
        <w:rPr>
          <w:rFonts w:ascii="Arial" w:hAnsi="Arial" w:hint="cs"/>
          <w:b/>
          <w:bCs/>
          <w:rtl/>
        </w:rPr>
        <w:t xml:space="preserve"> </w:t>
      </w:r>
      <w:r>
        <w:rPr>
          <w:rFonts w:ascii="Arial" w:hAnsi="Arial" w:hint="cs"/>
          <w:rtl/>
        </w:rPr>
        <w:t>ובמסגרת הסדר הטיעון התבקש בית המשפט לגזור עליו עונש מוסכם בן 14 חודשי מאסר בפועל לצד עונשים נלווים. בית המשפט קבע שהעונש מקל עם הנאשם באופן מופלג אשר מצדיק את דחיית הסדר הטיעון. עוד קבע שיש להילחם בעבירות אלה ביד קשה בדרך של הטלת ענישה מחמירה. בהקשר לכך אעיר שברי שהעבירה שנדונה שם חמורה יותר בהשוואה לעבירה בתיק דנא, אולם ניתן ללמוד מדחיית הסדר הטיעון על מגמת ההחמרה בענישה.</w:t>
      </w:r>
    </w:p>
    <w:p w14:paraId="3EB5EC69" w14:textId="77777777" w:rsidR="00634E56" w:rsidRPr="00F372F7" w:rsidRDefault="00634E56" w:rsidP="00634E56">
      <w:pPr>
        <w:spacing w:line="360" w:lineRule="auto"/>
        <w:jc w:val="both"/>
        <w:rPr>
          <w:rFonts w:ascii="Arial" w:hAnsi="Arial"/>
        </w:rPr>
      </w:pPr>
    </w:p>
    <w:p w14:paraId="643B47B7" w14:textId="77777777"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 xml:space="preserve">במסגרת </w:t>
      </w:r>
      <w:r w:rsidRPr="00F372F7">
        <w:rPr>
          <w:rFonts w:ascii="Arial" w:hAnsi="Arial"/>
          <w:b/>
          <w:bCs/>
          <w:rtl/>
        </w:rPr>
        <w:t>הנסיבות הקשורות בביצוע העבירה</w:t>
      </w:r>
      <w:r w:rsidRPr="00F372F7">
        <w:rPr>
          <w:rFonts w:ascii="Arial" w:hAnsi="Arial"/>
          <w:rtl/>
        </w:rPr>
        <w:t xml:space="preserve">, נתתי דעתי לנסיבות הבאות: </w:t>
      </w:r>
    </w:p>
    <w:p w14:paraId="513B33F0" w14:textId="77777777" w:rsidR="00634E56" w:rsidRPr="00F372F7" w:rsidRDefault="00634E56" w:rsidP="00634E56">
      <w:pPr>
        <w:jc w:val="both"/>
        <w:rPr>
          <w:rFonts w:ascii="Arial" w:hAnsi="Arial"/>
        </w:rPr>
      </w:pPr>
    </w:p>
    <w:p w14:paraId="67444CB6" w14:textId="77777777" w:rsidR="00634E56" w:rsidRPr="008223C8" w:rsidRDefault="00634E56" w:rsidP="00634E56">
      <w:pPr>
        <w:numPr>
          <w:ilvl w:val="0"/>
          <w:numId w:val="2"/>
        </w:numPr>
        <w:spacing w:line="360" w:lineRule="auto"/>
        <w:jc w:val="both"/>
        <w:rPr>
          <w:rFonts w:ascii="Arial" w:hAnsi="Arial"/>
          <w:b/>
          <w:bCs/>
        </w:rPr>
      </w:pPr>
      <w:r w:rsidRPr="00F372F7">
        <w:rPr>
          <w:rFonts w:ascii="Arial" w:hAnsi="Arial"/>
          <w:b/>
          <w:bCs/>
          <w:rtl/>
        </w:rPr>
        <w:t>חלקו היחסי של הנאשם בביצוע העבירה;</w:t>
      </w:r>
      <w:r>
        <w:rPr>
          <w:rFonts w:ascii="Arial" w:hAnsi="Arial" w:hint="cs"/>
          <w:rtl/>
        </w:rPr>
        <w:t xml:space="preserve"> האקדח הוסתר בתיק שהוכנס לשקית אשר הונחה בכספת בחדר השינה של הנאשם. הסלקת האקדח מעידה על תכנון הטמון במעשה. </w:t>
      </w:r>
    </w:p>
    <w:p w14:paraId="423FC9BE" w14:textId="77777777" w:rsidR="00634E56" w:rsidRDefault="00634E56" w:rsidP="00634E56">
      <w:pPr>
        <w:spacing w:line="360" w:lineRule="auto"/>
        <w:ind w:left="1440"/>
        <w:jc w:val="both"/>
        <w:rPr>
          <w:rFonts w:ascii="Arial" w:hAnsi="Arial"/>
          <w:b/>
          <w:bCs/>
        </w:rPr>
      </w:pPr>
      <w:r>
        <w:rPr>
          <w:rFonts w:ascii="Arial" w:hAnsi="Arial" w:hint="cs"/>
          <w:rtl/>
        </w:rPr>
        <w:t xml:space="preserve">ב"כ הנאשם טען שהאקדח לא שייך לנאשם ויש בכך להקל עמו. אין בידי לקבל טענה זו. גם אם הנאשם החזיק באקדח עבור אחר, הרי שהחזקתו ברשות הנאשם כשהוא מוסלק יוצרת פתח וזמינות לשימוש בו, ואף משמרת פתח זה לאורך זמן עד לעיתוי שבו יעשה בו שימוש. בכך העמיד הנאשם את הציבור בסיכון ממשי ובמובן זה אין רלוונטיות לשאלת השייכות. </w:t>
      </w:r>
    </w:p>
    <w:p w14:paraId="242B5FE2" w14:textId="77777777" w:rsidR="00634E56" w:rsidRPr="00F372F7" w:rsidRDefault="00634E56" w:rsidP="00634E56">
      <w:pPr>
        <w:ind w:left="1440"/>
        <w:jc w:val="both"/>
        <w:rPr>
          <w:rFonts w:ascii="Arial" w:hAnsi="Arial"/>
          <w:b/>
          <w:bCs/>
        </w:rPr>
      </w:pPr>
    </w:p>
    <w:p w14:paraId="2F0A1D1F" w14:textId="77777777" w:rsidR="00634E56" w:rsidRDefault="00634E56" w:rsidP="00634E56">
      <w:pPr>
        <w:numPr>
          <w:ilvl w:val="0"/>
          <w:numId w:val="2"/>
        </w:numPr>
        <w:spacing w:line="360" w:lineRule="auto"/>
        <w:jc w:val="both"/>
        <w:rPr>
          <w:rFonts w:ascii="Arial" w:hAnsi="Arial"/>
          <w:b/>
          <w:bCs/>
        </w:rPr>
      </w:pPr>
      <w:r w:rsidRPr="00F372F7">
        <w:rPr>
          <w:rFonts w:ascii="Arial" w:hAnsi="Arial"/>
          <w:b/>
          <w:bCs/>
          <w:rtl/>
        </w:rPr>
        <w:t>הנזק שהיה צפוי להיגרם מביצוע העבירה;</w:t>
      </w:r>
      <w:r>
        <w:rPr>
          <w:rFonts w:ascii="Arial" w:hAnsi="Arial" w:hint="cs"/>
          <w:rtl/>
        </w:rPr>
        <w:t xml:space="preserve"> יש להשקיף על המקרה שלפנינו כמו גם על מקרים דומים בפריזמה של פוטנציאל החומרה וזאת בהבדל מחומרת התוצאה. פוטנציאל הנזק שבמעשה שכזה הוא רב ועולה כדי סיכון חיי אדם ממש. הדברים אמורים בפרט על רקע ריבוי מקרי הירי הבלתי חוקי ומקרי האלימות החמורה שגוברת וגואה ברחבי הארץ כולה, תופעות אשר הפכו לדאבון הלב לחזון נפרץ  והובילו אך בשנה האחרונה למותם של עשרות אזרחים. </w:t>
      </w:r>
    </w:p>
    <w:p w14:paraId="320BF4B2" w14:textId="77777777" w:rsidR="00634E56" w:rsidRPr="00F372F7" w:rsidRDefault="00634E56" w:rsidP="00634E56">
      <w:pPr>
        <w:spacing w:line="360" w:lineRule="auto"/>
        <w:ind w:left="1440"/>
        <w:jc w:val="both"/>
        <w:rPr>
          <w:rFonts w:ascii="Arial" w:hAnsi="Arial"/>
          <w:b/>
          <w:bCs/>
        </w:rPr>
      </w:pPr>
    </w:p>
    <w:p w14:paraId="0FB7209E" w14:textId="77777777"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בהתאם לתיקון 113 ל</w:t>
      </w:r>
      <w:hyperlink r:id="rId28" w:history="1">
        <w:r w:rsidR="004D0B6B" w:rsidRPr="004D0B6B">
          <w:rPr>
            <w:rFonts w:ascii="Arial" w:hAnsi="Arial"/>
            <w:color w:val="0000FF"/>
            <w:u w:val="single"/>
            <w:rtl/>
          </w:rPr>
          <w:t>חוק העונשין</w:t>
        </w:r>
      </w:hyperlink>
      <w:r w:rsidRPr="00F372F7">
        <w:rPr>
          <w:rFonts w:ascii="Arial" w:hAnsi="Arial"/>
          <w:rtl/>
        </w:rPr>
        <w:t xml:space="preserve"> (סעיף </w:t>
      </w:r>
      <w:hyperlink r:id="rId29" w:history="1">
        <w:r w:rsidR="004F0EE2" w:rsidRPr="004F0EE2">
          <w:rPr>
            <w:rFonts w:ascii="Arial" w:hAnsi="Arial"/>
            <w:color w:val="0000FF"/>
            <w:u w:val="single"/>
            <w:rtl/>
          </w:rPr>
          <w:t>40 י"ג</w:t>
        </w:r>
      </w:hyperlink>
      <w:r>
        <w:rPr>
          <w:rFonts w:ascii="Arial" w:hAnsi="Arial" w:hint="cs"/>
          <w:rtl/>
        </w:rPr>
        <w:t xml:space="preserve"> לחוק</w:t>
      </w:r>
      <w:r w:rsidRPr="00F372F7">
        <w:rPr>
          <w:rFonts w:ascii="Arial" w:hAnsi="Arial"/>
          <w:rtl/>
        </w:rPr>
        <w:t>), ולאחר ש</w:t>
      </w:r>
      <w:r>
        <w:rPr>
          <w:rFonts w:ascii="Arial" w:hAnsi="Arial" w:hint="cs"/>
          <w:rtl/>
        </w:rPr>
        <w:t>נתתי דעתי לסוג הנשק, מיקום החזקתו, ולכך שהרקע להחזקתו ומטרתה אינם ידועים,  ולאחר ששקללתי</w:t>
      </w:r>
      <w:r w:rsidRPr="00F372F7">
        <w:rPr>
          <w:rFonts w:ascii="Arial" w:hAnsi="Arial"/>
          <w:rtl/>
        </w:rPr>
        <w:t xml:space="preserve"> </w:t>
      </w:r>
      <w:r>
        <w:rPr>
          <w:rFonts w:ascii="Arial" w:hAnsi="Arial" w:hint="cs"/>
          <w:rtl/>
        </w:rPr>
        <w:t xml:space="preserve">את מכלול </w:t>
      </w:r>
      <w:r w:rsidRPr="00F372F7">
        <w:rPr>
          <w:rFonts w:ascii="Arial" w:hAnsi="Arial"/>
          <w:rtl/>
        </w:rPr>
        <w:t xml:space="preserve"> הנסיבות והשיקולים </w:t>
      </w:r>
      <w:r>
        <w:rPr>
          <w:rFonts w:ascii="Arial" w:hAnsi="Arial" w:hint="cs"/>
          <w:rtl/>
        </w:rPr>
        <w:t>הרלוונטיים, מצאתי</w:t>
      </w:r>
      <w:r w:rsidRPr="00F372F7">
        <w:rPr>
          <w:rFonts w:ascii="Arial" w:hAnsi="Arial"/>
          <w:rtl/>
        </w:rPr>
        <w:t xml:space="preserve"> </w:t>
      </w:r>
      <w:r w:rsidRPr="00F372F7">
        <w:rPr>
          <w:rFonts w:ascii="Arial" w:hAnsi="Arial"/>
          <w:b/>
          <w:bCs/>
          <w:rtl/>
        </w:rPr>
        <w:t>שמ</w:t>
      </w:r>
      <w:r>
        <w:rPr>
          <w:rFonts w:ascii="Arial" w:hAnsi="Arial"/>
          <w:b/>
          <w:bCs/>
          <w:rtl/>
        </w:rPr>
        <w:t xml:space="preserve">תחם העונש ההולם את המעשה נע </w:t>
      </w:r>
      <w:r>
        <w:rPr>
          <w:rFonts w:ascii="Arial" w:hAnsi="Arial" w:hint="cs"/>
          <w:b/>
          <w:bCs/>
          <w:rtl/>
        </w:rPr>
        <w:t>בטווח שבין 20-8 חודשי מאסר בפועל ממש לצד מאסר מותנה וקנס.</w:t>
      </w:r>
    </w:p>
    <w:p w14:paraId="7F6AF99A" w14:textId="77777777" w:rsidR="00634E56" w:rsidRPr="00F372F7" w:rsidRDefault="00634E56" w:rsidP="00634E56">
      <w:pPr>
        <w:spacing w:line="360" w:lineRule="auto"/>
        <w:jc w:val="both"/>
        <w:rPr>
          <w:rFonts w:ascii="Arial" w:hAnsi="Arial"/>
        </w:rPr>
      </w:pPr>
    </w:p>
    <w:p w14:paraId="45F68F97" w14:textId="77777777" w:rsidR="00634E56" w:rsidRPr="00BC704D" w:rsidRDefault="00634E56" w:rsidP="00634E56">
      <w:pPr>
        <w:spacing w:line="360" w:lineRule="auto"/>
        <w:jc w:val="both"/>
        <w:rPr>
          <w:rFonts w:ascii="Arial" w:hAnsi="Arial"/>
          <w:b/>
          <w:bCs/>
        </w:rPr>
      </w:pPr>
      <w:r w:rsidRPr="00BC704D">
        <w:rPr>
          <w:rFonts w:ascii="Arial" w:hAnsi="Arial" w:hint="cs"/>
          <w:b/>
          <w:bCs/>
          <w:rtl/>
        </w:rPr>
        <w:t xml:space="preserve">סטייה </w:t>
      </w:r>
      <w:r>
        <w:rPr>
          <w:rFonts w:ascii="Arial" w:hAnsi="Arial" w:hint="cs"/>
          <w:b/>
          <w:bCs/>
          <w:rtl/>
        </w:rPr>
        <w:t>מ</w:t>
      </w:r>
      <w:r w:rsidRPr="00BC704D">
        <w:rPr>
          <w:rFonts w:ascii="Arial" w:hAnsi="Arial" w:hint="cs"/>
          <w:b/>
          <w:bCs/>
          <w:rtl/>
        </w:rPr>
        <w:t>מתחם</w:t>
      </w:r>
      <w:r>
        <w:rPr>
          <w:rFonts w:ascii="Arial" w:hAnsi="Arial" w:hint="cs"/>
          <w:b/>
          <w:bCs/>
          <w:rtl/>
        </w:rPr>
        <w:t xml:space="preserve"> העונש ההולם</w:t>
      </w:r>
      <w:r w:rsidRPr="00BC704D">
        <w:rPr>
          <w:rFonts w:ascii="Arial" w:hAnsi="Arial" w:hint="cs"/>
          <w:b/>
          <w:bCs/>
          <w:rtl/>
        </w:rPr>
        <w:t xml:space="preserve"> </w:t>
      </w:r>
      <w:r>
        <w:rPr>
          <w:rFonts w:ascii="Arial" w:hAnsi="Arial" w:hint="cs"/>
          <w:b/>
          <w:bCs/>
          <w:rtl/>
        </w:rPr>
        <w:t xml:space="preserve">משיקולי צדק </w:t>
      </w:r>
      <w:r w:rsidRPr="00BC704D">
        <w:rPr>
          <w:rFonts w:ascii="Arial" w:hAnsi="Arial" w:hint="cs"/>
          <w:b/>
          <w:bCs/>
          <w:rtl/>
        </w:rPr>
        <w:t>בשל מצב בריאותי</w:t>
      </w:r>
    </w:p>
    <w:p w14:paraId="1EEF7D6F" w14:textId="77777777" w:rsidR="00634E56" w:rsidRDefault="00634E56" w:rsidP="00634E56">
      <w:pPr>
        <w:numPr>
          <w:ilvl w:val="0"/>
          <w:numId w:val="1"/>
        </w:numPr>
        <w:spacing w:line="360" w:lineRule="auto"/>
        <w:jc w:val="both"/>
        <w:rPr>
          <w:rFonts w:ascii="Arial" w:hAnsi="Arial"/>
        </w:rPr>
      </w:pPr>
      <w:r w:rsidRPr="00016DCC">
        <w:rPr>
          <w:rFonts w:ascii="Arial" w:hAnsi="Arial" w:hint="cs"/>
          <w:rtl/>
        </w:rPr>
        <w:t>לא מצאתי שיש הצדקה לסטות ממתחם העונש ההולם בשל מצבו הבריאותי של הנאשם.</w:t>
      </w:r>
    </w:p>
    <w:p w14:paraId="64ABBC2D" w14:textId="77777777" w:rsidR="00634E56" w:rsidRPr="00016DCC" w:rsidRDefault="00634E56" w:rsidP="00634E56">
      <w:pPr>
        <w:spacing w:line="360" w:lineRule="auto"/>
        <w:ind w:left="720"/>
        <w:jc w:val="both"/>
        <w:rPr>
          <w:rFonts w:ascii="Arial" w:hAnsi="Arial"/>
        </w:rPr>
      </w:pPr>
    </w:p>
    <w:p w14:paraId="2B5EF4AC" w14:textId="77777777" w:rsidR="00634E56" w:rsidRDefault="00634E56" w:rsidP="00634E56">
      <w:pPr>
        <w:numPr>
          <w:ilvl w:val="0"/>
          <w:numId w:val="1"/>
        </w:numPr>
        <w:spacing w:line="360" w:lineRule="auto"/>
        <w:jc w:val="both"/>
        <w:rPr>
          <w:rFonts w:ascii="Arial" w:hAnsi="Arial"/>
        </w:rPr>
      </w:pPr>
      <w:r>
        <w:rPr>
          <w:rFonts w:ascii="Arial" w:hAnsi="Arial" w:hint="cs"/>
          <w:rtl/>
        </w:rPr>
        <w:t xml:space="preserve">לטענת ההגנה, יש לסטות במקרה זה ממתחם ההולם משיקולי צדק, וזאת בשל גילו המבוגר של הנאשם ומצבו הבריאותי. </w:t>
      </w:r>
    </w:p>
    <w:p w14:paraId="74DD3AA8" w14:textId="77777777" w:rsidR="00634E56" w:rsidRDefault="00634E56" w:rsidP="00634E56">
      <w:pPr>
        <w:spacing w:line="360" w:lineRule="auto"/>
        <w:ind w:left="720"/>
        <w:jc w:val="both"/>
        <w:rPr>
          <w:rFonts w:ascii="Arial" w:hAnsi="Arial"/>
        </w:rPr>
      </w:pPr>
    </w:p>
    <w:p w14:paraId="66202681" w14:textId="77777777" w:rsidR="00634E56" w:rsidRDefault="00634E56" w:rsidP="00634E56">
      <w:pPr>
        <w:numPr>
          <w:ilvl w:val="0"/>
          <w:numId w:val="1"/>
        </w:numPr>
        <w:spacing w:line="360" w:lineRule="auto"/>
        <w:jc w:val="both"/>
        <w:rPr>
          <w:rFonts w:ascii="Arial" w:hAnsi="Arial"/>
        </w:rPr>
      </w:pPr>
      <w:r>
        <w:rPr>
          <w:rFonts w:ascii="Arial" w:hAnsi="Arial" w:hint="cs"/>
          <w:rtl/>
        </w:rPr>
        <w:t>הנאשם אדם בן 74 ומצבו הבריאותי בכי רע. מהחומר הרפואי שהוגש לעיוני מטעם ההגנה עולה שהנאשם זכאי לקבלת גמלת סיעוד מהמוסד לביטוח לאומי החל מיום 01.12.2013 (91% אחוז זכאות יציבה) ונמצא שהוא תלוי במידה רבה בעזרת הזולת ברוב פעולות היומיום. מתסקיר שירות המבחן ומהמסמכים הרפואיים עולה שהעזרה הסיעודית נחוצה לנאשם בעקבות כאבים שמהם הוא סובל במפרקי הידיים, ברגליים ובגב.</w:t>
      </w:r>
    </w:p>
    <w:p w14:paraId="7A721D38" w14:textId="77777777" w:rsidR="00634E56" w:rsidRDefault="00634E56" w:rsidP="00634E56">
      <w:pPr>
        <w:spacing w:line="360" w:lineRule="auto"/>
        <w:ind w:left="720"/>
        <w:jc w:val="both"/>
        <w:rPr>
          <w:rFonts w:ascii="Arial" w:hAnsi="Arial"/>
        </w:rPr>
      </w:pPr>
      <w:r>
        <w:rPr>
          <w:rFonts w:ascii="Arial" w:hAnsi="Arial" w:hint="cs"/>
          <w:rtl/>
        </w:rPr>
        <w:t xml:space="preserve">עוד עולה מהמסמכים הרפואיים שהנאשם לוקה בליבו, עד שנת 2017 עבר שלושה אירועי </w:t>
      </w:r>
      <w:r>
        <w:rPr>
          <w:rFonts w:ascii="Arial" w:hAnsi="Arial" w:hint="cs"/>
        </w:rPr>
        <w:t>SYNCOPE</w:t>
      </w:r>
      <w:r>
        <w:rPr>
          <w:rFonts w:ascii="Arial" w:hAnsi="Arial"/>
        </w:rPr>
        <w:t xml:space="preserve"> </w:t>
      </w:r>
      <w:r>
        <w:rPr>
          <w:rFonts w:ascii="Arial" w:hAnsi="Arial" w:hint="cs"/>
          <w:rtl/>
        </w:rPr>
        <w:t xml:space="preserve"> והופנה באותה שנה להשתלת קוצב לב קבוע. אמנם לא הוגש מסמך המעיד על השתלת קוצב הלב אולם הנאשם מסר לשירות המבחן שהושתל קוצב לב כאמור ואין סיבה שלא להניח שכך הם פני הדברים.</w:t>
      </w:r>
      <w:r>
        <w:rPr>
          <w:rFonts w:ascii="Arial" w:hAnsi="Arial" w:hint="cs"/>
        </w:rPr>
        <w:tab/>
      </w:r>
    </w:p>
    <w:p w14:paraId="06D7DEF0" w14:textId="77777777" w:rsidR="00634E56" w:rsidRDefault="00634E56" w:rsidP="00634E56">
      <w:pPr>
        <w:spacing w:line="360" w:lineRule="auto"/>
        <w:ind w:left="720"/>
        <w:jc w:val="both"/>
        <w:rPr>
          <w:rFonts w:ascii="Arial" w:hAnsi="Arial"/>
        </w:rPr>
      </w:pPr>
    </w:p>
    <w:p w14:paraId="22905EC0" w14:textId="77777777" w:rsidR="00634E56" w:rsidRDefault="00634E56" w:rsidP="00634E56">
      <w:pPr>
        <w:numPr>
          <w:ilvl w:val="0"/>
          <w:numId w:val="1"/>
        </w:numPr>
        <w:spacing w:line="360" w:lineRule="auto"/>
        <w:jc w:val="both"/>
        <w:rPr>
          <w:rFonts w:ascii="Arial" w:hAnsi="Arial"/>
        </w:rPr>
      </w:pPr>
      <w:r>
        <w:rPr>
          <w:rFonts w:ascii="Arial" w:hAnsi="Arial" w:hint="cs"/>
          <w:rtl/>
        </w:rPr>
        <w:t>לאחרונה דן ביהמ"ש המחוזי בחיפה בסוגיה זו (</w:t>
      </w:r>
      <w:hyperlink r:id="rId30" w:history="1">
        <w:r w:rsidR="004D0B6B" w:rsidRPr="004D0B6B">
          <w:rPr>
            <w:rFonts w:ascii="Arial" w:hAnsi="Arial"/>
            <w:color w:val="0000FF"/>
            <w:u w:val="single"/>
            <w:rtl/>
          </w:rPr>
          <w:t>עפ"ג 61867-11-19</w:t>
        </w:r>
      </w:hyperlink>
      <w:r>
        <w:rPr>
          <w:rFonts w:ascii="Arial" w:hAnsi="Arial" w:hint="cs"/>
          <w:rtl/>
        </w:rPr>
        <w:t xml:space="preserve"> </w:t>
      </w:r>
      <w:r w:rsidRPr="006F26A5">
        <w:rPr>
          <w:rFonts w:ascii="Arial" w:hAnsi="Arial" w:hint="cs"/>
          <w:b/>
          <w:bCs/>
          <w:rtl/>
        </w:rPr>
        <w:t>מדינת ישראל נגד אבו עיסא</w:t>
      </w:r>
      <w:r>
        <w:rPr>
          <w:rFonts w:ascii="Arial" w:hAnsi="Arial" w:hint="cs"/>
          <w:rtl/>
        </w:rPr>
        <w:t xml:space="preserve"> (04.12.2019)). בפסק דינו סיכם ביהמ"ש את ההלכות הידועות שעל פיהן חריגה ממתחם העונש ההולם משיקולי מצב בריאותי אפשרית רק בהינתן </w:t>
      </w:r>
      <w:r w:rsidRPr="008C06BD">
        <w:rPr>
          <w:rFonts w:ascii="Arial" w:hAnsi="Arial" w:hint="cs"/>
          <w:rtl/>
        </w:rPr>
        <w:t>ש</w:t>
      </w:r>
      <w:r w:rsidRPr="008C06BD">
        <w:rPr>
          <w:rFonts w:ascii="Arial" w:hAnsi="Arial"/>
          <w:rtl/>
        </w:rPr>
        <w:t>ענישה של מאסר</w:t>
      </w:r>
      <w:r>
        <w:rPr>
          <w:rFonts w:ascii="Arial" w:hAnsi="Arial"/>
          <w:rtl/>
        </w:rPr>
        <w:t xml:space="preserve"> בפועל תגרום להחרפה משמעותית מי</w:t>
      </w:r>
      <w:r>
        <w:rPr>
          <w:rFonts w:ascii="Arial" w:hAnsi="Arial" w:hint="cs"/>
          <w:rtl/>
        </w:rPr>
        <w:t>י</w:t>
      </w:r>
      <w:r w:rsidRPr="008C06BD">
        <w:rPr>
          <w:rFonts w:ascii="Arial" w:hAnsi="Arial"/>
          <w:rtl/>
        </w:rPr>
        <w:t>דית במצב</w:t>
      </w:r>
      <w:r>
        <w:rPr>
          <w:rFonts w:ascii="Arial" w:hAnsi="Arial" w:hint="cs"/>
          <w:rtl/>
        </w:rPr>
        <w:t>ו</w:t>
      </w:r>
      <w:r w:rsidRPr="008C06BD">
        <w:rPr>
          <w:rFonts w:ascii="Arial" w:hAnsi="Arial"/>
          <w:rtl/>
        </w:rPr>
        <w:t xml:space="preserve"> הרפואי של הנאשם או שתחיש את מותו</w:t>
      </w:r>
      <w:r>
        <w:rPr>
          <w:rFonts w:ascii="Arial" w:hAnsi="Arial" w:hint="cs"/>
          <w:rtl/>
        </w:rPr>
        <w:t>. ובלשונו של בית המשפט נאמרו הדברים כך:</w:t>
      </w:r>
    </w:p>
    <w:p w14:paraId="178FC31F" w14:textId="77777777" w:rsidR="00634E56" w:rsidRDefault="00634E56" w:rsidP="00634E56">
      <w:pPr>
        <w:spacing w:line="360" w:lineRule="auto"/>
        <w:ind w:left="720"/>
        <w:jc w:val="both"/>
        <w:rPr>
          <w:rFonts w:ascii="Arial" w:hAnsi="Arial"/>
          <w:b/>
          <w:bCs/>
          <w:rtl/>
        </w:rPr>
      </w:pPr>
    </w:p>
    <w:p w14:paraId="013D27CD" w14:textId="77777777" w:rsidR="00634E56" w:rsidRDefault="00634E56" w:rsidP="00634E56">
      <w:pPr>
        <w:spacing w:line="360" w:lineRule="auto"/>
        <w:ind w:left="1275" w:right="709"/>
        <w:jc w:val="both"/>
        <w:rPr>
          <w:rFonts w:ascii="David" w:hAnsi="David"/>
          <w:rtl/>
        </w:rPr>
      </w:pPr>
      <w:r w:rsidRPr="006F26A5">
        <w:rPr>
          <w:rFonts w:ascii="Arial" w:hAnsi="Arial" w:hint="cs"/>
          <w:b/>
          <w:bCs/>
          <w:rtl/>
        </w:rPr>
        <w:t xml:space="preserve">"[...] </w:t>
      </w:r>
      <w:r w:rsidRPr="006F26A5">
        <w:rPr>
          <w:rFonts w:ascii="Arial" w:hAnsi="Arial"/>
          <w:b/>
          <w:bCs/>
          <w:rtl/>
        </w:rPr>
        <w:t>בפסק הדין בעניין אורי לופוליאנסקי (</w:t>
      </w:r>
      <w:hyperlink r:id="rId31" w:history="1">
        <w:r w:rsidR="004D0B6B" w:rsidRPr="004D0B6B">
          <w:rPr>
            <w:rFonts w:ascii="Arial" w:hAnsi="Arial"/>
            <w:b/>
            <w:bCs/>
            <w:color w:val="0000FF"/>
            <w:u w:val="single"/>
            <w:rtl/>
          </w:rPr>
          <w:t>ע"פ 5669/14</w:t>
        </w:r>
      </w:hyperlink>
      <w:r w:rsidRPr="006F26A5">
        <w:rPr>
          <w:rFonts w:ascii="Arial" w:hAnsi="Arial"/>
          <w:b/>
          <w:bCs/>
          <w:rtl/>
        </w:rPr>
        <w:t xml:space="preserve"> לופוליאנסקי נ' מ"י [פורסם בנבו] (29.12.2015), פסקאות 196-225 (להלן: "עניין לופוליאנסקי"), הוכרה האפשרות לסטות ממתחם העונש מטעמי צדק, אך רק במקרים חריגים ומיוחדים בהם יש בסיס לסבור כי ענישה של מאסר בפועל תגרום להחרפה משמעותית מיידית במצב הרפואי של הנאשם או שתחיש את מותו (או אף, חלילה, תגרום למותו). באותו המקרה – חשש שכזה הודגם ונתמך בחוות דעת מקצועית מתאימה – ולכן בית המשפט נכון היה לסטות משמעותית ממתחם העונש ולהורות על מאסר קצר בעבודות שירות חלף מאסר ממושך בפועל, כמתחייב על פי הרף התחתון של המתחם שנקבע שם</w:t>
      </w:r>
      <w:r>
        <w:rPr>
          <w:rFonts w:ascii="Arial" w:hAnsi="Arial" w:hint="cs"/>
          <w:b/>
          <w:bCs/>
          <w:rtl/>
        </w:rPr>
        <w:t>[...]</w:t>
      </w:r>
      <w:r w:rsidRPr="001970C7">
        <w:rPr>
          <w:rFonts w:ascii="David" w:hAnsi="David"/>
          <w:rtl/>
        </w:rPr>
        <w:t xml:space="preserve"> </w:t>
      </w:r>
    </w:p>
    <w:p w14:paraId="222C850B" w14:textId="77777777" w:rsidR="00634E56" w:rsidRDefault="00634E56" w:rsidP="00634E56">
      <w:pPr>
        <w:spacing w:line="360" w:lineRule="auto"/>
        <w:ind w:left="1275" w:right="709"/>
        <w:jc w:val="both"/>
        <w:rPr>
          <w:rFonts w:ascii="Arial" w:hAnsi="Arial"/>
          <w:b/>
          <w:bCs/>
          <w:rtl/>
        </w:rPr>
      </w:pPr>
      <w:r w:rsidRPr="001970C7">
        <w:rPr>
          <w:rFonts w:ascii="Arial" w:hAnsi="Arial"/>
          <w:b/>
          <w:bCs/>
          <w:rtl/>
        </w:rPr>
        <w:t xml:space="preserve">בהמשך, ברוב המקרים בהם העלו נאשמים את הטענה לפיה על סמך ההלכה שבעניין לופוליאנסקי יש לסטות בעניינם מטה, אל מתחת לרף התחתון של המתחם, מחמת מחלות ומגבלות מהן הם סובלים – הטענה נדחתה. כלומר, ברוב המקרים נקבע כי המצב של הנאשם הספציפי אינו כה חמור עד כדי שיש לסטות בעניינו מהכלל, נקבע כי יש צורך בהצגת חוות דעת רפואית לגבי הסכנה המוחשית לחייו ובריאותו של הנאשם, נקבע כי במתקני שב"ס קיים מענה הולם ומקצועי לבעיות רפואיות של אסירים הסובלים למרבה הצער ממחלות, כולל מחלות קשות ולכן, על פי כלל, מצב רפואי קשה יכול להשפיע על העונש בתוך המתחם (מכוח </w:t>
      </w:r>
      <w:r w:rsidRPr="004D0B6B">
        <w:rPr>
          <w:rFonts w:ascii="Arial" w:hAnsi="Arial"/>
          <w:b/>
          <w:bCs/>
          <w:color w:val="000000"/>
          <w:rtl/>
        </w:rPr>
        <w:t>סעיף 40יא(1))</w:t>
      </w:r>
      <w:r w:rsidRPr="00635E9E">
        <w:rPr>
          <w:rFonts w:ascii="Arial" w:hAnsi="Arial"/>
          <w:b/>
          <w:bCs/>
          <w:rtl/>
        </w:rPr>
        <w:t xml:space="preserve"> אך לא אל מחוצה לו (וראו לדוגמא את המקרים הבאים – </w:t>
      </w:r>
      <w:hyperlink r:id="rId32" w:history="1">
        <w:r w:rsidR="004D0B6B" w:rsidRPr="004D0B6B">
          <w:rPr>
            <w:rFonts w:ascii="Arial" w:hAnsi="Arial"/>
            <w:b/>
            <w:bCs/>
            <w:color w:val="0000FF"/>
            <w:u w:val="single"/>
            <w:rtl/>
          </w:rPr>
          <w:t>רע"פ 7773/16</w:t>
        </w:r>
      </w:hyperlink>
      <w:r w:rsidRPr="00635E9E">
        <w:rPr>
          <w:rFonts w:ascii="Arial" w:hAnsi="Arial"/>
          <w:b/>
          <w:bCs/>
          <w:rtl/>
        </w:rPr>
        <w:t xml:space="preserve"> חננאל נ' מ"י [פורסם בנבו] (26.10.2016); </w:t>
      </w:r>
      <w:hyperlink r:id="rId33" w:history="1">
        <w:r w:rsidR="004D0B6B" w:rsidRPr="004D0B6B">
          <w:rPr>
            <w:rFonts w:ascii="Arial" w:hAnsi="Arial"/>
            <w:b/>
            <w:bCs/>
            <w:color w:val="0000FF"/>
            <w:u w:val="single"/>
            <w:rtl/>
          </w:rPr>
          <w:t>רע"פ 1076/16</w:t>
        </w:r>
      </w:hyperlink>
      <w:r w:rsidRPr="00635E9E">
        <w:rPr>
          <w:rFonts w:ascii="Arial" w:hAnsi="Arial"/>
          <w:b/>
          <w:bCs/>
          <w:rtl/>
        </w:rPr>
        <w:t xml:space="preserve"> כהן </w:t>
      </w:r>
      <w:r w:rsidRPr="001970C7">
        <w:rPr>
          <w:rFonts w:ascii="Arial" w:hAnsi="Arial"/>
          <w:b/>
          <w:bCs/>
          <w:rtl/>
        </w:rPr>
        <w:t>נ' מ"י [פורסם בנבו] (11.02.2016)</w:t>
      </w:r>
      <w:r>
        <w:rPr>
          <w:rFonts w:ascii="Arial" w:hAnsi="Arial" w:hint="cs"/>
          <w:b/>
          <w:bCs/>
          <w:rtl/>
        </w:rPr>
        <w:t>..."</w:t>
      </w:r>
    </w:p>
    <w:p w14:paraId="20F8B8DD" w14:textId="77777777" w:rsidR="00634E56" w:rsidRDefault="00634E56" w:rsidP="00634E56">
      <w:pPr>
        <w:spacing w:line="360" w:lineRule="auto"/>
        <w:ind w:left="1275" w:right="709"/>
        <w:jc w:val="both"/>
        <w:rPr>
          <w:rFonts w:ascii="Arial" w:hAnsi="Arial"/>
          <w:b/>
          <w:bCs/>
          <w:rtl/>
        </w:rPr>
      </w:pPr>
    </w:p>
    <w:p w14:paraId="00D8A84E" w14:textId="77777777" w:rsidR="00634E56" w:rsidRPr="00F372F7" w:rsidRDefault="00634E56" w:rsidP="00634E56">
      <w:pPr>
        <w:numPr>
          <w:ilvl w:val="0"/>
          <w:numId w:val="1"/>
        </w:numPr>
        <w:spacing w:line="360" w:lineRule="auto"/>
        <w:jc w:val="both"/>
        <w:rPr>
          <w:rFonts w:ascii="Arial" w:hAnsi="Arial"/>
          <w:rtl/>
        </w:rPr>
      </w:pPr>
      <w:r>
        <w:rPr>
          <w:rFonts w:ascii="Arial" w:hAnsi="Arial" w:hint="cs"/>
          <w:rtl/>
        </w:rPr>
        <w:t xml:space="preserve">בהיעדר חוות דעת רפואית שתומכת בטענה שמאסר מאחורי סורג ובריח יגרום לסכנה מוחשית לחייו ובריאותו של הנאשם, לא ניתן לסטות לקולה ממתחם העונש ההולם שנקבע. עם זאת, אתחשב במצבו הרפואי של הנאשם בגדרי המתחם.  </w:t>
      </w:r>
    </w:p>
    <w:p w14:paraId="12BD6209" w14:textId="77777777" w:rsidR="00634E56" w:rsidRPr="00F372F7" w:rsidRDefault="00634E56" w:rsidP="00634E56">
      <w:pPr>
        <w:spacing w:line="360" w:lineRule="auto"/>
        <w:jc w:val="both"/>
        <w:rPr>
          <w:rFonts w:ascii="Arial" w:hAnsi="Arial"/>
          <w:b/>
          <w:bCs/>
        </w:rPr>
      </w:pPr>
    </w:p>
    <w:p w14:paraId="0666BD1E" w14:textId="77777777" w:rsidR="00634E56" w:rsidRPr="00F372F7" w:rsidRDefault="00634E56" w:rsidP="00634E56">
      <w:pPr>
        <w:spacing w:line="360" w:lineRule="auto"/>
        <w:jc w:val="both"/>
        <w:rPr>
          <w:rFonts w:ascii="Arial" w:hAnsi="Arial"/>
          <w:rtl/>
        </w:rPr>
      </w:pPr>
      <w:r w:rsidRPr="00F372F7">
        <w:rPr>
          <w:rFonts w:ascii="Arial" w:hAnsi="Arial"/>
          <w:b/>
          <w:bCs/>
          <w:rtl/>
        </w:rPr>
        <w:t>גזירת העונש המתאים לנאשם</w:t>
      </w:r>
    </w:p>
    <w:p w14:paraId="2E71D3F5" w14:textId="77777777" w:rsidR="00634E56" w:rsidRPr="00F372F7" w:rsidRDefault="00634E56" w:rsidP="00634E56">
      <w:pPr>
        <w:numPr>
          <w:ilvl w:val="0"/>
          <w:numId w:val="1"/>
        </w:numPr>
        <w:spacing w:line="360" w:lineRule="auto"/>
        <w:jc w:val="both"/>
        <w:rPr>
          <w:rFonts w:ascii="Arial" w:hAnsi="Arial"/>
        </w:rPr>
      </w:pPr>
      <w:r w:rsidRPr="00F372F7">
        <w:rPr>
          <w:rFonts w:ascii="Arial" w:hAnsi="Arial"/>
          <w:rtl/>
        </w:rPr>
        <w:t xml:space="preserve">בגזירת העונש המתאים לנאשם, רשאי בית המשפט להתחשב </w:t>
      </w:r>
      <w:r w:rsidRPr="00F372F7">
        <w:rPr>
          <w:rFonts w:ascii="Arial" w:hAnsi="Arial"/>
          <w:b/>
          <w:bCs/>
          <w:rtl/>
        </w:rPr>
        <w:t xml:space="preserve">בנסיבות שאינן קשורות בביצוע העבירה </w:t>
      </w:r>
      <w:r w:rsidRPr="00F372F7">
        <w:rPr>
          <w:rFonts w:ascii="Arial" w:hAnsi="Arial"/>
          <w:rtl/>
        </w:rPr>
        <w:t>ולתת להן משקל, ובלבד שהעונש לא יחרוג  ממתחם העונש ההולם.</w:t>
      </w:r>
    </w:p>
    <w:p w14:paraId="5FDD3059" w14:textId="77777777" w:rsidR="00634E56" w:rsidRPr="00F372F7" w:rsidRDefault="00634E56" w:rsidP="00634E56">
      <w:pPr>
        <w:spacing w:line="360" w:lineRule="auto"/>
        <w:jc w:val="both"/>
        <w:rPr>
          <w:rFonts w:ascii="Arial" w:hAnsi="Arial"/>
        </w:rPr>
      </w:pPr>
    </w:p>
    <w:p w14:paraId="4394B813" w14:textId="77777777" w:rsidR="00634E56" w:rsidRDefault="00634E56" w:rsidP="00634E56">
      <w:pPr>
        <w:spacing w:line="360" w:lineRule="auto"/>
        <w:ind w:firstLine="720"/>
        <w:jc w:val="both"/>
        <w:rPr>
          <w:rFonts w:ascii="Arial" w:hAnsi="Arial"/>
          <w:rtl/>
        </w:rPr>
      </w:pPr>
      <w:r w:rsidRPr="00F372F7">
        <w:rPr>
          <w:rFonts w:ascii="Arial" w:hAnsi="Arial"/>
          <w:rtl/>
        </w:rPr>
        <w:t>בהתאם לכך נתתי דעתי לנסיבות הבאות:</w:t>
      </w:r>
    </w:p>
    <w:p w14:paraId="3B668067" w14:textId="77777777" w:rsidR="00634E56" w:rsidRPr="00F372F7" w:rsidRDefault="00634E56" w:rsidP="00634E56">
      <w:pPr>
        <w:spacing w:line="120" w:lineRule="auto"/>
        <w:jc w:val="both"/>
        <w:rPr>
          <w:rFonts w:ascii="Arial" w:hAnsi="Arial"/>
          <w:rtl/>
        </w:rPr>
      </w:pPr>
    </w:p>
    <w:p w14:paraId="6658BE8A" w14:textId="77777777" w:rsidR="00634E56" w:rsidRDefault="00634E56" w:rsidP="00634E56">
      <w:pPr>
        <w:numPr>
          <w:ilvl w:val="0"/>
          <w:numId w:val="3"/>
        </w:numPr>
        <w:spacing w:line="360" w:lineRule="auto"/>
        <w:jc w:val="both"/>
        <w:rPr>
          <w:rFonts w:ascii="Arial" w:hAnsi="Arial"/>
        </w:rPr>
      </w:pPr>
      <w:r w:rsidRPr="00A01D7B">
        <w:rPr>
          <w:rFonts w:ascii="Arial" w:hAnsi="Arial"/>
          <w:b/>
          <w:bCs/>
          <w:rtl/>
        </w:rPr>
        <w:t>הפגיעה של העונש בנאשם, לרבות בשל גילו</w:t>
      </w:r>
      <w:r w:rsidRPr="00A01D7B">
        <w:rPr>
          <w:rFonts w:ascii="Arial" w:hAnsi="Arial"/>
          <w:rtl/>
        </w:rPr>
        <w:t xml:space="preserve">; </w:t>
      </w:r>
      <w:r w:rsidRPr="00A01D7B">
        <w:rPr>
          <w:rFonts w:ascii="Arial" w:hAnsi="Arial" w:hint="cs"/>
          <w:rtl/>
        </w:rPr>
        <w:t xml:space="preserve">ברי שעל רקע גילו </w:t>
      </w:r>
      <w:r>
        <w:rPr>
          <w:rFonts w:ascii="Arial" w:hAnsi="Arial" w:hint="cs"/>
          <w:rtl/>
        </w:rPr>
        <w:t xml:space="preserve">המתקדם </w:t>
      </w:r>
      <w:r w:rsidRPr="00A01D7B">
        <w:rPr>
          <w:rFonts w:ascii="Arial" w:hAnsi="Arial" w:hint="cs"/>
          <w:rtl/>
        </w:rPr>
        <w:t xml:space="preserve">ומצבו הבריאותי </w:t>
      </w:r>
      <w:r>
        <w:rPr>
          <w:rFonts w:ascii="Arial" w:hAnsi="Arial" w:hint="cs"/>
          <w:rtl/>
        </w:rPr>
        <w:t>המורכב</w:t>
      </w:r>
      <w:r w:rsidRPr="00A01D7B">
        <w:rPr>
          <w:rFonts w:ascii="Arial" w:hAnsi="Arial" w:hint="cs"/>
          <w:rtl/>
        </w:rPr>
        <w:t xml:space="preserve"> כפי שפורט לעיל, ייגרם לנאשם סבל ניכר  אם יישלח למאסר בין כותלי הכלא.  </w:t>
      </w:r>
    </w:p>
    <w:p w14:paraId="7592AD24" w14:textId="77777777" w:rsidR="00634E56" w:rsidRPr="00A01D7B" w:rsidRDefault="00634E56" w:rsidP="00634E56">
      <w:pPr>
        <w:spacing w:line="360" w:lineRule="auto"/>
        <w:ind w:left="1080"/>
        <w:jc w:val="both"/>
        <w:rPr>
          <w:rFonts w:ascii="Arial" w:hAnsi="Arial"/>
          <w:rtl/>
        </w:rPr>
      </w:pPr>
    </w:p>
    <w:p w14:paraId="17092555" w14:textId="77777777" w:rsidR="00634E56" w:rsidRPr="000E765D" w:rsidRDefault="00634E56" w:rsidP="00634E56">
      <w:pPr>
        <w:numPr>
          <w:ilvl w:val="0"/>
          <w:numId w:val="3"/>
        </w:numPr>
        <w:spacing w:line="360" w:lineRule="auto"/>
        <w:jc w:val="both"/>
        <w:rPr>
          <w:rFonts w:ascii="Arial" w:hAnsi="Arial"/>
          <w:b/>
          <w:bCs/>
        </w:rPr>
      </w:pPr>
      <w:r w:rsidRPr="000E765D">
        <w:rPr>
          <w:rFonts w:ascii="Arial" w:hAnsi="Arial"/>
          <w:b/>
          <w:bCs/>
          <w:rtl/>
        </w:rPr>
        <w:t>נטילת האחריות של הנאשם על מעשיו;</w:t>
      </w:r>
      <w:r w:rsidRPr="000E765D">
        <w:rPr>
          <w:rFonts w:ascii="Arial" w:hAnsi="Arial" w:hint="cs"/>
          <w:b/>
          <w:bCs/>
          <w:rtl/>
        </w:rPr>
        <w:t xml:space="preserve"> </w:t>
      </w:r>
      <w:r w:rsidRPr="000E765D">
        <w:rPr>
          <w:rFonts w:ascii="Arial" w:hAnsi="Arial" w:hint="cs"/>
          <w:rtl/>
        </w:rPr>
        <w:t>הנאשם הודה במיוחס לו בבית המשפט במסגרת הסדר הטיעון. ברם מתסקיר שירות המבחן עולה שמדובר בנטילת אחריות מ</w:t>
      </w:r>
      <w:r>
        <w:rPr>
          <w:rFonts w:ascii="Arial" w:hAnsi="Arial" w:hint="cs"/>
          <w:rtl/>
        </w:rPr>
        <w:t>ן השפה ולחוץ</w:t>
      </w:r>
      <w:r w:rsidRPr="000E765D">
        <w:rPr>
          <w:rFonts w:ascii="Arial" w:hAnsi="Arial" w:hint="cs"/>
          <w:rtl/>
        </w:rPr>
        <w:t xml:space="preserve"> בלבד. הנאשם צמצם את הרקע לעבירה ואת נסיבותיה </w:t>
      </w:r>
      <w:r w:rsidRPr="000E765D">
        <w:rPr>
          <w:rFonts w:ascii="Arial" w:hAnsi="Arial"/>
          <w:rtl/>
        </w:rPr>
        <w:t>–</w:t>
      </w:r>
      <w:r w:rsidRPr="000E765D">
        <w:rPr>
          <w:rFonts w:ascii="Arial" w:hAnsi="Arial" w:hint="cs"/>
          <w:rtl/>
        </w:rPr>
        <w:t xml:space="preserve"> </w:t>
      </w:r>
      <w:r>
        <w:rPr>
          <w:rFonts w:ascii="Arial" w:hAnsi="Arial" w:hint="cs"/>
          <w:rtl/>
        </w:rPr>
        <w:t>כלש</w:t>
      </w:r>
      <w:r w:rsidRPr="000E765D">
        <w:rPr>
          <w:rFonts w:ascii="Arial" w:hAnsi="Arial" w:hint="cs"/>
          <w:rtl/>
        </w:rPr>
        <w:t>ון שירות המבחן</w:t>
      </w:r>
      <w:r>
        <w:rPr>
          <w:rFonts w:ascii="Arial" w:hAnsi="Arial" w:hint="cs"/>
          <w:rtl/>
        </w:rPr>
        <w:t>,</w:t>
      </w:r>
      <w:r w:rsidRPr="000E765D">
        <w:rPr>
          <w:rFonts w:ascii="Arial" w:hAnsi="Arial" w:hint="cs"/>
          <w:rtl/>
        </w:rPr>
        <w:t xml:space="preserve"> ואחז בגרסה שלפיה מצא תיק </w:t>
      </w:r>
      <w:r>
        <w:rPr>
          <w:rFonts w:ascii="Arial" w:hAnsi="Arial" w:hint="cs"/>
          <w:rtl/>
        </w:rPr>
        <w:t xml:space="preserve">מהודר ברחוב </w:t>
      </w:r>
      <w:r w:rsidRPr="000E765D">
        <w:rPr>
          <w:rFonts w:ascii="Arial" w:hAnsi="Arial" w:hint="cs"/>
          <w:rtl/>
        </w:rPr>
        <w:t>ואחסן או</w:t>
      </w:r>
      <w:r>
        <w:rPr>
          <w:rFonts w:ascii="Arial" w:hAnsi="Arial" w:hint="cs"/>
          <w:rtl/>
        </w:rPr>
        <w:t>תו בחדרו בלי שהיה מודע לתכולתו.</w:t>
      </w:r>
      <w:r w:rsidRPr="000E765D">
        <w:rPr>
          <w:rFonts w:ascii="Arial" w:hAnsi="Arial" w:hint="cs"/>
          <w:rtl/>
        </w:rPr>
        <w:t xml:space="preserve"> ב"כ הנאשם לא ביקש </w:t>
      </w:r>
      <w:r>
        <w:rPr>
          <w:rFonts w:ascii="Arial" w:hAnsi="Arial" w:hint="cs"/>
          <w:rtl/>
        </w:rPr>
        <w:t>בשמו של</w:t>
      </w:r>
      <w:r w:rsidRPr="000E765D">
        <w:rPr>
          <w:rFonts w:ascii="Arial" w:hAnsi="Arial" w:hint="cs"/>
          <w:rtl/>
        </w:rPr>
        <w:t xml:space="preserve"> הנאשם לחזור </w:t>
      </w:r>
      <w:r>
        <w:rPr>
          <w:rFonts w:ascii="Arial" w:hAnsi="Arial" w:hint="cs"/>
          <w:rtl/>
        </w:rPr>
        <w:t>בו מהודייתו</w:t>
      </w:r>
      <w:r w:rsidRPr="000E765D">
        <w:rPr>
          <w:rFonts w:ascii="Arial" w:hAnsi="Arial" w:hint="cs"/>
          <w:rtl/>
        </w:rPr>
        <w:t xml:space="preserve"> ועל כן לא נדון עניין זה לפניי. מכל מקום למרות </w:t>
      </w:r>
      <w:r>
        <w:rPr>
          <w:rFonts w:ascii="Arial" w:hAnsi="Arial" w:hint="cs"/>
          <w:rtl/>
        </w:rPr>
        <w:t>מה ש</w:t>
      </w:r>
      <w:r w:rsidRPr="000E765D">
        <w:rPr>
          <w:rFonts w:ascii="Arial" w:hAnsi="Arial" w:hint="cs"/>
          <w:rtl/>
        </w:rPr>
        <w:t xml:space="preserve">אמר </w:t>
      </w:r>
      <w:r>
        <w:rPr>
          <w:rFonts w:ascii="Arial" w:hAnsi="Arial" w:hint="cs"/>
          <w:rtl/>
        </w:rPr>
        <w:t xml:space="preserve">הנאשם </w:t>
      </w:r>
      <w:r w:rsidRPr="000E765D">
        <w:rPr>
          <w:rFonts w:ascii="Arial" w:hAnsi="Arial" w:hint="cs"/>
          <w:rtl/>
        </w:rPr>
        <w:t xml:space="preserve">לשירות המבחן, משהודה </w:t>
      </w:r>
      <w:r>
        <w:rPr>
          <w:rFonts w:ascii="Arial" w:hAnsi="Arial" w:hint="cs"/>
          <w:rtl/>
        </w:rPr>
        <w:t xml:space="preserve">הוא בכתב האישום המתוקן </w:t>
      </w:r>
      <w:r w:rsidRPr="000E765D">
        <w:rPr>
          <w:rFonts w:ascii="Arial" w:hAnsi="Arial" w:hint="cs"/>
          <w:rtl/>
        </w:rPr>
        <w:t>לפניי</w:t>
      </w:r>
      <w:r>
        <w:rPr>
          <w:rFonts w:ascii="Arial" w:hAnsi="Arial" w:hint="cs"/>
          <w:rtl/>
        </w:rPr>
        <w:t>,</w:t>
      </w:r>
      <w:r w:rsidRPr="000E765D">
        <w:rPr>
          <w:rFonts w:ascii="Arial" w:hAnsi="Arial" w:hint="cs"/>
          <w:rtl/>
        </w:rPr>
        <w:t xml:space="preserve"> הענקתי משקל מסוים להודאתו ולהנחות </w:t>
      </w:r>
      <w:r>
        <w:rPr>
          <w:rFonts w:ascii="Arial" w:hAnsi="Arial" w:hint="cs"/>
          <w:rtl/>
        </w:rPr>
        <w:t>הנגזרו</w:t>
      </w:r>
      <w:r w:rsidRPr="000E765D">
        <w:rPr>
          <w:rFonts w:ascii="Arial" w:hAnsi="Arial" w:hint="cs"/>
          <w:rtl/>
        </w:rPr>
        <w:t>ת ממנה.</w:t>
      </w:r>
    </w:p>
    <w:p w14:paraId="54E9ED0B" w14:textId="77777777" w:rsidR="00634E56" w:rsidRPr="000E765D" w:rsidRDefault="00634E56" w:rsidP="00634E56">
      <w:pPr>
        <w:spacing w:line="360" w:lineRule="auto"/>
        <w:ind w:left="1440"/>
        <w:jc w:val="both"/>
        <w:rPr>
          <w:rFonts w:ascii="Arial" w:hAnsi="Arial"/>
          <w:b/>
          <w:bCs/>
        </w:rPr>
      </w:pPr>
      <w:r w:rsidRPr="000E765D">
        <w:rPr>
          <w:rFonts w:ascii="Arial" w:hAnsi="Arial" w:hint="cs"/>
          <w:rtl/>
        </w:rPr>
        <w:t xml:space="preserve"> </w:t>
      </w:r>
    </w:p>
    <w:p w14:paraId="2D379D8F" w14:textId="77777777" w:rsidR="00634E56" w:rsidRDefault="00634E56" w:rsidP="00634E56">
      <w:pPr>
        <w:numPr>
          <w:ilvl w:val="0"/>
          <w:numId w:val="3"/>
        </w:numPr>
        <w:spacing w:line="360" w:lineRule="auto"/>
        <w:jc w:val="both"/>
        <w:rPr>
          <w:rFonts w:ascii="Arial" w:hAnsi="Arial"/>
        </w:rPr>
      </w:pPr>
      <w:r w:rsidRPr="00F372F7">
        <w:rPr>
          <w:rFonts w:ascii="Arial" w:hAnsi="Arial"/>
          <w:b/>
          <w:bCs/>
          <w:rtl/>
        </w:rPr>
        <w:t>עברו הפלילי של הנאשם;</w:t>
      </w:r>
      <w:r>
        <w:rPr>
          <w:rFonts w:ascii="Arial" w:hAnsi="Arial" w:hint="cs"/>
          <w:rtl/>
        </w:rPr>
        <w:t xml:space="preserve"> לנאשם הרשעות קודמות בעבירות ביטחוניות שטרם התיישנו וטרם נמחקו אף שחלפו שנים רבות. </w:t>
      </w:r>
    </w:p>
    <w:p w14:paraId="49A43344" w14:textId="77777777" w:rsidR="00634E56" w:rsidRDefault="00634E56" w:rsidP="00634E56">
      <w:pPr>
        <w:spacing w:line="360" w:lineRule="auto"/>
        <w:ind w:left="1440"/>
        <w:jc w:val="both"/>
        <w:rPr>
          <w:rFonts w:ascii="Arial" w:hAnsi="Arial"/>
          <w:rtl/>
        </w:rPr>
      </w:pPr>
      <w:r w:rsidRPr="0072330C">
        <w:rPr>
          <w:rFonts w:ascii="Arial" w:hAnsi="Arial" w:hint="cs"/>
          <w:u w:val="single"/>
          <w:rtl/>
        </w:rPr>
        <w:t>בשנת 1971</w:t>
      </w:r>
      <w:r w:rsidRPr="00AC778B">
        <w:rPr>
          <w:rFonts w:ascii="Arial" w:hAnsi="Arial" w:hint="cs"/>
          <w:rtl/>
        </w:rPr>
        <w:t xml:space="preserve"> </w:t>
      </w:r>
      <w:r>
        <w:rPr>
          <w:rFonts w:ascii="Arial" w:hAnsi="Arial" w:hint="cs"/>
          <w:rtl/>
        </w:rPr>
        <w:t>הורשע ב</w:t>
      </w:r>
      <w:r w:rsidRPr="00AC778B">
        <w:rPr>
          <w:rFonts w:ascii="Arial" w:hAnsi="Arial" w:hint="cs"/>
          <w:rtl/>
        </w:rPr>
        <w:t>בית הדין הצבאי לערעורים בחברות בהתאגדות בלתי חוקית ונשיאת נשק או חומרי נפץ ללא היתר</w:t>
      </w:r>
      <w:r>
        <w:rPr>
          <w:rFonts w:ascii="Arial" w:hAnsi="Arial" w:hint="cs"/>
          <w:rtl/>
        </w:rPr>
        <w:t xml:space="preserve"> ו</w:t>
      </w:r>
      <w:r w:rsidRPr="00AC778B">
        <w:rPr>
          <w:rFonts w:ascii="Arial" w:hAnsi="Arial" w:hint="cs"/>
          <w:rtl/>
        </w:rPr>
        <w:t xml:space="preserve">נידון </w:t>
      </w:r>
      <w:r w:rsidRPr="0072330C">
        <w:rPr>
          <w:rFonts w:ascii="Arial" w:hAnsi="Arial" w:hint="cs"/>
          <w:u w:val="single"/>
          <w:rtl/>
        </w:rPr>
        <w:t>למאסר עולם לא חובה</w:t>
      </w:r>
      <w:r w:rsidRPr="00AC778B">
        <w:rPr>
          <w:rFonts w:ascii="Arial" w:hAnsi="Arial" w:hint="cs"/>
          <w:rtl/>
        </w:rPr>
        <w:t>.</w:t>
      </w:r>
      <w:r>
        <w:rPr>
          <w:rFonts w:ascii="Arial" w:hAnsi="Arial" w:hint="cs"/>
          <w:rtl/>
        </w:rPr>
        <w:t xml:space="preserve"> </w:t>
      </w:r>
    </w:p>
    <w:p w14:paraId="3B4F9A02" w14:textId="77777777" w:rsidR="00634E56" w:rsidRDefault="00634E56" w:rsidP="00634E56">
      <w:pPr>
        <w:spacing w:line="360" w:lineRule="auto"/>
        <w:ind w:left="1440"/>
        <w:jc w:val="both"/>
        <w:rPr>
          <w:rFonts w:ascii="Arial" w:hAnsi="Arial"/>
          <w:rtl/>
        </w:rPr>
      </w:pPr>
      <w:r>
        <w:rPr>
          <w:rFonts w:ascii="Arial" w:hAnsi="Arial" w:hint="cs"/>
          <w:rtl/>
        </w:rPr>
        <w:t>(אמנם הרשעה זו הוזנה למרשם הפלילי כהרשעה נפרדת שאינה קשורה להרשעתו של הנאשם בבית הדין הצבאי מרכז, אולם קרוב לוודאי שמדובר בערעור על הרשעתו זו ולא בהרשעה נפרדת וכך אניח).</w:t>
      </w:r>
    </w:p>
    <w:p w14:paraId="77D4248D" w14:textId="77777777" w:rsidR="00634E56" w:rsidRPr="00AC778B" w:rsidRDefault="00634E56" w:rsidP="00634E56">
      <w:pPr>
        <w:spacing w:line="360" w:lineRule="auto"/>
        <w:ind w:left="1440"/>
        <w:jc w:val="both"/>
        <w:rPr>
          <w:rFonts w:ascii="Arial" w:hAnsi="Arial"/>
          <w:rtl/>
        </w:rPr>
      </w:pPr>
      <w:r w:rsidRPr="0072330C">
        <w:rPr>
          <w:rFonts w:ascii="Arial" w:hAnsi="Arial" w:hint="cs"/>
          <w:u w:val="single"/>
          <w:rtl/>
        </w:rPr>
        <w:t>בשנת 1971</w:t>
      </w:r>
      <w:r>
        <w:rPr>
          <w:rFonts w:ascii="Arial" w:hAnsi="Arial" w:hint="cs"/>
          <w:rtl/>
        </w:rPr>
        <w:t xml:space="preserve"> הורשע בבית הדין הצבאי במחוז מרכז בנשיאת חומר נפץ שלא כחוק, חברות בהתאגדות בלתי חוקית וחברות בקבוצה המבצעת עבירות נגד הסדר הציבורי ונדון </w:t>
      </w:r>
      <w:r w:rsidRPr="0087758A">
        <w:rPr>
          <w:rFonts w:ascii="Arial" w:hAnsi="Arial" w:hint="cs"/>
          <w:u w:val="single"/>
          <w:rtl/>
        </w:rPr>
        <w:t>למאסר ב</w:t>
      </w:r>
      <w:r w:rsidRPr="0072330C">
        <w:rPr>
          <w:rFonts w:ascii="Arial" w:hAnsi="Arial" w:hint="cs"/>
          <w:u w:val="single"/>
          <w:rtl/>
        </w:rPr>
        <w:t>פועל למשך 40 שנה</w:t>
      </w:r>
      <w:r>
        <w:rPr>
          <w:rFonts w:ascii="Arial" w:hAnsi="Arial" w:hint="cs"/>
          <w:rtl/>
        </w:rPr>
        <w:t>.</w:t>
      </w:r>
    </w:p>
    <w:p w14:paraId="208B2FA8" w14:textId="77777777" w:rsidR="00634E56" w:rsidRDefault="00634E56" w:rsidP="00634E56">
      <w:pPr>
        <w:pStyle w:val="a9"/>
        <w:spacing w:line="360" w:lineRule="auto"/>
        <w:ind w:left="1440"/>
        <w:jc w:val="both"/>
        <w:rPr>
          <w:rFonts w:ascii="Arial" w:hAnsi="Arial"/>
          <w:rtl/>
        </w:rPr>
      </w:pPr>
      <w:r w:rsidRPr="0072330C">
        <w:rPr>
          <w:rFonts w:ascii="Arial" w:hAnsi="Arial" w:hint="cs"/>
          <w:u w:val="single"/>
          <w:rtl/>
        </w:rPr>
        <w:t>בשנת 1967</w:t>
      </w:r>
      <w:r w:rsidRPr="0072330C">
        <w:rPr>
          <w:rFonts w:ascii="Arial" w:hAnsi="Arial" w:hint="cs"/>
          <w:rtl/>
        </w:rPr>
        <w:t xml:space="preserve"> ה</w:t>
      </w:r>
      <w:r>
        <w:rPr>
          <w:rFonts w:ascii="Arial" w:hAnsi="Arial" w:hint="cs"/>
          <w:rtl/>
        </w:rPr>
        <w:t>ורשע בפריצה לבניין ונידון למאסר בפועל בן 4 חודשים ולמאסר מותנה.</w:t>
      </w:r>
    </w:p>
    <w:p w14:paraId="16B01261" w14:textId="77777777" w:rsidR="00634E56" w:rsidRDefault="00634E56" w:rsidP="00634E56">
      <w:pPr>
        <w:pStyle w:val="a9"/>
        <w:spacing w:line="360" w:lineRule="auto"/>
        <w:ind w:left="1440"/>
        <w:jc w:val="both"/>
        <w:rPr>
          <w:rFonts w:ascii="Arial" w:hAnsi="Arial"/>
          <w:rtl/>
        </w:rPr>
      </w:pPr>
    </w:p>
    <w:p w14:paraId="7BBDDE9D" w14:textId="77777777" w:rsidR="00634E56" w:rsidRDefault="00634E56" w:rsidP="00634E56">
      <w:pPr>
        <w:pStyle w:val="a9"/>
        <w:spacing w:line="360" w:lineRule="auto"/>
        <w:ind w:left="1440"/>
        <w:jc w:val="both"/>
        <w:rPr>
          <w:rFonts w:ascii="Arial" w:hAnsi="Arial"/>
          <w:rtl/>
        </w:rPr>
      </w:pPr>
      <w:r w:rsidRPr="00403288">
        <w:rPr>
          <w:rFonts w:ascii="Arial" w:hAnsi="Arial" w:hint="cs"/>
          <w:rtl/>
        </w:rPr>
        <w:t>כאמור, שוחרר הנאשם ממאסרו הארוך במסגרת עסקת חילופי שבויים בשנת 1985</w:t>
      </w:r>
      <w:r>
        <w:rPr>
          <w:rFonts w:ascii="Arial" w:hAnsi="Arial" w:hint="cs"/>
          <w:rtl/>
        </w:rPr>
        <w:t xml:space="preserve"> (ככל הנראה בעסקת ג'יבריל).</w:t>
      </w:r>
    </w:p>
    <w:p w14:paraId="3E1222E6" w14:textId="77777777" w:rsidR="00634E56" w:rsidRDefault="00634E56" w:rsidP="00634E56">
      <w:pPr>
        <w:pStyle w:val="a9"/>
        <w:spacing w:line="360" w:lineRule="auto"/>
        <w:ind w:left="1440"/>
        <w:jc w:val="both"/>
        <w:rPr>
          <w:rFonts w:ascii="Arial" w:hAnsi="Arial"/>
          <w:rtl/>
        </w:rPr>
      </w:pPr>
    </w:p>
    <w:p w14:paraId="58D1A0C1" w14:textId="77777777" w:rsidR="00634E56" w:rsidRPr="00AC778B" w:rsidRDefault="00634E56" w:rsidP="00634E56">
      <w:pPr>
        <w:pStyle w:val="a9"/>
        <w:spacing w:line="360" w:lineRule="auto"/>
        <w:ind w:left="1440"/>
        <w:jc w:val="both"/>
        <w:rPr>
          <w:rFonts w:ascii="Arial" w:hAnsi="Arial"/>
        </w:rPr>
      </w:pPr>
      <w:r>
        <w:rPr>
          <w:rFonts w:ascii="Arial" w:hAnsi="Arial" w:hint="cs"/>
          <w:rtl/>
        </w:rPr>
        <w:t>השילוב שבין החזקת האקדח לעברו הביטחוני של הנאשם בפעילות חבלנית עוינת, מחייב לבחון באופן מחמיר את העבירה, משמעויותיה, והשלכותיה. בחינה זו תומכת בהכבדת יד הענישה על הנאשם משיקולי הלימה והרתעה. והדברים אמורים אף שחלפו שנים רבות מאז.</w:t>
      </w:r>
    </w:p>
    <w:p w14:paraId="7D10E5B9" w14:textId="77777777" w:rsidR="00634E56" w:rsidRPr="00D3513C" w:rsidRDefault="00634E56" w:rsidP="00634E56">
      <w:pPr>
        <w:spacing w:line="360" w:lineRule="auto"/>
        <w:ind w:left="1440"/>
        <w:jc w:val="both"/>
        <w:rPr>
          <w:rFonts w:ascii="Arial" w:hAnsi="Arial"/>
        </w:rPr>
      </w:pPr>
    </w:p>
    <w:p w14:paraId="0C49F3B4" w14:textId="77777777" w:rsidR="00634E56" w:rsidRPr="00F372F7" w:rsidRDefault="00634E56" w:rsidP="00634E56">
      <w:pPr>
        <w:numPr>
          <w:ilvl w:val="0"/>
          <w:numId w:val="1"/>
        </w:numPr>
        <w:spacing w:line="360" w:lineRule="auto"/>
        <w:jc w:val="both"/>
        <w:rPr>
          <w:rFonts w:ascii="Arial" w:hAnsi="Arial"/>
        </w:rPr>
      </w:pPr>
      <w:r w:rsidRPr="00F372F7">
        <w:rPr>
          <w:rFonts w:ascii="Arial" w:hAnsi="Arial"/>
          <w:rtl/>
        </w:rPr>
        <w:t xml:space="preserve">לאחר שנתתי דעתי לכלל הנסיבות שאינן קשורות בביצוע העבירה </w:t>
      </w:r>
      <w:r>
        <w:rPr>
          <w:rFonts w:ascii="Arial" w:hAnsi="Arial" w:hint="cs"/>
          <w:rtl/>
        </w:rPr>
        <w:t xml:space="preserve">ומתוך התחשבות מיוחדת בגילו ובמצבו הבריאותי, </w:t>
      </w:r>
      <w:r w:rsidRPr="00F372F7">
        <w:rPr>
          <w:rFonts w:ascii="Arial" w:hAnsi="Arial"/>
          <w:rtl/>
        </w:rPr>
        <w:t xml:space="preserve">הגעתי לכלל מסקנה שיש למקם את הנאשם </w:t>
      </w:r>
      <w:r>
        <w:rPr>
          <w:rFonts w:ascii="Arial" w:hAnsi="Arial"/>
          <w:b/>
          <w:bCs/>
          <w:rtl/>
        </w:rPr>
        <w:t>ברף התחתון</w:t>
      </w:r>
      <w:r w:rsidRPr="00F372F7">
        <w:rPr>
          <w:rFonts w:ascii="Arial" w:hAnsi="Arial"/>
          <w:b/>
          <w:bCs/>
          <w:rtl/>
        </w:rPr>
        <w:t xml:space="preserve"> של מתחם העונש ההולם</w:t>
      </w:r>
      <w:r w:rsidRPr="00F372F7">
        <w:rPr>
          <w:rFonts w:ascii="Arial" w:hAnsi="Arial"/>
          <w:rtl/>
        </w:rPr>
        <w:t>, קרי, לגזור על הנאשם עונש של</w:t>
      </w:r>
      <w:r>
        <w:rPr>
          <w:rFonts w:ascii="Arial" w:hAnsi="Arial" w:hint="cs"/>
          <w:rtl/>
        </w:rPr>
        <w:t xml:space="preserve"> 9 חודשי מאסר בפועל לצד מאסר מותנה וקנס.</w:t>
      </w:r>
    </w:p>
    <w:p w14:paraId="0C16FFDC" w14:textId="77777777" w:rsidR="00634E56" w:rsidRDefault="00634E56" w:rsidP="00634E56">
      <w:pPr>
        <w:spacing w:line="360" w:lineRule="auto"/>
        <w:jc w:val="both"/>
        <w:rPr>
          <w:rFonts w:ascii="Arial" w:hAnsi="Arial"/>
          <w:b/>
          <w:bCs/>
          <w:rtl/>
        </w:rPr>
      </w:pPr>
    </w:p>
    <w:p w14:paraId="696248A0" w14:textId="77777777" w:rsidR="00634E56" w:rsidRPr="00F372F7" w:rsidRDefault="00634E56" w:rsidP="00634E56">
      <w:pPr>
        <w:spacing w:line="360" w:lineRule="auto"/>
        <w:jc w:val="both"/>
        <w:rPr>
          <w:rFonts w:ascii="Arial" w:hAnsi="Arial"/>
          <w:rtl/>
        </w:rPr>
      </w:pPr>
      <w:r w:rsidRPr="00F372F7">
        <w:rPr>
          <w:rFonts w:ascii="Arial" w:hAnsi="Arial"/>
          <w:b/>
          <w:bCs/>
          <w:rtl/>
        </w:rPr>
        <w:t>סוף דבר</w:t>
      </w:r>
    </w:p>
    <w:p w14:paraId="7A891AAE" w14:textId="77777777" w:rsidR="00634E56" w:rsidRPr="00F372F7" w:rsidRDefault="00634E56" w:rsidP="00634E56">
      <w:pPr>
        <w:numPr>
          <w:ilvl w:val="0"/>
          <w:numId w:val="1"/>
        </w:numPr>
        <w:spacing w:line="360" w:lineRule="auto"/>
        <w:jc w:val="both"/>
        <w:rPr>
          <w:rFonts w:ascii="Arial" w:hAnsi="Arial"/>
        </w:rPr>
      </w:pPr>
      <w:r w:rsidRPr="00F372F7">
        <w:rPr>
          <w:rFonts w:ascii="Arial" w:hAnsi="Arial"/>
          <w:rtl/>
        </w:rPr>
        <w:t>לאחר</w:t>
      </w:r>
      <w:r>
        <w:rPr>
          <w:rFonts w:ascii="Arial" w:hAnsi="Arial"/>
          <w:rtl/>
        </w:rPr>
        <w:t xml:space="preserve"> ששקלתי את רכיבי הענישה – סוגם</w:t>
      </w:r>
      <w:r>
        <w:rPr>
          <w:rFonts w:ascii="Arial" w:hAnsi="Arial" w:hint="cs"/>
          <w:rtl/>
        </w:rPr>
        <w:t xml:space="preserve">, </w:t>
      </w:r>
      <w:r>
        <w:rPr>
          <w:rFonts w:ascii="Arial" w:hAnsi="Arial"/>
          <w:rtl/>
        </w:rPr>
        <w:t>מידתם ו</w:t>
      </w:r>
      <w:r w:rsidRPr="00F372F7">
        <w:rPr>
          <w:rFonts w:ascii="Arial" w:hAnsi="Arial"/>
          <w:rtl/>
        </w:rPr>
        <w:t>השפעתם ההדדית, החלטתי לגזור על הנאשם את העונשים הבאים:</w:t>
      </w:r>
    </w:p>
    <w:p w14:paraId="78D18F60" w14:textId="77777777" w:rsidR="00634E56" w:rsidRPr="00F372F7" w:rsidRDefault="00634E56" w:rsidP="00634E56">
      <w:pPr>
        <w:jc w:val="both"/>
        <w:rPr>
          <w:rFonts w:ascii="Arial" w:hAnsi="Arial"/>
        </w:rPr>
      </w:pPr>
    </w:p>
    <w:p w14:paraId="1A7653FB" w14:textId="77777777" w:rsidR="00634E56" w:rsidRDefault="00634E56" w:rsidP="00634E56">
      <w:pPr>
        <w:numPr>
          <w:ilvl w:val="0"/>
          <w:numId w:val="4"/>
        </w:numPr>
        <w:spacing w:line="360" w:lineRule="auto"/>
        <w:jc w:val="both"/>
        <w:rPr>
          <w:rFonts w:ascii="Arial" w:hAnsi="Arial"/>
          <w:b/>
          <w:bCs/>
        </w:rPr>
      </w:pPr>
      <w:r w:rsidRPr="00F372F7">
        <w:rPr>
          <w:rFonts w:ascii="Arial" w:hAnsi="Arial"/>
          <w:b/>
          <w:bCs/>
          <w:rtl/>
        </w:rPr>
        <w:t xml:space="preserve">מאסר בן </w:t>
      </w:r>
      <w:r>
        <w:rPr>
          <w:rFonts w:ascii="Arial" w:hAnsi="Arial" w:hint="cs"/>
          <w:b/>
          <w:bCs/>
          <w:rtl/>
        </w:rPr>
        <w:t>9</w:t>
      </w:r>
      <w:r w:rsidRPr="00F372F7">
        <w:rPr>
          <w:rFonts w:ascii="Arial" w:hAnsi="Arial"/>
          <w:b/>
          <w:bCs/>
          <w:rtl/>
        </w:rPr>
        <w:t xml:space="preserve"> חודשים. </w:t>
      </w:r>
    </w:p>
    <w:p w14:paraId="488092A2" w14:textId="77777777" w:rsidR="00634E56" w:rsidRPr="00F372F7" w:rsidRDefault="00634E56" w:rsidP="00634E56">
      <w:pPr>
        <w:jc w:val="both"/>
        <w:rPr>
          <w:rFonts w:ascii="Arial" w:hAnsi="Arial"/>
          <w:b/>
          <w:bCs/>
        </w:rPr>
      </w:pPr>
    </w:p>
    <w:p w14:paraId="07863183" w14:textId="77777777" w:rsidR="00634E56" w:rsidRDefault="00634E56" w:rsidP="00634E56">
      <w:pPr>
        <w:numPr>
          <w:ilvl w:val="0"/>
          <w:numId w:val="4"/>
        </w:numPr>
        <w:spacing w:line="360" w:lineRule="auto"/>
        <w:jc w:val="both"/>
        <w:rPr>
          <w:rFonts w:ascii="Arial" w:hAnsi="Arial"/>
          <w:b/>
          <w:bCs/>
        </w:rPr>
      </w:pPr>
      <w:r w:rsidRPr="00F372F7">
        <w:rPr>
          <w:rFonts w:ascii="Arial" w:hAnsi="Arial"/>
          <w:b/>
          <w:bCs/>
          <w:rtl/>
        </w:rPr>
        <w:t xml:space="preserve">מאסר בן </w:t>
      </w:r>
      <w:r>
        <w:rPr>
          <w:rFonts w:ascii="Arial" w:hAnsi="Arial" w:hint="cs"/>
          <w:b/>
          <w:bCs/>
          <w:rtl/>
        </w:rPr>
        <w:t xml:space="preserve">10 חודשים </w:t>
      </w:r>
      <w:r w:rsidRPr="00F372F7">
        <w:rPr>
          <w:rFonts w:ascii="Arial" w:hAnsi="Arial"/>
          <w:b/>
          <w:bCs/>
          <w:rtl/>
        </w:rPr>
        <w:t>שאותו לא יישא הנאשם אלא אם יע</w:t>
      </w:r>
      <w:r>
        <w:rPr>
          <w:rFonts w:ascii="Arial" w:hAnsi="Arial"/>
          <w:b/>
          <w:bCs/>
          <w:rtl/>
        </w:rPr>
        <w:t xml:space="preserve">בור בתוך שלוש שנים מהיום עבירת </w:t>
      </w:r>
      <w:r>
        <w:rPr>
          <w:rFonts w:ascii="Arial" w:hAnsi="Arial" w:hint="cs"/>
          <w:b/>
          <w:bCs/>
          <w:rtl/>
        </w:rPr>
        <w:t xml:space="preserve">נשק </w:t>
      </w:r>
      <w:r>
        <w:rPr>
          <w:rFonts w:ascii="Arial" w:hAnsi="Arial"/>
          <w:b/>
          <w:bCs/>
          <w:rtl/>
        </w:rPr>
        <w:t>ויורשע בה בתוך התקופה</w:t>
      </w:r>
      <w:r>
        <w:rPr>
          <w:rFonts w:ascii="Arial" w:hAnsi="Arial" w:hint="cs"/>
          <w:b/>
          <w:bCs/>
          <w:rtl/>
        </w:rPr>
        <w:t xml:space="preserve"> </w:t>
      </w:r>
      <w:r w:rsidRPr="00F372F7">
        <w:rPr>
          <w:rFonts w:ascii="Arial" w:hAnsi="Arial"/>
          <w:b/>
          <w:bCs/>
          <w:rtl/>
        </w:rPr>
        <w:t>או לאחריה.</w:t>
      </w:r>
    </w:p>
    <w:p w14:paraId="42262E34" w14:textId="77777777" w:rsidR="00634E56" w:rsidRDefault="00634E56" w:rsidP="00634E56">
      <w:pPr>
        <w:spacing w:line="360" w:lineRule="auto"/>
        <w:ind w:left="1440"/>
        <w:jc w:val="both"/>
        <w:rPr>
          <w:rFonts w:ascii="Arial" w:hAnsi="Arial"/>
          <w:b/>
          <w:bCs/>
        </w:rPr>
      </w:pPr>
    </w:p>
    <w:p w14:paraId="4DC762E5" w14:textId="77777777" w:rsidR="00634E56" w:rsidRPr="00F372F7" w:rsidRDefault="00634E56" w:rsidP="00634E56">
      <w:pPr>
        <w:numPr>
          <w:ilvl w:val="0"/>
          <w:numId w:val="4"/>
        </w:numPr>
        <w:spacing w:line="360" w:lineRule="auto"/>
        <w:jc w:val="both"/>
        <w:rPr>
          <w:rFonts w:ascii="Arial" w:hAnsi="Arial"/>
          <w:b/>
          <w:bCs/>
        </w:rPr>
      </w:pPr>
      <w:r>
        <w:rPr>
          <w:rFonts w:ascii="Arial" w:hAnsi="Arial" w:hint="cs"/>
          <w:b/>
          <w:bCs/>
          <w:rtl/>
        </w:rPr>
        <w:t>קנס בסך 3,000 ₪ או 30 ימי מאסר תמורתו.</w:t>
      </w:r>
      <w:r>
        <w:rPr>
          <w:rFonts w:ascii="Arial" w:hAnsi="Arial" w:hint="cs"/>
          <w:rtl/>
        </w:rPr>
        <w:t xml:space="preserve"> הקנס ישולם בעשרה תשלומים שווים ורצופים</w:t>
      </w:r>
      <w:r w:rsidRPr="002F02C6">
        <w:rPr>
          <w:rFonts w:ascii="Arial" w:hAnsi="Arial" w:hint="cs"/>
          <w:rtl/>
        </w:rPr>
        <w:t>.</w:t>
      </w:r>
      <w:r>
        <w:rPr>
          <w:rFonts w:ascii="Arial" w:hAnsi="Arial" w:hint="cs"/>
          <w:b/>
          <w:bCs/>
          <w:rtl/>
        </w:rPr>
        <w:t xml:space="preserve"> </w:t>
      </w:r>
      <w:r w:rsidRPr="006E399F">
        <w:rPr>
          <w:rFonts w:ascii="Arial" w:hAnsi="Arial" w:hint="cs"/>
          <w:rtl/>
        </w:rPr>
        <w:t>התשלום הרא</w:t>
      </w:r>
      <w:r>
        <w:rPr>
          <w:rFonts w:ascii="Arial" w:hAnsi="Arial" w:hint="cs"/>
          <w:rtl/>
        </w:rPr>
        <w:t>ש</w:t>
      </w:r>
      <w:r w:rsidRPr="006E399F">
        <w:rPr>
          <w:rFonts w:ascii="Arial" w:hAnsi="Arial" w:hint="cs"/>
          <w:rtl/>
        </w:rPr>
        <w:t>ון ישולם ביום</w:t>
      </w:r>
      <w:r>
        <w:rPr>
          <w:rFonts w:ascii="Arial" w:hAnsi="Arial" w:hint="cs"/>
          <w:b/>
          <w:bCs/>
          <w:rtl/>
        </w:rPr>
        <w:t xml:space="preserve"> </w:t>
      </w:r>
      <w:r>
        <w:rPr>
          <w:rFonts w:ascii="Arial" w:hAnsi="Arial" w:hint="cs"/>
          <w:rtl/>
        </w:rPr>
        <w:t>01.03.2020 ויתר התשלומים ישולמו בכל אחד בחודש בתשעת החודשים העוקבים. לא ישולם תשלום במועדו, תעמוד יתרת הקנס לפירעון מידי ותישא הפרשי הצמדה וריבית מיום התשלום המיועד ועד ליום התשלום המלא בפועל.</w:t>
      </w:r>
    </w:p>
    <w:p w14:paraId="7529DB82" w14:textId="77777777" w:rsidR="00634E56" w:rsidRPr="00F372F7" w:rsidRDefault="00634E56" w:rsidP="00634E56">
      <w:pPr>
        <w:jc w:val="both"/>
        <w:rPr>
          <w:rFonts w:ascii="Arial" w:hAnsi="Arial"/>
          <w:b/>
          <w:bCs/>
        </w:rPr>
      </w:pPr>
    </w:p>
    <w:p w14:paraId="61D6EEC7" w14:textId="77777777" w:rsidR="00634E56" w:rsidRPr="00016DCC" w:rsidRDefault="00634E56" w:rsidP="00634E56">
      <w:pPr>
        <w:spacing w:line="360" w:lineRule="auto"/>
        <w:jc w:val="both"/>
        <w:rPr>
          <w:rFonts w:ascii="Arial" w:hAnsi="Arial"/>
        </w:rPr>
      </w:pPr>
      <w:r w:rsidRPr="00016DCC">
        <w:rPr>
          <w:rFonts w:ascii="Arial" w:hAnsi="Arial"/>
          <w:rtl/>
        </w:rPr>
        <w:t>מזכירות בית המשפט תמציא את העתק גזר דין לשירות המבחן למבוגרים</w:t>
      </w:r>
      <w:r w:rsidRPr="00016DCC">
        <w:rPr>
          <w:rFonts w:ascii="Arial" w:hAnsi="Arial" w:hint="cs"/>
          <w:rtl/>
        </w:rPr>
        <w:t>.</w:t>
      </w:r>
      <w:r w:rsidRPr="00016DCC">
        <w:rPr>
          <w:rFonts w:ascii="Arial" w:hAnsi="Arial"/>
          <w:rtl/>
        </w:rPr>
        <w:t xml:space="preserve"> </w:t>
      </w:r>
    </w:p>
    <w:p w14:paraId="0D933F82" w14:textId="77777777" w:rsidR="00634E56" w:rsidRPr="00F372F7" w:rsidRDefault="00634E56" w:rsidP="00634E56">
      <w:pPr>
        <w:jc w:val="both"/>
        <w:rPr>
          <w:rFonts w:ascii="Arial" w:hAnsi="Arial"/>
          <w:b/>
          <w:bCs/>
          <w:rtl/>
        </w:rPr>
      </w:pPr>
    </w:p>
    <w:p w14:paraId="64F81153" w14:textId="77777777" w:rsidR="00634E56" w:rsidRPr="00F372F7" w:rsidRDefault="004D0B6B" w:rsidP="00634E56">
      <w:pPr>
        <w:spacing w:line="360" w:lineRule="auto"/>
        <w:jc w:val="both"/>
        <w:rPr>
          <w:rFonts w:ascii="Arial" w:hAnsi="Arial"/>
          <w:rtl/>
        </w:rPr>
      </w:pPr>
      <w:r w:rsidRPr="004D0B6B">
        <w:rPr>
          <w:rFonts w:ascii="Arial" w:hAnsi="Arial"/>
          <w:color w:val="FFFFFF"/>
          <w:sz w:val="2"/>
          <w:szCs w:val="2"/>
          <w:rtl/>
        </w:rPr>
        <w:t>5129371</w:t>
      </w:r>
      <w:r w:rsidR="00634E56" w:rsidRPr="00F372F7">
        <w:rPr>
          <w:rFonts w:ascii="Arial" w:hAnsi="Arial"/>
          <w:rtl/>
        </w:rPr>
        <w:t>זכות ערעור לבית המ</w:t>
      </w:r>
      <w:r w:rsidR="00634E56">
        <w:rPr>
          <w:rFonts w:ascii="Arial" w:hAnsi="Arial"/>
          <w:rtl/>
        </w:rPr>
        <w:t>שפט המחוזי בירושלים בתוך 45 י</w:t>
      </w:r>
      <w:r w:rsidR="00634E56">
        <w:rPr>
          <w:rFonts w:ascii="Arial" w:hAnsi="Arial" w:hint="cs"/>
          <w:rtl/>
        </w:rPr>
        <w:t>ום מהיום</w:t>
      </w:r>
      <w:r w:rsidR="00634E56" w:rsidRPr="00F372F7">
        <w:rPr>
          <w:rFonts w:ascii="Arial" w:hAnsi="Arial"/>
          <w:rtl/>
        </w:rPr>
        <w:t>.</w:t>
      </w:r>
    </w:p>
    <w:p w14:paraId="1BBD98B6" w14:textId="77777777" w:rsidR="00634E56" w:rsidRPr="004D0B6B" w:rsidRDefault="004D0B6B" w:rsidP="00634E56">
      <w:pPr>
        <w:jc w:val="both"/>
        <w:rPr>
          <w:rFonts w:ascii="Arial" w:hAnsi="Arial"/>
          <w:b/>
          <w:bCs/>
          <w:color w:val="FFFFFF"/>
          <w:sz w:val="2"/>
          <w:szCs w:val="2"/>
          <w:rtl/>
        </w:rPr>
      </w:pPr>
      <w:r w:rsidRPr="004D0B6B">
        <w:rPr>
          <w:rFonts w:ascii="Arial" w:hAnsi="Arial"/>
          <w:b/>
          <w:bCs/>
          <w:color w:val="FFFFFF"/>
          <w:sz w:val="2"/>
          <w:szCs w:val="2"/>
          <w:rtl/>
        </w:rPr>
        <w:t>54678313</w:t>
      </w:r>
    </w:p>
    <w:p w14:paraId="539845BF" w14:textId="77777777" w:rsidR="00634E56" w:rsidRDefault="004D0B6B" w:rsidP="00634E56">
      <w:pPr>
        <w:rPr>
          <w:rFonts w:cs="FrankRuehl"/>
          <w:sz w:val="28"/>
          <w:szCs w:val="28"/>
          <w:rtl/>
        </w:rPr>
      </w:pPr>
      <w:bookmarkStart w:id="7" w:name="Nitan"/>
      <w:r>
        <w:rPr>
          <w:rFonts w:ascii="Arial" w:hAnsi="Arial"/>
          <w:rtl/>
        </w:rPr>
        <w:t xml:space="preserve">ניתן היום,  י"א טבת תש"פ, 08 ינואר 2020, במעמד הצדדים. </w:t>
      </w:r>
      <w:bookmarkEnd w:id="7"/>
    </w:p>
    <w:p w14:paraId="13B8A31B" w14:textId="77777777" w:rsidR="00634E56" w:rsidRDefault="00634E56" w:rsidP="004D0B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D55F9CF" w14:textId="77777777" w:rsidR="00634E56" w:rsidRDefault="00634E56" w:rsidP="00634E56">
      <w:pPr>
        <w:jc w:val="center"/>
        <w:rPr>
          <w:rFonts w:ascii="Arial" w:hAnsi="Arial" w:cs="FrankRuehl"/>
          <w:sz w:val="28"/>
          <w:szCs w:val="28"/>
          <w:rtl/>
        </w:rPr>
      </w:pPr>
    </w:p>
    <w:p w14:paraId="565D3A1D" w14:textId="77777777" w:rsidR="00634E56" w:rsidRDefault="00634E56" w:rsidP="00634E56">
      <w:pPr>
        <w:pStyle w:val="a3"/>
        <w:jc w:val="center"/>
        <w:rPr>
          <w:rtl/>
        </w:rPr>
      </w:pPr>
    </w:p>
    <w:p w14:paraId="518B420D" w14:textId="77777777" w:rsidR="003E3B61" w:rsidRPr="004D0B6B" w:rsidRDefault="003E3B61" w:rsidP="004D0B6B">
      <w:pPr>
        <w:keepNext/>
        <w:rPr>
          <w:rFonts w:ascii="David" w:hAnsi="David"/>
          <w:color w:val="000000"/>
          <w:sz w:val="22"/>
          <w:szCs w:val="22"/>
          <w:rtl/>
        </w:rPr>
      </w:pPr>
    </w:p>
    <w:p w14:paraId="6671CC8E" w14:textId="77777777" w:rsidR="004D0B6B" w:rsidRPr="004D0B6B" w:rsidRDefault="004D0B6B" w:rsidP="004D0B6B">
      <w:pPr>
        <w:keepNext/>
        <w:rPr>
          <w:rFonts w:ascii="David" w:hAnsi="David"/>
          <w:color w:val="000000"/>
          <w:sz w:val="22"/>
          <w:szCs w:val="22"/>
          <w:rtl/>
        </w:rPr>
      </w:pPr>
      <w:r w:rsidRPr="004D0B6B">
        <w:rPr>
          <w:rFonts w:ascii="David" w:hAnsi="David"/>
          <w:color w:val="000000"/>
          <w:sz w:val="22"/>
          <w:szCs w:val="22"/>
          <w:rtl/>
        </w:rPr>
        <w:t>איתן כהן 54678313</w:t>
      </w:r>
    </w:p>
    <w:p w14:paraId="36C149A4" w14:textId="77777777" w:rsidR="004D0B6B" w:rsidRDefault="004D0B6B" w:rsidP="004D0B6B">
      <w:r w:rsidRPr="004D0B6B">
        <w:rPr>
          <w:color w:val="000000"/>
          <w:rtl/>
        </w:rPr>
        <w:t>נוסח מסמך זה כפוף לשינויי ניסוח ועריכה</w:t>
      </w:r>
    </w:p>
    <w:p w14:paraId="3032DB31" w14:textId="77777777" w:rsidR="004D0B6B" w:rsidRDefault="004D0B6B" w:rsidP="004D0B6B">
      <w:pPr>
        <w:rPr>
          <w:rtl/>
        </w:rPr>
      </w:pPr>
    </w:p>
    <w:p w14:paraId="2A0FACA3" w14:textId="77777777" w:rsidR="004D0B6B" w:rsidRDefault="004D0B6B" w:rsidP="004D0B6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365EA7C8" w14:textId="77777777" w:rsidR="004D0B6B" w:rsidRPr="004D0B6B" w:rsidRDefault="004D0B6B" w:rsidP="004D0B6B">
      <w:pPr>
        <w:jc w:val="center"/>
        <w:rPr>
          <w:color w:val="0000FF"/>
          <w:u w:val="single"/>
        </w:rPr>
      </w:pPr>
    </w:p>
    <w:sectPr w:rsidR="004D0B6B" w:rsidRPr="004D0B6B" w:rsidSect="004D0B6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43C8A" w14:textId="77777777" w:rsidR="00237B11" w:rsidRDefault="00237B11" w:rsidP="00D224B8">
      <w:r>
        <w:separator/>
      </w:r>
    </w:p>
  </w:endnote>
  <w:endnote w:type="continuationSeparator" w:id="0">
    <w:p w14:paraId="4E8E358C" w14:textId="77777777" w:rsidR="00237B11" w:rsidRDefault="00237B11" w:rsidP="00D2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35473" w14:textId="77777777" w:rsidR="004D0B6B" w:rsidRDefault="004D0B6B" w:rsidP="004D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6B89F5" w14:textId="77777777" w:rsidR="00E53DE7" w:rsidRPr="004D0B6B" w:rsidRDefault="004D0B6B" w:rsidP="004D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5CC8" w14:textId="77777777" w:rsidR="004D0B6B" w:rsidRDefault="004D0B6B" w:rsidP="004D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0B0E">
      <w:rPr>
        <w:rFonts w:ascii="FrankRuehl" w:hAnsi="FrankRuehl" w:cs="FrankRuehl"/>
        <w:noProof/>
        <w:rtl/>
      </w:rPr>
      <w:t>1</w:t>
    </w:r>
    <w:r>
      <w:rPr>
        <w:rFonts w:ascii="FrankRuehl" w:hAnsi="FrankRuehl" w:cs="FrankRuehl"/>
        <w:rtl/>
      </w:rPr>
      <w:fldChar w:fldCharType="end"/>
    </w:r>
  </w:p>
  <w:p w14:paraId="6A37314E" w14:textId="77777777" w:rsidR="00E53DE7" w:rsidRPr="004D0B6B" w:rsidRDefault="004D0B6B" w:rsidP="004D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44A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078A9" w14:textId="77777777" w:rsidR="00237B11" w:rsidRDefault="00237B11" w:rsidP="00D224B8">
      <w:r>
        <w:separator/>
      </w:r>
    </w:p>
  </w:footnote>
  <w:footnote w:type="continuationSeparator" w:id="0">
    <w:p w14:paraId="7039F4CF" w14:textId="77777777" w:rsidR="00237B11" w:rsidRDefault="00237B11" w:rsidP="00D2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9702D" w14:textId="77777777" w:rsidR="004D0B6B" w:rsidRPr="004D0B6B" w:rsidRDefault="004D0B6B" w:rsidP="004D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59369-03-18</w:t>
    </w:r>
    <w:r>
      <w:rPr>
        <w:rFonts w:ascii="David" w:hAnsi="David"/>
        <w:color w:val="000000"/>
        <w:sz w:val="22"/>
        <w:szCs w:val="22"/>
        <w:rtl/>
      </w:rPr>
      <w:tab/>
      <w:t xml:space="preserve"> מדינת ישראל נ' רבחי אבו חומוס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21FAB" w14:textId="77777777" w:rsidR="004D0B6B" w:rsidRPr="004D0B6B" w:rsidRDefault="004D0B6B" w:rsidP="004D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59369-03-18</w:t>
    </w:r>
    <w:r>
      <w:rPr>
        <w:rFonts w:ascii="David" w:hAnsi="David"/>
        <w:color w:val="000000"/>
        <w:sz w:val="22"/>
        <w:szCs w:val="22"/>
        <w:rtl/>
      </w:rPr>
      <w:tab/>
      <w:t xml:space="preserve"> מדינת ישראל נ' רבחי אבו חומוס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8618BBEA"/>
    <w:lvl w:ilvl="0" w:tplc="AB208E20">
      <w:start w:val="1"/>
      <w:numFmt w:val="decimal"/>
      <w:lvlText w:val="%1."/>
      <w:lvlJc w:val="left"/>
      <w:pPr>
        <w:ind w:left="720" w:hanging="360"/>
      </w:pPr>
      <w:rPr>
        <w:rFonts w:cs="Times New Roman"/>
        <w:b w:val="0"/>
        <w:bCs w:val="0"/>
      </w:rPr>
    </w:lvl>
    <w:lvl w:ilvl="1" w:tplc="CBC6F3D8">
      <w:start w:val="1"/>
      <w:numFmt w:val="lowerLetter"/>
      <w:lvlText w:val="%2."/>
      <w:lvlJc w:val="left"/>
      <w:pPr>
        <w:ind w:left="1440" w:hanging="360"/>
      </w:pPr>
      <w:rPr>
        <w:rFonts w:cs="Times New Roman"/>
      </w:rPr>
    </w:lvl>
    <w:lvl w:ilvl="2" w:tplc="52062B28">
      <w:start w:val="1"/>
      <w:numFmt w:val="lowerRoman"/>
      <w:lvlText w:val="%3."/>
      <w:lvlJc w:val="right"/>
      <w:pPr>
        <w:ind w:left="2160" w:hanging="180"/>
      </w:pPr>
      <w:rPr>
        <w:rFonts w:cs="Times New Roman"/>
      </w:rPr>
    </w:lvl>
    <w:lvl w:ilvl="3" w:tplc="055A8CFA">
      <w:start w:val="1"/>
      <w:numFmt w:val="decimal"/>
      <w:lvlText w:val="%4."/>
      <w:lvlJc w:val="left"/>
      <w:pPr>
        <w:ind w:left="2880" w:hanging="360"/>
      </w:pPr>
      <w:rPr>
        <w:rFonts w:cs="Times New Roman"/>
      </w:rPr>
    </w:lvl>
    <w:lvl w:ilvl="4" w:tplc="C6121EF6">
      <w:start w:val="1"/>
      <w:numFmt w:val="lowerLetter"/>
      <w:lvlText w:val="%5."/>
      <w:lvlJc w:val="left"/>
      <w:pPr>
        <w:ind w:left="3600" w:hanging="360"/>
      </w:pPr>
      <w:rPr>
        <w:rFonts w:cs="Times New Roman"/>
      </w:rPr>
    </w:lvl>
    <w:lvl w:ilvl="5" w:tplc="4CBE6420">
      <w:start w:val="1"/>
      <w:numFmt w:val="lowerRoman"/>
      <w:lvlText w:val="%6."/>
      <w:lvlJc w:val="right"/>
      <w:pPr>
        <w:ind w:left="4320" w:hanging="180"/>
      </w:pPr>
      <w:rPr>
        <w:rFonts w:cs="Times New Roman"/>
      </w:rPr>
    </w:lvl>
    <w:lvl w:ilvl="6" w:tplc="9C06FF9E">
      <w:start w:val="1"/>
      <w:numFmt w:val="decimal"/>
      <w:lvlText w:val="%7."/>
      <w:lvlJc w:val="left"/>
      <w:pPr>
        <w:ind w:left="5040" w:hanging="360"/>
      </w:pPr>
      <w:rPr>
        <w:rFonts w:cs="Times New Roman"/>
      </w:rPr>
    </w:lvl>
    <w:lvl w:ilvl="7" w:tplc="155A9120">
      <w:start w:val="1"/>
      <w:numFmt w:val="lowerLetter"/>
      <w:lvlText w:val="%8."/>
      <w:lvlJc w:val="left"/>
      <w:pPr>
        <w:ind w:left="5760" w:hanging="360"/>
      </w:pPr>
      <w:rPr>
        <w:rFonts w:cs="Times New Roman"/>
      </w:rPr>
    </w:lvl>
    <w:lvl w:ilvl="8" w:tplc="07A6DEB6">
      <w:start w:val="1"/>
      <w:numFmt w:val="lowerRoman"/>
      <w:lvlText w:val="%9."/>
      <w:lvlJc w:val="right"/>
      <w:pPr>
        <w:ind w:left="6480" w:hanging="180"/>
      </w:pPr>
      <w:rPr>
        <w:rFonts w:cs="Times New Roman"/>
      </w:rPr>
    </w:lvl>
  </w:abstractNum>
  <w:abstractNum w:abstractNumId="1" w15:restartNumberingAfterBreak="0">
    <w:nsid w:val="449D6F2E"/>
    <w:multiLevelType w:val="hybridMultilevel"/>
    <w:tmpl w:val="344CD2A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830DFF"/>
    <w:multiLevelType w:val="hybridMultilevel"/>
    <w:tmpl w:val="576EA15E"/>
    <w:lvl w:ilvl="0" w:tplc="2AAC618E">
      <w:start w:val="1"/>
      <w:numFmt w:val="hebrew1"/>
      <w:lvlText w:val="%1."/>
      <w:lvlJc w:val="center"/>
      <w:pPr>
        <w:ind w:left="1440" w:hanging="360"/>
      </w:pPr>
      <w:rPr>
        <w:rFonts w:ascii="David" w:hAnsi="David" w:cs="David" w:hint="default"/>
        <w:b w:val="0"/>
        <w:bCs w:val="0"/>
      </w:rPr>
    </w:lvl>
    <w:lvl w:ilvl="1" w:tplc="46FEFAC0">
      <w:start w:val="1"/>
      <w:numFmt w:val="lowerLetter"/>
      <w:lvlText w:val="%2."/>
      <w:lvlJc w:val="left"/>
      <w:pPr>
        <w:ind w:left="2160" w:hanging="360"/>
      </w:pPr>
      <w:rPr>
        <w:rFonts w:cs="Times New Roman"/>
      </w:rPr>
    </w:lvl>
    <w:lvl w:ilvl="2" w:tplc="3EAA6A5A">
      <w:start w:val="1"/>
      <w:numFmt w:val="lowerRoman"/>
      <w:lvlText w:val="%3."/>
      <w:lvlJc w:val="right"/>
      <w:pPr>
        <w:ind w:left="2880" w:hanging="180"/>
      </w:pPr>
      <w:rPr>
        <w:rFonts w:cs="Times New Roman"/>
      </w:rPr>
    </w:lvl>
    <w:lvl w:ilvl="3" w:tplc="5FC0B352">
      <w:start w:val="1"/>
      <w:numFmt w:val="decimal"/>
      <w:lvlText w:val="%4."/>
      <w:lvlJc w:val="left"/>
      <w:pPr>
        <w:ind w:left="3600" w:hanging="360"/>
      </w:pPr>
      <w:rPr>
        <w:rFonts w:cs="Times New Roman"/>
      </w:rPr>
    </w:lvl>
    <w:lvl w:ilvl="4" w:tplc="FCA8831E">
      <w:start w:val="1"/>
      <w:numFmt w:val="lowerLetter"/>
      <w:lvlText w:val="%5."/>
      <w:lvlJc w:val="left"/>
      <w:pPr>
        <w:ind w:left="4320" w:hanging="360"/>
      </w:pPr>
      <w:rPr>
        <w:rFonts w:cs="Times New Roman"/>
      </w:rPr>
    </w:lvl>
    <w:lvl w:ilvl="5" w:tplc="99200F8A">
      <w:start w:val="1"/>
      <w:numFmt w:val="lowerRoman"/>
      <w:lvlText w:val="%6."/>
      <w:lvlJc w:val="right"/>
      <w:pPr>
        <w:ind w:left="5040" w:hanging="180"/>
      </w:pPr>
      <w:rPr>
        <w:rFonts w:cs="Times New Roman"/>
      </w:rPr>
    </w:lvl>
    <w:lvl w:ilvl="6" w:tplc="99EC716A">
      <w:start w:val="1"/>
      <w:numFmt w:val="decimal"/>
      <w:lvlText w:val="%7."/>
      <w:lvlJc w:val="left"/>
      <w:pPr>
        <w:ind w:left="5760" w:hanging="360"/>
      </w:pPr>
      <w:rPr>
        <w:rFonts w:cs="Times New Roman"/>
      </w:rPr>
    </w:lvl>
    <w:lvl w:ilvl="7" w:tplc="56427688">
      <w:start w:val="1"/>
      <w:numFmt w:val="lowerLetter"/>
      <w:lvlText w:val="%8."/>
      <w:lvlJc w:val="left"/>
      <w:pPr>
        <w:ind w:left="6480" w:hanging="360"/>
      </w:pPr>
      <w:rPr>
        <w:rFonts w:cs="Times New Roman"/>
      </w:rPr>
    </w:lvl>
    <w:lvl w:ilvl="8" w:tplc="A7C0DAD8">
      <w:start w:val="1"/>
      <w:numFmt w:val="lowerRoman"/>
      <w:lvlText w:val="%9."/>
      <w:lvlJc w:val="right"/>
      <w:pPr>
        <w:ind w:left="7200" w:hanging="180"/>
      </w:pPr>
      <w:rPr>
        <w:rFonts w:cs="Times New Roman"/>
      </w:rPr>
    </w:lvl>
  </w:abstractNum>
  <w:abstractNum w:abstractNumId="3" w15:restartNumberingAfterBreak="0">
    <w:nsid w:val="69301693"/>
    <w:multiLevelType w:val="hybridMultilevel"/>
    <w:tmpl w:val="E4145FCC"/>
    <w:lvl w:ilvl="0" w:tplc="95A6844E">
      <w:start w:val="1"/>
      <w:numFmt w:val="hebrew1"/>
      <w:lvlText w:val="%1."/>
      <w:lvlJc w:val="center"/>
      <w:pPr>
        <w:ind w:left="1440" w:hanging="360"/>
      </w:pPr>
      <w:rPr>
        <w:rFonts w:ascii="David" w:hAnsi="David" w:cs="David" w:hint="default"/>
        <w:b w:val="0"/>
        <w:bCs w:val="0"/>
      </w:rPr>
    </w:lvl>
    <w:lvl w:ilvl="1" w:tplc="557A7BAA">
      <w:start w:val="1"/>
      <w:numFmt w:val="lowerLetter"/>
      <w:lvlText w:val="%2."/>
      <w:lvlJc w:val="left"/>
      <w:pPr>
        <w:ind w:left="2160" w:hanging="360"/>
      </w:pPr>
      <w:rPr>
        <w:rFonts w:cs="Times New Roman"/>
      </w:rPr>
    </w:lvl>
    <w:lvl w:ilvl="2" w:tplc="BE9E351C">
      <w:start w:val="1"/>
      <w:numFmt w:val="lowerRoman"/>
      <w:lvlText w:val="%3."/>
      <w:lvlJc w:val="right"/>
      <w:pPr>
        <w:ind w:left="2880" w:hanging="180"/>
      </w:pPr>
      <w:rPr>
        <w:rFonts w:cs="Times New Roman"/>
      </w:rPr>
    </w:lvl>
    <w:lvl w:ilvl="3" w:tplc="F6EEAC82">
      <w:start w:val="1"/>
      <w:numFmt w:val="decimal"/>
      <w:lvlText w:val="%4."/>
      <w:lvlJc w:val="left"/>
      <w:pPr>
        <w:ind w:left="3600" w:hanging="360"/>
      </w:pPr>
      <w:rPr>
        <w:rFonts w:cs="Times New Roman"/>
      </w:rPr>
    </w:lvl>
    <w:lvl w:ilvl="4" w:tplc="8354C33A">
      <w:start w:val="1"/>
      <w:numFmt w:val="lowerLetter"/>
      <w:lvlText w:val="%5."/>
      <w:lvlJc w:val="left"/>
      <w:pPr>
        <w:ind w:left="4320" w:hanging="360"/>
      </w:pPr>
      <w:rPr>
        <w:rFonts w:cs="Times New Roman"/>
      </w:rPr>
    </w:lvl>
    <w:lvl w:ilvl="5" w:tplc="410497CC">
      <w:start w:val="1"/>
      <w:numFmt w:val="lowerRoman"/>
      <w:lvlText w:val="%6."/>
      <w:lvlJc w:val="right"/>
      <w:pPr>
        <w:ind w:left="5040" w:hanging="180"/>
      </w:pPr>
      <w:rPr>
        <w:rFonts w:cs="Times New Roman"/>
      </w:rPr>
    </w:lvl>
    <w:lvl w:ilvl="6" w:tplc="10304338">
      <w:start w:val="1"/>
      <w:numFmt w:val="decimal"/>
      <w:lvlText w:val="%7."/>
      <w:lvlJc w:val="left"/>
      <w:pPr>
        <w:ind w:left="5760" w:hanging="360"/>
      </w:pPr>
      <w:rPr>
        <w:rFonts w:cs="Times New Roman"/>
      </w:rPr>
    </w:lvl>
    <w:lvl w:ilvl="7" w:tplc="39AA9E68">
      <w:start w:val="1"/>
      <w:numFmt w:val="lowerLetter"/>
      <w:lvlText w:val="%8."/>
      <w:lvlJc w:val="left"/>
      <w:pPr>
        <w:ind w:left="6480" w:hanging="360"/>
      </w:pPr>
      <w:rPr>
        <w:rFonts w:cs="Times New Roman"/>
      </w:rPr>
    </w:lvl>
    <w:lvl w:ilvl="8" w:tplc="A27620B0">
      <w:start w:val="1"/>
      <w:numFmt w:val="lowerRoman"/>
      <w:lvlText w:val="%9."/>
      <w:lvlJc w:val="right"/>
      <w:pPr>
        <w:ind w:left="7200" w:hanging="180"/>
      </w:pPr>
      <w:rPr>
        <w:rFonts w:cs="Times New Roman"/>
      </w:rPr>
    </w:lvl>
  </w:abstractNum>
  <w:abstractNum w:abstractNumId="4" w15:restartNumberingAfterBreak="0">
    <w:nsid w:val="6E3114BB"/>
    <w:multiLevelType w:val="hybridMultilevel"/>
    <w:tmpl w:val="1B9CB64E"/>
    <w:lvl w:ilvl="0" w:tplc="7B3649EA">
      <w:start w:val="1"/>
      <w:numFmt w:val="hebrew1"/>
      <w:lvlText w:val="%1."/>
      <w:lvlJc w:val="center"/>
      <w:pPr>
        <w:ind w:left="1440" w:hanging="360"/>
      </w:pPr>
      <w:rPr>
        <w:rFonts w:ascii="David" w:hAnsi="David" w:cs="David" w:hint="default"/>
        <w:b w:val="0"/>
        <w:bCs w:val="0"/>
      </w:rPr>
    </w:lvl>
    <w:lvl w:ilvl="1" w:tplc="D34238D2">
      <w:start w:val="1"/>
      <w:numFmt w:val="lowerLetter"/>
      <w:lvlText w:val="%2."/>
      <w:lvlJc w:val="left"/>
      <w:pPr>
        <w:ind w:left="2160" w:hanging="360"/>
      </w:pPr>
      <w:rPr>
        <w:rFonts w:cs="Times New Roman"/>
      </w:rPr>
    </w:lvl>
    <w:lvl w:ilvl="2" w:tplc="3752C260">
      <w:start w:val="1"/>
      <w:numFmt w:val="lowerRoman"/>
      <w:lvlText w:val="%3."/>
      <w:lvlJc w:val="right"/>
      <w:pPr>
        <w:ind w:left="2880" w:hanging="180"/>
      </w:pPr>
      <w:rPr>
        <w:rFonts w:cs="Times New Roman"/>
      </w:rPr>
    </w:lvl>
    <w:lvl w:ilvl="3" w:tplc="83D4C91E">
      <w:start w:val="1"/>
      <w:numFmt w:val="decimal"/>
      <w:lvlText w:val="%4."/>
      <w:lvlJc w:val="left"/>
      <w:pPr>
        <w:ind w:left="3600" w:hanging="360"/>
      </w:pPr>
      <w:rPr>
        <w:rFonts w:cs="Times New Roman"/>
      </w:rPr>
    </w:lvl>
    <w:lvl w:ilvl="4" w:tplc="2CF03E04">
      <w:start w:val="1"/>
      <w:numFmt w:val="lowerLetter"/>
      <w:lvlText w:val="%5."/>
      <w:lvlJc w:val="left"/>
      <w:pPr>
        <w:ind w:left="4320" w:hanging="360"/>
      </w:pPr>
      <w:rPr>
        <w:rFonts w:cs="Times New Roman"/>
      </w:rPr>
    </w:lvl>
    <w:lvl w:ilvl="5" w:tplc="AFF4CDDC">
      <w:start w:val="1"/>
      <w:numFmt w:val="lowerRoman"/>
      <w:lvlText w:val="%6."/>
      <w:lvlJc w:val="right"/>
      <w:pPr>
        <w:ind w:left="5040" w:hanging="180"/>
      </w:pPr>
      <w:rPr>
        <w:rFonts w:cs="Times New Roman"/>
      </w:rPr>
    </w:lvl>
    <w:lvl w:ilvl="6" w:tplc="FE0010C4">
      <w:start w:val="1"/>
      <w:numFmt w:val="decimal"/>
      <w:lvlText w:val="%7."/>
      <w:lvlJc w:val="left"/>
      <w:pPr>
        <w:ind w:left="5760" w:hanging="360"/>
      </w:pPr>
      <w:rPr>
        <w:rFonts w:cs="Times New Roman"/>
      </w:rPr>
    </w:lvl>
    <w:lvl w:ilvl="7" w:tplc="6FDE139C">
      <w:start w:val="1"/>
      <w:numFmt w:val="lowerLetter"/>
      <w:lvlText w:val="%8."/>
      <w:lvlJc w:val="left"/>
      <w:pPr>
        <w:ind w:left="6480" w:hanging="360"/>
      </w:pPr>
      <w:rPr>
        <w:rFonts w:cs="Times New Roman"/>
      </w:rPr>
    </w:lvl>
    <w:lvl w:ilvl="8" w:tplc="A3CA280C">
      <w:start w:val="1"/>
      <w:numFmt w:val="lowerRoman"/>
      <w:lvlText w:val="%9."/>
      <w:lvlJc w:val="right"/>
      <w:pPr>
        <w:ind w:left="7200" w:hanging="180"/>
      </w:pPr>
      <w:rPr>
        <w:rFonts w:cs="Times New Roman"/>
      </w:rPr>
    </w:lvl>
  </w:abstractNum>
  <w:num w:numId="1" w16cid:durableId="1897233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630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5066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60513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903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4E56"/>
    <w:rsid w:val="00237B11"/>
    <w:rsid w:val="003E3B61"/>
    <w:rsid w:val="004D0B6B"/>
    <w:rsid w:val="004F0EE2"/>
    <w:rsid w:val="00634E56"/>
    <w:rsid w:val="00730B0E"/>
    <w:rsid w:val="007820A0"/>
    <w:rsid w:val="00CB63BD"/>
    <w:rsid w:val="00D224B8"/>
    <w:rsid w:val="00E53DE7"/>
    <w:rsid w:val="00E87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6A150C"/>
  <w15:chartTrackingRefBased/>
  <w15:docId w15:val="{2F7E14A2-DAC0-4A17-90DC-BF912E05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4E5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4E56"/>
    <w:pPr>
      <w:tabs>
        <w:tab w:val="center" w:pos="4153"/>
        <w:tab w:val="right" w:pos="8306"/>
      </w:tabs>
    </w:pPr>
  </w:style>
  <w:style w:type="character" w:customStyle="1" w:styleId="a4">
    <w:name w:val="כותרת עליונה תו"/>
    <w:link w:val="a3"/>
    <w:rsid w:val="00634E56"/>
    <w:rPr>
      <w:rFonts w:ascii="Times New Roman" w:eastAsia="Times New Roman" w:hAnsi="Times New Roman" w:cs="David"/>
      <w:sz w:val="24"/>
      <w:szCs w:val="24"/>
    </w:rPr>
  </w:style>
  <w:style w:type="paragraph" w:styleId="a5">
    <w:name w:val="footer"/>
    <w:basedOn w:val="a"/>
    <w:link w:val="a6"/>
    <w:rsid w:val="00634E56"/>
    <w:pPr>
      <w:tabs>
        <w:tab w:val="center" w:pos="4153"/>
        <w:tab w:val="right" w:pos="8306"/>
      </w:tabs>
    </w:pPr>
  </w:style>
  <w:style w:type="character" w:customStyle="1" w:styleId="a6">
    <w:name w:val="כותרת תחתונה תו"/>
    <w:link w:val="a5"/>
    <w:rsid w:val="00634E56"/>
    <w:rPr>
      <w:rFonts w:ascii="Times New Roman" w:eastAsia="Times New Roman" w:hAnsi="Times New Roman" w:cs="David"/>
      <w:sz w:val="24"/>
      <w:szCs w:val="24"/>
    </w:rPr>
  </w:style>
  <w:style w:type="table" w:styleId="a7">
    <w:name w:val="Table Grid"/>
    <w:basedOn w:val="a1"/>
    <w:rsid w:val="00634E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4E56"/>
  </w:style>
  <w:style w:type="paragraph" w:styleId="a9">
    <w:name w:val="List Paragraph"/>
    <w:basedOn w:val="a"/>
    <w:qFormat/>
    <w:rsid w:val="00634E56"/>
    <w:pPr>
      <w:ind w:left="720"/>
      <w:contextualSpacing/>
    </w:pPr>
  </w:style>
  <w:style w:type="character" w:styleId="Hyperlink">
    <w:name w:val="Hyperlink"/>
    <w:rsid w:val="00634E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5594385" TargetMode="External"/><Relationship Id="rId26" Type="http://schemas.openxmlformats.org/officeDocument/2006/relationships/hyperlink" Target="http://www.nevo.co.il/case/26103748" TargetMode="External"/><Relationship Id="rId39" Type="http://schemas.openxmlformats.org/officeDocument/2006/relationships/fontTable" Target="fontTable.xml"/><Relationship Id="rId21" Type="http://schemas.openxmlformats.org/officeDocument/2006/relationships/hyperlink" Target="http://www.nevo.co.il/case/1795422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2006503"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095632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0817891"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824952" TargetMode="External"/><Relationship Id="rId32" Type="http://schemas.openxmlformats.org/officeDocument/2006/relationships/hyperlink" Target="http://www.nevo.co.il/case/2148343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17954217" TargetMode="Externa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5637368"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25338499" TargetMode="External"/><Relationship Id="rId30" Type="http://schemas.openxmlformats.org/officeDocument/2006/relationships/hyperlink" Target="http://www.nevo.co.il/case/26220458"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3106</Words>
  <Characters>15533</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18602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4128882</vt:i4>
      </vt:variant>
      <vt:variant>
        <vt:i4>78</vt:i4>
      </vt:variant>
      <vt:variant>
        <vt:i4>0</vt:i4>
      </vt:variant>
      <vt:variant>
        <vt:i4>5</vt:i4>
      </vt:variant>
      <vt:variant>
        <vt:lpwstr>http://www.nevo.co.il/case/20956329</vt:lpwstr>
      </vt:variant>
      <vt:variant>
        <vt:lpwstr/>
      </vt:variant>
      <vt:variant>
        <vt:i4>3539065</vt:i4>
      </vt:variant>
      <vt:variant>
        <vt:i4>75</vt:i4>
      </vt:variant>
      <vt:variant>
        <vt:i4>0</vt:i4>
      </vt:variant>
      <vt:variant>
        <vt:i4>5</vt:i4>
      </vt:variant>
      <vt:variant>
        <vt:lpwstr>http://www.nevo.co.il/case/21483439</vt:lpwstr>
      </vt:variant>
      <vt:variant>
        <vt:lpwstr/>
      </vt:variant>
      <vt:variant>
        <vt:i4>3997812</vt:i4>
      </vt:variant>
      <vt:variant>
        <vt:i4>72</vt:i4>
      </vt:variant>
      <vt:variant>
        <vt:i4>0</vt:i4>
      </vt:variant>
      <vt:variant>
        <vt:i4>5</vt:i4>
      </vt:variant>
      <vt:variant>
        <vt:lpwstr>http://www.nevo.co.il/case/17954217</vt:lpwstr>
      </vt:variant>
      <vt:variant>
        <vt:lpwstr/>
      </vt:variant>
      <vt:variant>
        <vt:i4>3473524</vt:i4>
      </vt:variant>
      <vt:variant>
        <vt:i4>69</vt:i4>
      </vt:variant>
      <vt:variant>
        <vt:i4>0</vt:i4>
      </vt:variant>
      <vt:variant>
        <vt:i4>5</vt:i4>
      </vt:variant>
      <vt:variant>
        <vt:lpwstr>http://www.nevo.co.il/case/26220458</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3145846</vt:i4>
      </vt:variant>
      <vt:variant>
        <vt:i4>60</vt:i4>
      </vt:variant>
      <vt:variant>
        <vt:i4>0</vt:i4>
      </vt:variant>
      <vt:variant>
        <vt:i4>5</vt:i4>
      </vt:variant>
      <vt:variant>
        <vt:lpwstr>http://www.nevo.co.il/case/25338499</vt:lpwstr>
      </vt:variant>
      <vt:variant>
        <vt:lpwstr/>
      </vt:variant>
      <vt:variant>
        <vt:i4>3407989</vt:i4>
      </vt:variant>
      <vt:variant>
        <vt:i4>57</vt:i4>
      </vt:variant>
      <vt:variant>
        <vt:i4>0</vt:i4>
      </vt:variant>
      <vt:variant>
        <vt:i4>5</vt:i4>
      </vt:variant>
      <vt:variant>
        <vt:lpwstr>http://www.nevo.co.il/case/26103748</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4128893</vt:i4>
      </vt:variant>
      <vt:variant>
        <vt:i4>51</vt:i4>
      </vt:variant>
      <vt:variant>
        <vt:i4>0</vt:i4>
      </vt:variant>
      <vt:variant>
        <vt:i4>5</vt:i4>
      </vt:variant>
      <vt:variant>
        <vt:lpwstr>http://www.nevo.co.il/case/6824952</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4063348</vt:i4>
      </vt:variant>
      <vt:variant>
        <vt:i4>42</vt:i4>
      </vt:variant>
      <vt:variant>
        <vt:i4>0</vt:i4>
      </vt:variant>
      <vt:variant>
        <vt:i4>5</vt:i4>
      </vt:variant>
      <vt:variant>
        <vt:lpwstr>http://www.nevo.co.il/case/17954222</vt:lpwstr>
      </vt:variant>
      <vt:variant>
        <vt:lpwstr/>
      </vt:variant>
      <vt:variant>
        <vt:i4>3407997</vt:i4>
      </vt:variant>
      <vt:variant>
        <vt:i4>39</vt:i4>
      </vt:variant>
      <vt:variant>
        <vt:i4>0</vt:i4>
      </vt:variant>
      <vt:variant>
        <vt:i4>5</vt:i4>
      </vt:variant>
      <vt:variant>
        <vt:lpwstr>http://www.nevo.co.il/case/20817891</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3801213</vt:i4>
      </vt:variant>
      <vt:variant>
        <vt:i4>33</vt:i4>
      </vt:variant>
      <vt:variant>
        <vt:i4>0</vt:i4>
      </vt:variant>
      <vt:variant>
        <vt:i4>5</vt:i4>
      </vt:variant>
      <vt:variant>
        <vt:lpwstr>http://www.nevo.co.il/case/5594385</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3473521</vt:i4>
      </vt:variant>
      <vt:variant>
        <vt:i4>21</vt:i4>
      </vt:variant>
      <vt:variant>
        <vt:i4>0</vt:i4>
      </vt:variant>
      <vt:variant>
        <vt:i4>5</vt:i4>
      </vt:variant>
      <vt:variant>
        <vt:lpwstr>http://www.nevo.co.il/case/25637368</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3407987</vt:i4>
      </vt:variant>
      <vt:variant>
        <vt:i4>15</vt:i4>
      </vt:variant>
      <vt:variant>
        <vt:i4>0</vt:i4>
      </vt:variant>
      <vt:variant>
        <vt:i4>5</vt:i4>
      </vt:variant>
      <vt:variant>
        <vt:lpwstr>http://www.nevo.co.il/case/22006503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59369</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רבחי אבו חומוס</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20200108</vt:lpwstr>
  </property>
  <property fmtid="{D5CDD505-2E9C-101B-9397-08002B2CF9AE}" pid="13" name="TYPE_N_DATE">
    <vt:lpwstr>38020200108</vt:lpwstr>
  </property>
  <property fmtid="{D5CDD505-2E9C-101B-9397-08002B2CF9AE}" pid="14" name="CASESLISTTMP1">
    <vt:lpwstr>22006503;25824863;25637368;21771409;7791493;5821327;5594385;6473037:2;20817891;17954222;6000182;13093744;6824952;26103748;25338499;26220458;17954217;21483439;20956329</vt:lpwstr>
  </property>
  <property fmtid="{D5CDD505-2E9C-101B-9397-08002B2CF9AE}" pid="15" name="CASENOTES1">
    <vt:lpwstr>ProcID=213&amp;PartA=196&amp;PartC=22</vt:lpwstr>
  </property>
  <property fmtid="{D5CDD505-2E9C-101B-9397-08002B2CF9AE}" pid="16" name="WORDNUMPAGES">
    <vt:lpwstr>11</vt:lpwstr>
  </property>
  <property fmtid="{D5CDD505-2E9C-101B-9397-08002B2CF9AE}" pid="17" name="TYPE_ABS_DATE">
    <vt:lpwstr>380020200108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70301/144.a;40jc</vt:lpwstr>
  </property>
</Properties>
</file>