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AC2E28" w:rsidRPr="007C605F" w14:paraId="3D372152" w14:textId="77777777" w:rsidTr="00EA120E">
        <w:trPr>
          <w:trHeight w:hRule="exact" w:val="418"/>
          <w:jc w:val="center"/>
        </w:trPr>
        <w:tc>
          <w:tcPr>
            <w:tcW w:w="8523" w:type="dxa"/>
            <w:gridSpan w:val="2"/>
          </w:tcPr>
          <w:p w14:paraId="41C1A72C" w14:textId="77777777" w:rsidR="00AC2E28" w:rsidRPr="007C605F" w:rsidRDefault="00AC2E28" w:rsidP="00BB7F06">
            <w:pPr>
              <w:pStyle w:val="a3"/>
              <w:jc w:val="center"/>
              <w:rPr>
                <w:rFonts w:ascii="Tahoma" w:hAnsi="Tahoma"/>
                <w:color w:val="000080"/>
                <w:sz w:val="32"/>
                <w:szCs w:val="32"/>
                <w:rtl/>
              </w:rPr>
            </w:pPr>
            <w:bookmarkStart w:id="0" w:name="LastJudge"/>
            <w:r w:rsidRPr="007C605F">
              <w:rPr>
                <w:rFonts w:ascii="Tahoma" w:hAnsi="Tahoma"/>
                <w:b/>
                <w:bCs/>
                <w:color w:val="000080"/>
                <w:sz w:val="32"/>
                <w:szCs w:val="32"/>
                <w:rtl/>
              </w:rPr>
              <w:t>בית משפט השלום בתל אביב - יפו</w:t>
            </w:r>
          </w:p>
        </w:tc>
      </w:tr>
      <w:tr w:rsidR="00AC2E28" w:rsidRPr="007C605F" w14:paraId="02916FE4" w14:textId="77777777" w:rsidTr="00EA120E">
        <w:trPr>
          <w:trHeight w:val="337"/>
          <w:jc w:val="center"/>
        </w:trPr>
        <w:tc>
          <w:tcPr>
            <w:tcW w:w="4945" w:type="dxa"/>
          </w:tcPr>
          <w:p w14:paraId="07061492" w14:textId="77777777" w:rsidR="00AC2E28" w:rsidRPr="007C605F" w:rsidRDefault="00AC2E28" w:rsidP="00BB7F06">
            <w:pPr>
              <w:rPr>
                <w:sz w:val="26"/>
                <w:szCs w:val="26"/>
                <w:rtl/>
              </w:rPr>
            </w:pPr>
            <w:r w:rsidRPr="007C605F">
              <w:rPr>
                <w:sz w:val="26"/>
                <w:szCs w:val="26"/>
                <w:rtl/>
              </w:rPr>
              <w:t>ת"פ</w:t>
            </w:r>
            <w:r w:rsidRPr="007C605F">
              <w:rPr>
                <w:rFonts w:hint="cs"/>
                <w:sz w:val="26"/>
                <w:szCs w:val="26"/>
                <w:rtl/>
              </w:rPr>
              <w:t xml:space="preserve"> </w:t>
            </w:r>
            <w:r w:rsidRPr="007C605F">
              <w:rPr>
                <w:sz w:val="26"/>
                <w:szCs w:val="26"/>
                <w:rtl/>
              </w:rPr>
              <w:t>3497-05-18</w:t>
            </w:r>
            <w:r w:rsidRPr="007C605F">
              <w:rPr>
                <w:rFonts w:hint="cs"/>
                <w:sz w:val="26"/>
                <w:szCs w:val="26"/>
                <w:rtl/>
              </w:rPr>
              <w:t xml:space="preserve"> </w:t>
            </w:r>
            <w:r w:rsidRPr="007C605F">
              <w:rPr>
                <w:b/>
                <w:bCs/>
                <w:sz w:val="26"/>
                <w:szCs w:val="26"/>
                <w:rtl/>
              </w:rPr>
              <w:t>מדינת ישראל נ' קובה</w:t>
            </w:r>
          </w:p>
        </w:tc>
        <w:tc>
          <w:tcPr>
            <w:tcW w:w="3578" w:type="dxa"/>
          </w:tcPr>
          <w:p w14:paraId="0F4FC6FC" w14:textId="77777777" w:rsidR="00AC2E28" w:rsidRPr="007C605F" w:rsidRDefault="00AC2E28" w:rsidP="00BB7F06">
            <w:pPr>
              <w:pStyle w:val="a3"/>
              <w:jc w:val="right"/>
              <w:rPr>
                <w:rFonts w:cs="FrankRuehl"/>
                <w:sz w:val="28"/>
                <w:szCs w:val="28"/>
                <w:rtl/>
              </w:rPr>
            </w:pPr>
          </w:p>
        </w:tc>
      </w:tr>
    </w:tbl>
    <w:p w14:paraId="207E361A" w14:textId="77777777" w:rsidR="00AC2E28" w:rsidRPr="007C605F" w:rsidRDefault="00AC2E28" w:rsidP="00AC2E28">
      <w:pPr>
        <w:pStyle w:val="a3"/>
        <w:rPr>
          <w:rtl/>
        </w:rPr>
      </w:pPr>
      <w:r w:rsidRPr="007C605F">
        <w:rPr>
          <w:rFonts w:hint="cs"/>
          <w:rtl/>
        </w:rPr>
        <w:t xml:space="preserve"> </w:t>
      </w:r>
    </w:p>
    <w:p w14:paraId="24EE46BC" w14:textId="77777777" w:rsidR="00AC2E28" w:rsidRPr="007C605F" w:rsidRDefault="00AC2E28" w:rsidP="00AC2E28">
      <w:pPr>
        <w:spacing w:line="360" w:lineRule="auto"/>
        <w:rPr>
          <w:b/>
          <w:bCs/>
          <w:rtl/>
        </w:rPr>
      </w:pPr>
    </w:p>
    <w:p w14:paraId="641C691F" w14:textId="77777777" w:rsidR="00AC2E28" w:rsidRPr="007C605F" w:rsidRDefault="00AC2E28" w:rsidP="00AC2E28">
      <w:pPr>
        <w:spacing w:line="360" w:lineRule="auto"/>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2"/>
        <w:gridCol w:w="3326"/>
      </w:tblGrid>
      <w:tr w:rsidR="00AC2E28" w:rsidRPr="007C605F" w14:paraId="7D7DCA79" w14:textId="77777777" w:rsidTr="00AC2E28">
        <w:trPr>
          <w:trHeight w:val="295"/>
          <w:jc w:val="center"/>
        </w:trPr>
        <w:tc>
          <w:tcPr>
            <w:tcW w:w="8820" w:type="dxa"/>
            <w:gridSpan w:val="3"/>
            <w:tcBorders>
              <w:top w:val="nil"/>
              <w:left w:val="nil"/>
              <w:bottom w:val="nil"/>
              <w:right w:val="nil"/>
            </w:tcBorders>
            <w:shd w:val="clear" w:color="auto" w:fill="auto"/>
          </w:tcPr>
          <w:p w14:paraId="30F9A766" w14:textId="77777777" w:rsidR="00AC2E28" w:rsidRPr="007C605F" w:rsidRDefault="00AC2E28" w:rsidP="00AC2E28">
            <w:pPr>
              <w:spacing w:line="360" w:lineRule="auto"/>
              <w:jc w:val="both"/>
              <w:rPr>
                <w:b/>
                <w:bCs/>
                <w:sz w:val="26"/>
                <w:szCs w:val="26"/>
                <w:rtl/>
              </w:rPr>
            </w:pPr>
            <w:r w:rsidRPr="007C605F">
              <w:rPr>
                <w:rFonts w:ascii="Arial" w:hAnsi="Arial" w:hint="cs"/>
                <w:b/>
                <w:bCs/>
                <w:sz w:val="26"/>
                <w:szCs w:val="26"/>
                <w:rtl/>
              </w:rPr>
              <w:t>ל</w:t>
            </w:r>
            <w:r w:rsidRPr="007C605F">
              <w:rPr>
                <w:rFonts w:ascii="Arial" w:hAnsi="Arial"/>
                <w:b/>
                <w:bCs/>
                <w:sz w:val="26"/>
                <w:szCs w:val="26"/>
                <w:rtl/>
              </w:rPr>
              <w:t xml:space="preserve">פני </w:t>
            </w:r>
            <w:r w:rsidRPr="007C605F">
              <w:rPr>
                <w:rFonts w:ascii="Arial" w:hAnsi="Arial" w:hint="cs"/>
                <w:b/>
                <w:bCs/>
                <w:sz w:val="26"/>
                <w:szCs w:val="26"/>
                <w:rtl/>
              </w:rPr>
              <w:t>כבוד ה</w:t>
            </w:r>
            <w:r w:rsidRPr="007C605F">
              <w:rPr>
                <w:rFonts w:ascii="Arial" w:hAnsi="Arial"/>
                <w:b/>
                <w:bCs/>
                <w:sz w:val="26"/>
                <w:szCs w:val="26"/>
                <w:rtl/>
              </w:rPr>
              <w:t>שופט</w:t>
            </w:r>
            <w:r w:rsidRPr="007C605F">
              <w:rPr>
                <w:rFonts w:ascii="Arial" w:hAnsi="Arial" w:hint="cs"/>
                <w:b/>
                <w:bCs/>
                <w:sz w:val="26"/>
                <w:szCs w:val="26"/>
                <w:rtl/>
              </w:rPr>
              <w:t xml:space="preserve"> </w:t>
            </w:r>
            <w:r w:rsidRPr="007C605F">
              <w:rPr>
                <w:rFonts w:ascii="Arial" w:hAnsi="Arial"/>
                <w:b/>
                <w:bCs/>
                <w:sz w:val="26"/>
                <w:szCs w:val="26"/>
                <w:rtl/>
              </w:rPr>
              <w:t>שאול אבינור</w:t>
            </w:r>
          </w:p>
          <w:p w14:paraId="7497C56D" w14:textId="77777777" w:rsidR="00AC2E28" w:rsidRPr="007C605F" w:rsidRDefault="00AC2E28" w:rsidP="00AC2E28">
            <w:pPr>
              <w:spacing w:line="360" w:lineRule="auto"/>
              <w:jc w:val="both"/>
              <w:rPr>
                <w:rFonts w:ascii="Arial" w:hAnsi="Arial"/>
                <w:b/>
                <w:bCs/>
                <w:sz w:val="26"/>
                <w:szCs w:val="26"/>
              </w:rPr>
            </w:pPr>
          </w:p>
        </w:tc>
      </w:tr>
      <w:tr w:rsidR="00AC2E28" w:rsidRPr="007C605F" w14:paraId="0F898229" w14:textId="77777777" w:rsidTr="00AC2E28">
        <w:trPr>
          <w:trHeight w:val="355"/>
          <w:jc w:val="center"/>
        </w:trPr>
        <w:tc>
          <w:tcPr>
            <w:tcW w:w="885" w:type="dxa"/>
            <w:tcBorders>
              <w:top w:val="nil"/>
              <w:left w:val="nil"/>
              <w:bottom w:val="nil"/>
              <w:right w:val="nil"/>
            </w:tcBorders>
            <w:shd w:val="clear" w:color="auto" w:fill="auto"/>
          </w:tcPr>
          <w:p w14:paraId="5DCD891A" w14:textId="77777777" w:rsidR="00AC2E28" w:rsidRPr="007C605F" w:rsidRDefault="00AC2E28" w:rsidP="00AC2E28">
            <w:pPr>
              <w:spacing w:line="360" w:lineRule="auto"/>
              <w:jc w:val="both"/>
              <w:rPr>
                <w:rFonts w:ascii="Arial" w:hAnsi="Arial"/>
                <w:b/>
                <w:bCs/>
                <w:sz w:val="26"/>
                <w:szCs w:val="26"/>
              </w:rPr>
            </w:pPr>
            <w:bookmarkStart w:id="1" w:name="FirstAppellant"/>
            <w:bookmarkStart w:id="2" w:name="FirstLawyer"/>
            <w:r w:rsidRPr="007C605F">
              <w:rPr>
                <w:rFonts w:ascii="Arial" w:hAnsi="Arial" w:hint="cs"/>
                <w:b/>
                <w:bCs/>
                <w:sz w:val="26"/>
                <w:szCs w:val="26"/>
                <w:rtl/>
              </w:rPr>
              <w:t>ה</w:t>
            </w:r>
            <w:r w:rsidRPr="007C605F">
              <w:rPr>
                <w:rFonts w:ascii="Arial" w:hAnsi="Arial"/>
                <w:b/>
                <w:bCs/>
                <w:sz w:val="26"/>
                <w:szCs w:val="26"/>
                <w:rtl/>
              </w:rPr>
              <w:t>מאשימה</w:t>
            </w:r>
            <w:r w:rsidRPr="007C605F">
              <w:rPr>
                <w:rFonts w:hint="cs"/>
                <w:b/>
                <w:bCs/>
                <w:sz w:val="26"/>
                <w:szCs w:val="26"/>
                <w:rtl/>
              </w:rPr>
              <w:t>:</w:t>
            </w:r>
          </w:p>
        </w:tc>
        <w:tc>
          <w:tcPr>
            <w:tcW w:w="4384" w:type="dxa"/>
            <w:tcBorders>
              <w:top w:val="nil"/>
              <w:left w:val="nil"/>
              <w:bottom w:val="nil"/>
              <w:right w:val="nil"/>
            </w:tcBorders>
            <w:shd w:val="clear" w:color="auto" w:fill="auto"/>
          </w:tcPr>
          <w:p w14:paraId="3111A21B" w14:textId="77777777" w:rsidR="00AC2E28" w:rsidRPr="007C605F" w:rsidRDefault="00AC2E28" w:rsidP="00AC2E28">
            <w:pPr>
              <w:spacing w:line="360" w:lineRule="auto"/>
              <w:rPr>
                <w:b/>
                <w:bCs/>
                <w:sz w:val="26"/>
                <w:szCs w:val="26"/>
                <w:rtl/>
              </w:rPr>
            </w:pPr>
            <w:r w:rsidRPr="007C605F">
              <w:rPr>
                <w:rFonts w:ascii="Arial" w:hAnsi="Arial"/>
                <w:b/>
                <w:bCs/>
                <w:sz w:val="26"/>
                <w:szCs w:val="26"/>
                <w:rtl/>
              </w:rPr>
              <w:t>מדינת ישראל</w:t>
            </w:r>
          </w:p>
          <w:p w14:paraId="0C84C2B9" w14:textId="77777777" w:rsidR="00AC2E28" w:rsidRPr="007C605F" w:rsidRDefault="00AC2E28" w:rsidP="00AC2E28">
            <w:pPr>
              <w:spacing w:line="360" w:lineRule="auto"/>
              <w:rPr>
                <w:rtl/>
              </w:rPr>
            </w:pPr>
            <w:r w:rsidRPr="007C605F">
              <w:rPr>
                <w:rFonts w:hint="cs"/>
                <w:rtl/>
              </w:rPr>
              <w:t>ע"י ב"כ עו"ד דרור לוי</w:t>
            </w:r>
          </w:p>
          <w:p w14:paraId="5C2EEFAC" w14:textId="77777777" w:rsidR="00AC2E28" w:rsidRPr="007C605F" w:rsidRDefault="00AC2E28" w:rsidP="00AC2E28">
            <w:pPr>
              <w:spacing w:line="360" w:lineRule="auto"/>
              <w:rPr>
                <w:b/>
                <w:bCs/>
                <w:sz w:val="26"/>
                <w:szCs w:val="26"/>
              </w:rPr>
            </w:pPr>
            <w:r w:rsidRPr="007C605F">
              <w:rPr>
                <w:rFonts w:hint="cs"/>
                <w:rtl/>
              </w:rPr>
              <w:t>פרקליטות מחוז תל-אביב (פלילי)</w:t>
            </w:r>
          </w:p>
        </w:tc>
        <w:tc>
          <w:tcPr>
            <w:tcW w:w="3551" w:type="dxa"/>
            <w:tcBorders>
              <w:top w:val="nil"/>
              <w:left w:val="nil"/>
              <w:bottom w:val="nil"/>
              <w:right w:val="nil"/>
            </w:tcBorders>
            <w:shd w:val="clear" w:color="auto" w:fill="auto"/>
          </w:tcPr>
          <w:p w14:paraId="0FAD89BB" w14:textId="77777777" w:rsidR="00AC2E28" w:rsidRPr="007C605F" w:rsidRDefault="00AC2E28" w:rsidP="00AC2E28">
            <w:pPr>
              <w:spacing w:line="360" w:lineRule="auto"/>
              <w:jc w:val="both"/>
              <w:rPr>
                <w:rFonts w:ascii="Arial" w:hAnsi="Arial"/>
                <w:b/>
                <w:bCs/>
                <w:sz w:val="26"/>
                <w:szCs w:val="26"/>
              </w:rPr>
            </w:pPr>
          </w:p>
        </w:tc>
      </w:tr>
      <w:bookmarkEnd w:id="1"/>
      <w:bookmarkEnd w:id="2"/>
      <w:tr w:rsidR="00AC2E28" w:rsidRPr="007C605F" w14:paraId="436259A8" w14:textId="77777777" w:rsidTr="00AC2E28">
        <w:trPr>
          <w:trHeight w:val="373"/>
          <w:jc w:val="center"/>
        </w:trPr>
        <w:tc>
          <w:tcPr>
            <w:tcW w:w="885" w:type="dxa"/>
            <w:tcBorders>
              <w:top w:val="nil"/>
              <w:left w:val="nil"/>
              <w:bottom w:val="nil"/>
              <w:right w:val="nil"/>
            </w:tcBorders>
            <w:shd w:val="clear" w:color="auto" w:fill="auto"/>
          </w:tcPr>
          <w:p w14:paraId="29530D5A" w14:textId="77777777" w:rsidR="00AC2E28" w:rsidRPr="007C605F" w:rsidRDefault="00AC2E28" w:rsidP="00AC2E28">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723400D8" w14:textId="77777777" w:rsidR="00AC2E28" w:rsidRPr="007C605F" w:rsidRDefault="00AC2E28" w:rsidP="00AC2E28">
            <w:pPr>
              <w:spacing w:line="360" w:lineRule="auto"/>
              <w:jc w:val="center"/>
              <w:rPr>
                <w:rFonts w:ascii="Arial" w:hAnsi="Arial"/>
                <w:b/>
                <w:bCs/>
                <w:sz w:val="26"/>
                <w:szCs w:val="26"/>
                <w:rtl/>
              </w:rPr>
            </w:pPr>
          </w:p>
          <w:p w14:paraId="501165CA" w14:textId="77777777" w:rsidR="00AC2E28" w:rsidRPr="007C605F" w:rsidRDefault="00AC2E28" w:rsidP="00AC2E28">
            <w:pPr>
              <w:spacing w:line="360" w:lineRule="auto"/>
              <w:jc w:val="center"/>
              <w:rPr>
                <w:rFonts w:ascii="Arial" w:hAnsi="Arial"/>
                <w:b/>
                <w:bCs/>
                <w:sz w:val="26"/>
                <w:szCs w:val="26"/>
                <w:rtl/>
              </w:rPr>
            </w:pPr>
          </w:p>
          <w:p w14:paraId="467AD205" w14:textId="77777777" w:rsidR="00AC2E28" w:rsidRPr="007C605F" w:rsidRDefault="00AC2E28" w:rsidP="00AC2E28">
            <w:pPr>
              <w:spacing w:line="360" w:lineRule="auto"/>
              <w:jc w:val="center"/>
              <w:rPr>
                <w:rFonts w:ascii="Arial" w:hAnsi="Arial"/>
                <w:b/>
                <w:bCs/>
                <w:sz w:val="26"/>
                <w:szCs w:val="26"/>
                <w:rtl/>
              </w:rPr>
            </w:pPr>
            <w:r w:rsidRPr="007C605F">
              <w:rPr>
                <w:rFonts w:ascii="Arial" w:hAnsi="Arial"/>
                <w:b/>
                <w:bCs/>
                <w:sz w:val="26"/>
                <w:szCs w:val="26"/>
                <w:rtl/>
              </w:rPr>
              <w:t>נגד</w:t>
            </w:r>
          </w:p>
          <w:p w14:paraId="70D7E946" w14:textId="77777777" w:rsidR="00AC2E28" w:rsidRPr="007C605F" w:rsidRDefault="00AC2E28" w:rsidP="00AC2E28">
            <w:pPr>
              <w:spacing w:line="360" w:lineRule="auto"/>
              <w:jc w:val="both"/>
              <w:rPr>
                <w:rFonts w:ascii="Arial" w:hAnsi="Arial"/>
                <w:b/>
                <w:bCs/>
                <w:sz w:val="26"/>
                <w:szCs w:val="26"/>
                <w:rtl/>
              </w:rPr>
            </w:pPr>
          </w:p>
          <w:p w14:paraId="261D0C01" w14:textId="77777777" w:rsidR="00AC2E28" w:rsidRPr="007C605F" w:rsidRDefault="00AC2E28" w:rsidP="00AC2E28">
            <w:pPr>
              <w:spacing w:line="360" w:lineRule="auto"/>
              <w:jc w:val="both"/>
              <w:rPr>
                <w:rFonts w:ascii="Arial" w:hAnsi="Arial"/>
                <w:b/>
                <w:bCs/>
                <w:sz w:val="26"/>
                <w:szCs w:val="26"/>
              </w:rPr>
            </w:pPr>
          </w:p>
        </w:tc>
      </w:tr>
      <w:tr w:rsidR="00AC2E28" w:rsidRPr="007C605F" w14:paraId="3CE49E67" w14:textId="77777777" w:rsidTr="00AC2E28">
        <w:trPr>
          <w:trHeight w:val="355"/>
          <w:jc w:val="center"/>
        </w:trPr>
        <w:tc>
          <w:tcPr>
            <w:tcW w:w="885" w:type="dxa"/>
            <w:tcBorders>
              <w:top w:val="nil"/>
              <w:left w:val="nil"/>
              <w:bottom w:val="nil"/>
              <w:right w:val="nil"/>
            </w:tcBorders>
            <w:shd w:val="clear" w:color="auto" w:fill="auto"/>
          </w:tcPr>
          <w:p w14:paraId="2F164CF6" w14:textId="77777777" w:rsidR="00AC2E28" w:rsidRPr="007C605F" w:rsidRDefault="00AC2E28" w:rsidP="00AC2E28">
            <w:pPr>
              <w:spacing w:line="360" w:lineRule="auto"/>
              <w:rPr>
                <w:rFonts w:ascii="Arial" w:hAnsi="Arial"/>
                <w:b/>
                <w:bCs/>
                <w:sz w:val="26"/>
                <w:szCs w:val="26"/>
                <w:rtl/>
              </w:rPr>
            </w:pPr>
            <w:r w:rsidRPr="007C605F">
              <w:rPr>
                <w:rFonts w:ascii="Arial" w:hAnsi="Arial" w:hint="cs"/>
                <w:b/>
                <w:bCs/>
                <w:sz w:val="26"/>
                <w:szCs w:val="26"/>
                <w:rtl/>
              </w:rPr>
              <w:t>ה</w:t>
            </w:r>
            <w:r w:rsidRPr="007C605F">
              <w:rPr>
                <w:rFonts w:ascii="Arial" w:hAnsi="Arial"/>
                <w:b/>
                <w:bCs/>
                <w:sz w:val="26"/>
                <w:szCs w:val="26"/>
                <w:rtl/>
              </w:rPr>
              <w:t>נאשם</w:t>
            </w:r>
            <w:r w:rsidRPr="007C605F">
              <w:rPr>
                <w:rFonts w:ascii="Arial" w:hAnsi="Arial" w:hint="cs"/>
                <w:b/>
                <w:bCs/>
                <w:sz w:val="26"/>
                <w:szCs w:val="26"/>
                <w:rtl/>
              </w:rPr>
              <w:t>:</w:t>
            </w:r>
          </w:p>
        </w:tc>
        <w:tc>
          <w:tcPr>
            <w:tcW w:w="4384" w:type="dxa"/>
            <w:tcBorders>
              <w:top w:val="nil"/>
              <w:left w:val="nil"/>
              <w:bottom w:val="nil"/>
              <w:right w:val="nil"/>
            </w:tcBorders>
            <w:shd w:val="clear" w:color="auto" w:fill="auto"/>
          </w:tcPr>
          <w:p w14:paraId="0593456C" w14:textId="77777777" w:rsidR="00AC2E28" w:rsidRPr="007C605F" w:rsidRDefault="00AC2E28" w:rsidP="00AC2E28">
            <w:pPr>
              <w:spacing w:line="360" w:lineRule="auto"/>
              <w:rPr>
                <w:b/>
                <w:bCs/>
                <w:sz w:val="26"/>
                <w:szCs w:val="26"/>
                <w:rtl/>
              </w:rPr>
            </w:pPr>
            <w:r w:rsidRPr="007C605F">
              <w:rPr>
                <w:rFonts w:ascii="Arial" w:hAnsi="Arial"/>
                <w:b/>
                <w:bCs/>
                <w:sz w:val="26"/>
                <w:szCs w:val="26"/>
                <w:rtl/>
              </w:rPr>
              <w:t>הראל הרצל קובה</w:t>
            </w:r>
          </w:p>
          <w:p w14:paraId="7DDB01B8" w14:textId="77777777" w:rsidR="00AC2E28" w:rsidRPr="007C605F" w:rsidRDefault="00AC2E28" w:rsidP="00AC2E28">
            <w:pPr>
              <w:spacing w:line="360" w:lineRule="auto"/>
              <w:rPr>
                <w:sz w:val="26"/>
                <w:szCs w:val="26"/>
                <w:rtl/>
              </w:rPr>
            </w:pPr>
            <w:r w:rsidRPr="007C605F">
              <w:rPr>
                <w:rFonts w:hint="cs"/>
                <w:rtl/>
              </w:rPr>
              <w:t>ע"י ב"כ עו"ד ירום הלוי</w:t>
            </w:r>
          </w:p>
        </w:tc>
        <w:tc>
          <w:tcPr>
            <w:tcW w:w="3551" w:type="dxa"/>
            <w:tcBorders>
              <w:top w:val="nil"/>
              <w:left w:val="nil"/>
              <w:bottom w:val="nil"/>
              <w:right w:val="nil"/>
            </w:tcBorders>
            <w:shd w:val="clear" w:color="auto" w:fill="auto"/>
          </w:tcPr>
          <w:p w14:paraId="55DDE69B" w14:textId="77777777" w:rsidR="00AC2E28" w:rsidRPr="007C605F" w:rsidRDefault="00AC2E28" w:rsidP="00AC2E28">
            <w:pPr>
              <w:spacing w:line="360" w:lineRule="auto"/>
              <w:jc w:val="right"/>
              <w:rPr>
                <w:rFonts w:ascii="Arial" w:hAnsi="Arial"/>
                <w:b/>
                <w:bCs/>
                <w:sz w:val="26"/>
                <w:szCs w:val="26"/>
              </w:rPr>
            </w:pPr>
          </w:p>
        </w:tc>
      </w:tr>
    </w:tbl>
    <w:p w14:paraId="299DA3F2" w14:textId="77777777" w:rsidR="00AC2E28" w:rsidRPr="007C605F" w:rsidRDefault="00AC2E28" w:rsidP="00AC2E28">
      <w:pPr>
        <w:spacing w:line="360" w:lineRule="auto"/>
        <w:rPr>
          <w:b/>
          <w:bCs/>
          <w:rtl/>
        </w:rPr>
      </w:pPr>
    </w:p>
    <w:p w14:paraId="1FA73C2E" w14:textId="77777777" w:rsidR="007C605F" w:rsidRPr="007C605F" w:rsidRDefault="007C605F" w:rsidP="007C605F">
      <w:pPr>
        <w:spacing w:before="120" w:after="120" w:line="240" w:lineRule="exact"/>
        <w:ind w:left="283" w:hanging="283"/>
        <w:jc w:val="both"/>
        <w:rPr>
          <w:rFonts w:ascii="FrankRuehl" w:hAnsi="FrankRuehl" w:cs="FrankRuehl"/>
        </w:rPr>
      </w:pPr>
    </w:p>
    <w:p w14:paraId="6DBC6C34" w14:textId="77777777" w:rsidR="00EA120E" w:rsidRPr="00EA120E" w:rsidRDefault="00EA120E" w:rsidP="00EA120E">
      <w:pPr>
        <w:spacing w:before="120" w:after="120" w:line="240" w:lineRule="exact"/>
        <w:ind w:left="283" w:hanging="283"/>
        <w:jc w:val="both"/>
        <w:rPr>
          <w:rFonts w:ascii="FrankRuehl" w:hAnsi="FrankRuehl" w:cs="FrankRuehl"/>
        </w:rPr>
      </w:pPr>
      <w:bookmarkStart w:id="3" w:name="LawTable"/>
      <w:bookmarkEnd w:id="3"/>
      <w:r w:rsidRPr="00EA120E">
        <w:rPr>
          <w:rFonts w:ascii="FrankRuehl" w:hAnsi="FrankRuehl" w:cs="FrankRuehl"/>
          <w:rtl/>
        </w:rPr>
        <w:t xml:space="preserve">חקיקה שאוזכרה: </w:t>
      </w:r>
    </w:p>
    <w:p w14:paraId="708FE945" w14:textId="77777777" w:rsidR="00EA120E" w:rsidRPr="00EA120E" w:rsidRDefault="00EA120E" w:rsidP="00EA120E">
      <w:pPr>
        <w:spacing w:before="120" w:after="120" w:line="240" w:lineRule="exact"/>
        <w:ind w:left="283" w:hanging="283"/>
        <w:jc w:val="both"/>
        <w:rPr>
          <w:rFonts w:ascii="FrankRuehl" w:hAnsi="FrankRuehl" w:cs="FrankRuehl" w:hint="cs"/>
          <w:rtl/>
        </w:rPr>
      </w:pPr>
      <w:hyperlink r:id="rId7" w:history="1">
        <w:r w:rsidRPr="00EA120E">
          <w:rPr>
            <w:rFonts w:ascii="FrankRuehl" w:hAnsi="FrankRuehl" w:cs="FrankRuehl"/>
            <w:color w:val="0000FF"/>
            <w:u w:val="single"/>
            <w:rtl/>
          </w:rPr>
          <w:t>חוק העונשין, תשל"ז-1977</w:t>
        </w:r>
      </w:hyperlink>
      <w:r w:rsidRPr="00EA120E">
        <w:rPr>
          <w:rFonts w:ascii="FrankRuehl" w:hAnsi="FrankRuehl" w:cs="FrankRuehl"/>
        </w:rPr>
        <w:t xml:space="preserve">: </w:t>
      </w:r>
      <w:bookmarkStart w:id="4" w:name="Seif1"/>
      <w:r w:rsidRPr="00EA120E">
        <w:rPr>
          <w:rFonts w:ascii="FrankRuehl" w:hAnsi="FrankRuehl" w:cs="FrankRuehl"/>
          <w:rtl/>
        </w:rPr>
        <w:t>סע</w:t>
      </w:r>
      <w:r w:rsidRPr="00EA120E">
        <w:rPr>
          <w:rFonts w:ascii="FrankRuehl" w:hAnsi="FrankRuehl" w:cs="FrankRuehl"/>
        </w:rPr>
        <w:t xml:space="preserve">'  </w:t>
      </w:r>
      <w:bookmarkEnd w:id="4"/>
      <w:r w:rsidRPr="00EA120E">
        <w:rPr>
          <w:rFonts w:ascii="FrankRuehl" w:hAnsi="FrankRuehl" w:cs="FrankRuehl"/>
          <w:color w:val="0000FF"/>
          <w:u w:val="single"/>
        </w:rPr>
        <w:fldChar w:fldCharType="begin"/>
      </w:r>
      <w:r w:rsidRPr="00EA120E">
        <w:rPr>
          <w:rFonts w:ascii="FrankRuehl" w:hAnsi="FrankRuehl" w:cs="FrankRuehl"/>
          <w:color w:val="0000FF"/>
          <w:u w:val="single"/>
        </w:rPr>
        <w:instrText xml:space="preserve"> HYPERLINK "http://www.nevo.co.il/law/70301/144.a" </w:instrText>
      </w:r>
      <w:r w:rsidR="00A217AA" w:rsidRPr="00EA120E">
        <w:rPr>
          <w:rFonts w:ascii="FrankRuehl" w:hAnsi="FrankRuehl" w:cs="FrankRuehl"/>
          <w:color w:val="0000FF"/>
          <w:u w:val="single"/>
        </w:rPr>
      </w:r>
      <w:r w:rsidRPr="00EA120E">
        <w:rPr>
          <w:rFonts w:ascii="FrankRuehl" w:hAnsi="FrankRuehl" w:cs="FrankRuehl"/>
          <w:color w:val="0000FF"/>
          <w:u w:val="single"/>
        </w:rPr>
        <w:fldChar w:fldCharType="separate"/>
      </w:r>
      <w:r w:rsidRPr="00EA120E">
        <w:rPr>
          <w:rFonts w:ascii="FrankRuehl" w:hAnsi="FrankRuehl" w:cs="FrankRuehl"/>
          <w:color w:val="0000FF"/>
          <w:u w:val="single"/>
        </w:rPr>
        <w:t>144(</w:t>
      </w:r>
      <w:r w:rsidRPr="00EA120E">
        <w:rPr>
          <w:rFonts w:ascii="FrankRuehl" w:hAnsi="FrankRuehl" w:cs="FrankRuehl"/>
          <w:color w:val="0000FF"/>
          <w:u w:val="single"/>
          <w:rtl/>
        </w:rPr>
        <w:t>א</w:t>
      </w:r>
      <w:r w:rsidRPr="00EA120E">
        <w:rPr>
          <w:rFonts w:ascii="FrankRuehl" w:hAnsi="FrankRuehl" w:cs="FrankRuehl"/>
          <w:color w:val="0000FF"/>
          <w:u w:val="single"/>
        </w:rPr>
        <w:t>)</w:t>
      </w:r>
      <w:r w:rsidRPr="00EA120E">
        <w:rPr>
          <w:rFonts w:ascii="FrankRuehl" w:hAnsi="FrankRuehl" w:cs="FrankRuehl"/>
          <w:color w:val="0000FF"/>
          <w:u w:val="single"/>
        </w:rPr>
        <w:fldChar w:fldCharType="end"/>
      </w:r>
    </w:p>
    <w:p w14:paraId="5BF4E8F0" w14:textId="77777777" w:rsidR="00EA120E" w:rsidRDefault="00EA120E" w:rsidP="00EA120E">
      <w:pPr>
        <w:spacing w:line="360" w:lineRule="auto"/>
        <w:rPr>
          <w:rFonts w:hint="cs"/>
          <w:rtl/>
        </w:rPr>
      </w:pPr>
      <w:bookmarkStart w:id="5" w:name="LawTable_End"/>
      <w:bookmarkEnd w:id="5"/>
    </w:p>
    <w:p w14:paraId="5D99162E" w14:textId="77777777" w:rsidR="00EA120E" w:rsidRPr="00EA120E" w:rsidRDefault="00EA120E" w:rsidP="00EA120E">
      <w:pPr>
        <w:spacing w:line="360" w:lineRule="auto"/>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2E28" w:rsidRPr="00D76058" w14:paraId="3D294908" w14:textId="77777777" w:rsidTr="00AC2E28">
        <w:trPr>
          <w:trHeight w:val="355"/>
          <w:jc w:val="center"/>
        </w:trPr>
        <w:tc>
          <w:tcPr>
            <w:tcW w:w="8820" w:type="dxa"/>
            <w:tcBorders>
              <w:top w:val="nil"/>
              <w:left w:val="nil"/>
              <w:bottom w:val="nil"/>
              <w:right w:val="nil"/>
            </w:tcBorders>
            <w:shd w:val="clear" w:color="auto" w:fill="auto"/>
          </w:tcPr>
          <w:p w14:paraId="54F4B821" w14:textId="77777777" w:rsidR="007C605F" w:rsidRPr="007C605F" w:rsidRDefault="007C605F" w:rsidP="007C605F">
            <w:pPr>
              <w:spacing w:after="120" w:line="360" w:lineRule="auto"/>
              <w:jc w:val="center"/>
              <w:rPr>
                <w:rFonts w:ascii="Arial" w:hAnsi="Arial"/>
                <w:b/>
                <w:bCs/>
                <w:sz w:val="36"/>
                <w:szCs w:val="36"/>
                <w:u w:val="single"/>
                <w:rtl/>
              </w:rPr>
            </w:pPr>
            <w:bookmarkStart w:id="6" w:name="PsakDin" w:colFirst="0" w:colLast="0"/>
            <w:bookmarkEnd w:id="0"/>
            <w:r w:rsidRPr="007C605F">
              <w:rPr>
                <w:rFonts w:ascii="Arial" w:hAnsi="Arial"/>
                <w:b/>
                <w:bCs/>
                <w:sz w:val="36"/>
                <w:szCs w:val="36"/>
                <w:u w:val="single"/>
                <w:rtl/>
              </w:rPr>
              <w:t>גזר דין</w:t>
            </w:r>
          </w:p>
          <w:p w14:paraId="4B48A686" w14:textId="77777777" w:rsidR="00AC2E28" w:rsidRPr="007C605F" w:rsidRDefault="00AC2E28" w:rsidP="007C605F">
            <w:pPr>
              <w:spacing w:after="120" w:line="360" w:lineRule="auto"/>
              <w:jc w:val="center"/>
              <w:rPr>
                <w:rFonts w:ascii="Arial" w:hAnsi="Arial"/>
                <w:b/>
                <w:bCs/>
                <w:sz w:val="36"/>
                <w:szCs w:val="36"/>
                <w:u w:val="single"/>
                <w:rtl/>
              </w:rPr>
            </w:pPr>
          </w:p>
        </w:tc>
      </w:tr>
    </w:tbl>
    <w:bookmarkEnd w:id="6"/>
    <w:p w14:paraId="73E39663" w14:textId="77777777" w:rsidR="00AC2E28" w:rsidRDefault="00AC2E28" w:rsidP="00AC2E28">
      <w:pPr>
        <w:spacing w:after="120" w:line="360" w:lineRule="auto"/>
        <w:jc w:val="both"/>
        <w:rPr>
          <w:rFonts w:ascii="David" w:hAnsi="David"/>
          <w:b/>
          <w:bCs/>
          <w:u w:val="single"/>
        </w:rPr>
      </w:pPr>
      <w:r>
        <w:rPr>
          <w:rFonts w:ascii="David" w:hAnsi="David"/>
          <w:b/>
          <w:bCs/>
          <w:rtl/>
        </w:rPr>
        <w:t>א.</w:t>
      </w:r>
      <w:r>
        <w:rPr>
          <w:rFonts w:ascii="David" w:hAnsi="David"/>
          <w:b/>
          <w:bCs/>
          <w:rtl/>
        </w:rPr>
        <w:tab/>
      </w:r>
      <w:r>
        <w:rPr>
          <w:rFonts w:ascii="David" w:hAnsi="David"/>
          <w:b/>
          <w:bCs/>
          <w:u w:val="single"/>
          <w:rtl/>
        </w:rPr>
        <w:t>רקע כללי:</w:t>
      </w:r>
    </w:p>
    <w:p w14:paraId="7D0D5609" w14:textId="77777777" w:rsidR="00AC2E28" w:rsidRDefault="00AC2E28" w:rsidP="00AC2E28">
      <w:pPr>
        <w:numPr>
          <w:ilvl w:val="0"/>
          <w:numId w:val="1"/>
        </w:numPr>
        <w:tabs>
          <w:tab w:val="num" w:pos="720"/>
        </w:tabs>
        <w:spacing w:after="120" w:line="360" w:lineRule="auto"/>
        <w:ind w:left="720"/>
        <w:jc w:val="both"/>
        <w:rPr>
          <w:rFonts w:ascii="David" w:hAnsi="David"/>
        </w:rPr>
      </w:pPr>
      <w:bookmarkStart w:id="7" w:name="ABSTRACT_START"/>
      <w:bookmarkEnd w:id="7"/>
      <w:r>
        <w:rPr>
          <w:rFonts w:ascii="David" w:hAnsi="David"/>
          <w:rtl/>
        </w:rPr>
        <w:t xml:space="preserve">הנאשם הורשע, לאחר שמיעת הראיות, בעבירה של </w:t>
      </w:r>
      <w:r>
        <w:rPr>
          <w:rFonts w:ascii="David" w:hAnsi="David"/>
          <w:b/>
          <w:bCs/>
          <w:rtl/>
        </w:rPr>
        <w:t>החזקת נשק שלא כדין</w:t>
      </w:r>
      <w:r>
        <w:rPr>
          <w:rFonts w:ascii="David" w:hAnsi="David"/>
          <w:rtl/>
        </w:rPr>
        <w:t xml:space="preserve">, לפי הוראות </w:t>
      </w:r>
      <w:hyperlink r:id="rId8" w:history="1">
        <w:bookmarkStart w:id="8" w:name="Seif2"/>
        <w:r w:rsidR="00EA120E" w:rsidRPr="00EA120E">
          <w:rPr>
            <w:rFonts w:ascii="David" w:hAnsi="David"/>
            <w:color w:val="0000FF"/>
            <w:u w:val="single"/>
            <w:rtl/>
          </w:rPr>
          <w:t xml:space="preserve">סעיף </w:t>
        </w:r>
        <w:bookmarkEnd w:id="8"/>
        <w:r w:rsidR="00EA120E" w:rsidRPr="00EA120E">
          <w:rPr>
            <w:rFonts w:ascii="David" w:hAnsi="David"/>
            <w:color w:val="0000FF"/>
            <w:u w:val="single"/>
            <w:rtl/>
          </w:rPr>
          <w:t>144(א)</w:t>
        </w:r>
      </w:hyperlink>
      <w:r>
        <w:rPr>
          <w:rFonts w:ascii="David" w:hAnsi="David"/>
          <w:rtl/>
        </w:rPr>
        <w:t xml:space="preserve"> ל</w:t>
      </w:r>
      <w:hyperlink r:id="rId9" w:history="1">
        <w:r w:rsidR="007C605F" w:rsidRPr="007C605F">
          <w:rPr>
            <w:rFonts w:ascii="David" w:hAnsi="David"/>
            <w:color w:val="0000FF"/>
            <w:u w:val="single"/>
            <w:rtl/>
          </w:rPr>
          <w:t>חוק העונשין</w:t>
        </w:r>
      </w:hyperlink>
      <w:r>
        <w:rPr>
          <w:rFonts w:ascii="David" w:hAnsi="David"/>
          <w:rtl/>
        </w:rPr>
        <w:t>, תשל"ז-1977 (להלן – חוק העונשין).</w:t>
      </w:r>
    </w:p>
    <w:p w14:paraId="03AAA410" w14:textId="77777777" w:rsidR="00AC2E28" w:rsidRPr="000B24A6" w:rsidRDefault="00AC2E28" w:rsidP="00AC2E28">
      <w:pPr>
        <w:numPr>
          <w:ilvl w:val="0"/>
          <w:numId w:val="1"/>
        </w:numPr>
        <w:tabs>
          <w:tab w:val="num" w:pos="720"/>
        </w:tabs>
        <w:spacing w:after="120" w:line="360" w:lineRule="auto"/>
        <w:ind w:left="720"/>
        <w:jc w:val="both"/>
        <w:rPr>
          <w:rFonts w:ascii="David" w:hAnsi="David"/>
        </w:rPr>
      </w:pPr>
      <w:bookmarkStart w:id="9" w:name="ABSTRACT_END"/>
      <w:bookmarkEnd w:id="9"/>
      <w:r w:rsidRPr="000B24A6">
        <w:rPr>
          <w:rFonts w:ascii="David" w:hAnsi="David"/>
          <w:rtl/>
        </w:rPr>
        <w:t>כפי שנקבע בהכרעת הדין, ביום 27.10.17 החזיק הנאשם, בתוך תיק בתא המטען ברכבו, אקדח תופי ורימון הלם/סינוור 959. יוטעם, כי לא נתגלעה לפניי מחלוקת לעניין עצם החזקת הנאשם באקדח וברימון, כאשר טענות ההגנה העיקריות היו לטעות כנה וסבירה של הנאשם ולהיעדר קיומו של היסוד הנפשי הנדרש</w:t>
      </w:r>
      <w:r w:rsidRPr="000B24A6">
        <w:rPr>
          <w:rFonts w:ascii="David" w:hAnsi="David" w:hint="cs"/>
          <w:rtl/>
        </w:rPr>
        <w:t>, תוך מתן הסבר להימצאות כלי הנשק ברכב בכך ש</w:t>
      </w:r>
      <w:r>
        <w:rPr>
          <w:rFonts w:ascii="David" w:hAnsi="David" w:hint="cs"/>
          <w:rtl/>
        </w:rPr>
        <w:t xml:space="preserve">באותו המועד עזב </w:t>
      </w:r>
      <w:r w:rsidRPr="000B24A6">
        <w:rPr>
          <w:rFonts w:ascii="David" w:hAnsi="David" w:hint="cs"/>
          <w:rtl/>
        </w:rPr>
        <w:t>הנאשם את ביתו והעביר את חפציו</w:t>
      </w:r>
      <w:r w:rsidRPr="000B24A6">
        <w:rPr>
          <w:rFonts w:ascii="David" w:hAnsi="David"/>
          <w:rtl/>
        </w:rPr>
        <w:t>.</w:t>
      </w:r>
      <w:r w:rsidRPr="000B24A6">
        <w:rPr>
          <w:rFonts w:ascii="David" w:hAnsi="David" w:hint="cs"/>
          <w:rtl/>
        </w:rPr>
        <w:t xml:space="preserve"> באופן קונקרטי נטען, </w:t>
      </w:r>
      <w:r>
        <w:rPr>
          <w:rFonts w:ascii="David" w:hAnsi="David"/>
          <w:rtl/>
        </w:rPr>
        <w:t>בנוגע לאקדח</w:t>
      </w:r>
      <w:r w:rsidRPr="000B24A6">
        <w:rPr>
          <w:rFonts w:ascii="David" w:hAnsi="David"/>
          <w:rtl/>
        </w:rPr>
        <w:t>, כי</w:t>
      </w:r>
      <w:r>
        <w:rPr>
          <w:rFonts w:ascii="David" w:hAnsi="David"/>
          <w:rtl/>
        </w:rPr>
        <w:t xml:space="preserve"> מדובר במתנה שקיבל הנאשם מלקוח</w:t>
      </w:r>
      <w:r>
        <w:rPr>
          <w:rFonts w:ascii="David" w:hAnsi="David" w:hint="cs"/>
          <w:rtl/>
        </w:rPr>
        <w:t>,</w:t>
      </w:r>
      <w:r>
        <w:rPr>
          <w:rFonts w:ascii="David" w:hAnsi="David"/>
          <w:rtl/>
        </w:rPr>
        <w:t xml:space="preserve"> </w:t>
      </w:r>
      <w:r>
        <w:rPr>
          <w:rFonts w:ascii="David" w:hAnsi="David" w:hint="cs"/>
          <w:rtl/>
        </w:rPr>
        <w:t xml:space="preserve">אותה </w:t>
      </w:r>
      <w:r w:rsidRPr="000B24A6">
        <w:rPr>
          <w:rFonts w:ascii="David" w:hAnsi="David" w:hint="cs"/>
          <w:rtl/>
        </w:rPr>
        <w:t>ה</w:t>
      </w:r>
      <w:r>
        <w:rPr>
          <w:rFonts w:ascii="David" w:hAnsi="David"/>
          <w:rtl/>
        </w:rPr>
        <w:t>חזיק</w:t>
      </w:r>
      <w:r w:rsidRPr="000B24A6">
        <w:rPr>
          <w:rFonts w:ascii="David" w:hAnsi="David"/>
          <w:rtl/>
        </w:rPr>
        <w:t xml:space="preserve"> </w:t>
      </w:r>
      <w:r w:rsidRPr="000B24A6">
        <w:rPr>
          <w:rFonts w:ascii="David" w:hAnsi="David" w:hint="cs"/>
          <w:rtl/>
        </w:rPr>
        <w:t xml:space="preserve">לצורך </w:t>
      </w:r>
      <w:r w:rsidRPr="000B24A6">
        <w:rPr>
          <w:rFonts w:ascii="David" w:hAnsi="David"/>
          <w:rtl/>
        </w:rPr>
        <w:t xml:space="preserve">קישוט ולא כאקדח שמסוגל לירות, מה גם שהאקדח לא היה תקין. בנוגע לרימון נטען, כי </w:t>
      </w:r>
      <w:r w:rsidRPr="000B24A6">
        <w:rPr>
          <w:rFonts w:ascii="David" w:hAnsi="David"/>
          <w:rtl/>
        </w:rPr>
        <w:lastRenderedPageBreak/>
        <w:t>הנאשם נטל אותו בהיסח-הדעת במהלך שירות מילואים</w:t>
      </w:r>
      <w:r w:rsidRPr="000B24A6">
        <w:rPr>
          <w:rFonts w:ascii="David" w:hAnsi="David" w:hint="cs"/>
          <w:rtl/>
        </w:rPr>
        <w:t xml:space="preserve"> פעיל</w:t>
      </w:r>
      <w:r w:rsidRPr="000B24A6">
        <w:rPr>
          <w:rFonts w:ascii="David" w:hAnsi="David"/>
          <w:rtl/>
        </w:rPr>
        <w:t xml:space="preserve">, במסגרת </w:t>
      </w:r>
      <w:r w:rsidRPr="000B24A6">
        <w:rPr>
          <w:rFonts w:ascii="David" w:hAnsi="David" w:hint="cs"/>
          <w:rtl/>
        </w:rPr>
        <w:t>שירותו ב</w:t>
      </w:r>
      <w:r w:rsidRPr="000B24A6">
        <w:rPr>
          <w:rFonts w:ascii="David" w:hAnsi="David"/>
          <w:rtl/>
        </w:rPr>
        <w:t>מג"ב, והתכוון להשיבו בשירות המילואים הבא.</w:t>
      </w:r>
    </w:p>
    <w:p w14:paraId="4464B8FA" w14:textId="77777777" w:rsidR="00AC2E28" w:rsidRDefault="00AC2E28" w:rsidP="00AC2E28">
      <w:pPr>
        <w:numPr>
          <w:ilvl w:val="0"/>
          <w:numId w:val="1"/>
        </w:numPr>
        <w:tabs>
          <w:tab w:val="num" w:pos="720"/>
        </w:tabs>
        <w:spacing w:after="120" w:line="360" w:lineRule="auto"/>
        <w:ind w:left="720"/>
        <w:jc w:val="both"/>
        <w:rPr>
          <w:rFonts w:ascii="David" w:hAnsi="David"/>
          <w:rtl/>
        </w:rPr>
      </w:pPr>
      <w:r>
        <w:rPr>
          <w:rFonts w:ascii="David" w:hAnsi="David"/>
          <w:rtl/>
        </w:rPr>
        <w:t xml:space="preserve">בהכרעת הדין נדחו טענות ההגנה – והכל כמפורט </w:t>
      </w:r>
      <w:r>
        <w:rPr>
          <w:rFonts w:ascii="David" w:hAnsi="David" w:hint="cs"/>
          <w:rtl/>
        </w:rPr>
        <w:t xml:space="preserve">בהרחבה </w:t>
      </w:r>
      <w:r>
        <w:rPr>
          <w:rFonts w:ascii="David" w:hAnsi="David"/>
          <w:rtl/>
        </w:rPr>
        <w:t xml:space="preserve">שם – ולפיכך הורשע הנאשם כאמור. עם זאת, גרסתו של הנאשם </w:t>
      </w:r>
      <w:r>
        <w:rPr>
          <w:rFonts w:ascii="David" w:hAnsi="David" w:hint="cs"/>
          <w:rtl/>
        </w:rPr>
        <w:t xml:space="preserve">שלפיה הוא </w:t>
      </w:r>
      <w:r>
        <w:rPr>
          <w:rFonts w:ascii="David" w:hAnsi="David"/>
          <w:rtl/>
        </w:rPr>
        <w:t>החזיק באקדח לשם נוי נתקבלה, בין השאר משום שהאקדח הוחזק ללא תחמושת. כפי שאוזכר בהכרעת הדין, משמעות הדבר היא – בהתאם להלכה הפסוקה – כי מדובר בעבירה של החזקת נשק המצויה כמעט ברף החומרה הנמוך ביותר (ר' ב</w:t>
      </w:r>
      <w:bookmarkStart w:id="10" w:name="Seif5"/>
      <w:r>
        <w:rPr>
          <w:rFonts w:ascii="David" w:hAnsi="David"/>
          <w:rtl/>
        </w:rPr>
        <w:t xml:space="preserve">פסקאות </w:t>
      </w:r>
      <w:bookmarkEnd w:id="10"/>
      <w:r>
        <w:rPr>
          <w:rFonts w:ascii="David" w:hAnsi="David"/>
          <w:rtl/>
        </w:rPr>
        <w:t xml:space="preserve">30-29 להכרעת הדין). עוד יש לציין, כי שני ברגי בית ההדקים שבאקדח היו משוחררים, באופן שהאקדח לא היה תקין, </w:t>
      </w:r>
      <w:r>
        <w:rPr>
          <w:rFonts w:ascii="David" w:hAnsi="David" w:hint="cs"/>
          <w:rtl/>
        </w:rPr>
        <w:t>הגם ש</w:t>
      </w:r>
      <w:r>
        <w:rPr>
          <w:rFonts w:ascii="David" w:hAnsi="David"/>
          <w:rtl/>
        </w:rPr>
        <w:t>בתיקון קל של הידוקם ירה האקדח בצורה תקינה (ר' ב</w:t>
      </w:r>
      <w:bookmarkStart w:id="11" w:name="Seif3"/>
      <w:r>
        <w:rPr>
          <w:rFonts w:ascii="David" w:hAnsi="David"/>
          <w:rtl/>
        </w:rPr>
        <w:t xml:space="preserve">פסקה </w:t>
      </w:r>
      <w:bookmarkEnd w:id="11"/>
      <w:r>
        <w:rPr>
          <w:rFonts w:ascii="David" w:hAnsi="David"/>
          <w:rtl/>
        </w:rPr>
        <w:t>26 להכרעת הדין).</w:t>
      </w:r>
    </w:p>
    <w:p w14:paraId="67192D61" w14:textId="77777777" w:rsidR="00AC2E28" w:rsidRDefault="00AC2E28" w:rsidP="00AC2E28">
      <w:pPr>
        <w:tabs>
          <w:tab w:val="num" w:pos="720"/>
        </w:tabs>
        <w:spacing w:after="120" w:line="360" w:lineRule="auto"/>
        <w:jc w:val="both"/>
        <w:rPr>
          <w:rFonts w:ascii="David" w:hAnsi="David"/>
        </w:rPr>
      </w:pPr>
    </w:p>
    <w:p w14:paraId="4BEEC4EB" w14:textId="77777777" w:rsidR="00AC2E28" w:rsidRDefault="00AC2E28" w:rsidP="00AC2E28">
      <w:pPr>
        <w:spacing w:after="120" w:line="360" w:lineRule="auto"/>
        <w:jc w:val="both"/>
        <w:rPr>
          <w:rFonts w:ascii="David" w:hAnsi="David"/>
          <w:b/>
          <w:bCs/>
          <w:u w:val="single"/>
          <w:rtl/>
        </w:rPr>
      </w:pPr>
      <w:r>
        <w:rPr>
          <w:rFonts w:ascii="David" w:hAnsi="David"/>
          <w:b/>
          <w:bCs/>
          <w:rtl/>
        </w:rPr>
        <w:t>ב.</w:t>
      </w:r>
      <w:r>
        <w:rPr>
          <w:rFonts w:ascii="David" w:hAnsi="David"/>
          <w:b/>
          <w:bCs/>
          <w:rtl/>
        </w:rPr>
        <w:tab/>
      </w:r>
      <w:r>
        <w:rPr>
          <w:rFonts w:ascii="David" w:hAnsi="David"/>
          <w:b/>
          <w:bCs/>
          <w:u w:val="single"/>
          <w:rtl/>
        </w:rPr>
        <w:t>תסקיר שירות מבחן:</w:t>
      </w:r>
    </w:p>
    <w:p w14:paraId="22054DAE"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ascii="David" w:hAnsi="David"/>
          <w:rtl/>
        </w:rPr>
        <w:t>בנסיבות העניין נעתרתי לבקשת ההגנה להורות על עריכת תסקיר שירות המבחן. התסקיר שנערך (מיום 31.10.19) מ</w:t>
      </w:r>
      <w:bookmarkStart w:id="12" w:name="Seif6"/>
      <w:r>
        <w:rPr>
          <w:rFonts w:ascii="David" w:hAnsi="David"/>
          <w:rtl/>
        </w:rPr>
        <w:t xml:space="preserve">פרט בהרחבה </w:t>
      </w:r>
      <w:bookmarkEnd w:id="12"/>
      <w:r>
        <w:rPr>
          <w:rFonts w:ascii="David" w:hAnsi="David"/>
          <w:rtl/>
        </w:rPr>
        <w:t>את נסיבותיו האישיות של הנאשם, יליד שנת 1987 (בן 32 שנים כיום), גרוש ואב לשתי בנות קטנות, המתגורר מאז גירושיו בבית סבתו שבתל</w:t>
      </w:r>
      <w:r>
        <w:rPr>
          <w:rFonts w:ascii="David" w:hAnsi="David" w:hint="cs"/>
          <w:rtl/>
        </w:rPr>
        <w:t>-</w:t>
      </w:r>
      <w:r>
        <w:rPr>
          <w:rFonts w:ascii="David" w:hAnsi="David"/>
          <w:rtl/>
        </w:rPr>
        <w:t>אביב. הנאשם שירת שירות מלא כלוחם במשמר הגבול, ממשיך לשרת בתפקידו ב</w:t>
      </w:r>
      <w:r>
        <w:rPr>
          <w:rFonts w:ascii="David" w:hAnsi="David" w:hint="cs"/>
          <w:rtl/>
        </w:rPr>
        <w:t xml:space="preserve">מסגרת </w:t>
      </w:r>
      <w:r>
        <w:rPr>
          <w:rFonts w:ascii="David" w:hAnsi="David"/>
          <w:rtl/>
        </w:rPr>
        <w:t>שירות המילואים וכיום מתפרנס כעצמאי, מסטודיו לקעקועים שבבעלותו.</w:t>
      </w:r>
    </w:p>
    <w:p w14:paraId="4081CBAD"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ascii="David" w:hAnsi="David"/>
          <w:rtl/>
        </w:rPr>
        <w:t>שירות המבחן התרשם כי הנאשם הוא גבר שניהל וממשיך לנהל אורח חיים נורמטיבי, שכיום – למרות שניהל הליך הוכחות – מבין את הסיכון שהיה כרוך בהתנהלותו ונוטל אחריות מלאה על מעשיו</w:t>
      </w:r>
      <w:r>
        <w:rPr>
          <w:rFonts w:ascii="David" w:hAnsi="David" w:hint="cs"/>
          <w:rtl/>
        </w:rPr>
        <w:t>, מבלי לנסות להצדיקם בנסיבות מקלות</w:t>
      </w:r>
      <w:r>
        <w:rPr>
          <w:rFonts w:ascii="David" w:hAnsi="David"/>
          <w:rtl/>
        </w:rPr>
        <w:t>. עוד התרשם שירות המבחן, כי הנאשם הפיק את הלקחים הנדרשים – לרקע ההליך המשפטי שהיה בעל ממד מרתיע ואף מעורר בושה מבחינתו – ולפיכך הוא אינו נמצא בסיכון לחזור ולהסתבך בביצוע עבירות.</w:t>
      </w:r>
    </w:p>
    <w:p w14:paraId="4E6F7FEB"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ascii="David" w:hAnsi="David"/>
          <w:rtl/>
        </w:rPr>
        <w:t>נוכח התרשמותו החיובית מהנאשם המליץ שירות המבחן לשקול את ביטול הרשעתו בדין, הגם שציין כי אף הנאשם עצמו לא טען לפגיעה תעסוקתית אפשרית עקב ההרשעה. בנוסף המליץ שירות המבחן על ענישה שתכלול 260 שעות שירות לתועלת הציבור</w:t>
      </w:r>
      <w:r>
        <w:rPr>
          <w:rFonts w:ascii="David" w:hAnsi="David" w:hint="cs"/>
          <w:rtl/>
        </w:rPr>
        <w:t xml:space="preserve"> (של"צ)</w:t>
      </w:r>
      <w:r>
        <w:rPr>
          <w:rFonts w:ascii="David" w:hAnsi="David"/>
          <w:rtl/>
        </w:rPr>
        <w:t>, תוך שציין כי הנאשם ביטא נכונות למכסת שעות גבוהה יותר.</w:t>
      </w:r>
    </w:p>
    <w:p w14:paraId="268B2C92" w14:textId="77777777" w:rsidR="00AC2E28" w:rsidRPr="0008220F" w:rsidRDefault="00AC2E28" w:rsidP="00AC2E28">
      <w:pPr>
        <w:spacing w:after="120" w:line="360" w:lineRule="auto"/>
        <w:jc w:val="both"/>
        <w:rPr>
          <w:rFonts w:ascii="David" w:hAnsi="David"/>
        </w:rPr>
      </w:pPr>
    </w:p>
    <w:p w14:paraId="44399A7B" w14:textId="77777777" w:rsidR="00AC2E28" w:rsidRDefault="00AC2E28" w:rsidP="00AC2E28">
      <w:pPr>
        <w:spacing w:after="120" w:line="360" w:lineRule="auto"/>
        <w:jc w:val="both"/>
        <w:rPr>
          <w:rFonts w:ascii="David" w:hAnsi="David"/>
          <w:b/>
          <w:bCs/>
          <w:u w:val="single"/>
          <w:rtl/>
        </w:rPr>
      </w:pPr>
      <w:r>
        <w:rPr>
          <w:rFonts w:ascii="David" w:hAnsi="David"/>
          <w:b/>
          <w:bCs/>
          <w:rtl/>
        </w:rPr>
        <w:t>ג.</w:t>
      </w:r>
      <w:r>
        <w:rPr>
          <w:rFonts w:ascii="David" w:hAnsi="David"/>
          <w:b/>
          <w:bCs/>
          <w:rtl/>
        </w:rPr>
        <w:tab/>
      </w:r>
      <w:r>
        <w:rPr>
          <w:rFonts w:ascii="David" w:hAnsi="David"/>
          <w:b/>
          <w:bCs/>
          <w:u w:val="single"/>
          <w:rtl/>
        </w:rPr>
        <w:t>הראיות לקביעת העונש ותמצית טיעוני ב"כ הצדדים:</w:t>
      </w:r>
    </w:p>
    <w:p w14:paraId="70E8386C"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ascii="David" w:hAnsi="David"/>
          <w:rtl/>
        </w:rPr>
        <w:t>שני הצדדים לא הגישו ראיות לקביעת העונש. בטיעוניו לעונש עמד ב"כ המאשימה על חומרתה הרבה של העבירה בה הורשע הנאשם, שביצועה פוגע בערכים החברתיים של הגנה על שלום הציבור וביטחונו והגנה על הסדר הציבורי מפני שימוש בכלי נשק.</w:t>
      </w:r>
    </w:p>
    <w:p w14:paraId="17C97BFA"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ascii="David" w:hAnsi="David"/>
          <w:rtl/>
        </w:rPr>
        <w:t xml:space="preserve">לשיטת ב"כ המאשימה, על אף שבית המשפט קיבל את טענת הנאשם שלפיה הוא החזיק באקדח לשם נוי, אין בכך כדי לאיין את הפגיעה בערכים החברתיים המוגנים, בין השאר בשל היעדר הפיקוח על כלי נשק המוחזקים שלא כדין. ב"כ המאשימה הזכיר, בהקשר </w:t>
      </w:r>
      <w:r>
        <w:rPr>
          <w:rFonts w:ascii="David" w:hAnsi="David"/>
          <w:rtl/>
        </w:rPr>
        <w:lastRenderedPageBreak/>
        <w:t xml:space="preserve">זה, כי הנאשם החזיק גם ברימון הלם פעיל, </w:t>
      </w:r>
      <w:r>
        <w:rPr>
          <w:rFonts w:ascii="David" w:hAnsi="David" w:hint="cs"/>
          <w:rtl/>
        </w:rPr>
        <w:t xml:space="preserve">וזאת על אף </w:t>
      </w:r>
      <w:r>
        <w:rPr>
          <w:rFonts w:ascii="David" w:hAnsi="David"/>
          <w:rtl/>
        </w:rPr>
        <w:t>שהוא משרת במג"ב בשירות מילואים פעיל ו</w:t>
      </w:r>
      <w:r>
        <w:rPr>
          <w:rFonts w:ascii="David" w:hAnsi="David" w:hint="cs"/>
          <w:rtl/>
        </w:rPr>
        <w:t xml:space="preserve">לפיכך </w:t>
      </w:r>
      <w:r>
        <w:rPr>
          <w:rFonts w:ascii="David" w:hAnsi="David"/>
          <w:rtl/>
        </w:rPr>
        <w:t>מודע היטב לסיכונים הטמונים בנשק.</w:t>
      </w:r>
    </w:p>
    <w:p w14:paraId="27A5D94C"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ascii="David" w:hAnsi="David"/>
          <w:rtl/>
        </w:rPr>
        <w:t>בנסיבות אלה ותוך הפנייה לפסיקה מחמירה עתר ב"כ המאשימה לקביעת מתחם עונש הולם שבין 8 חודשי מאסר בפועל (שניתן לשאתם בדרך של עבודות שירות) לבין 18 חודשי מאסר בפועל. ב"כ המאשימה הדגיש, בהמשך לטיעו</w:t>
      </w:r>
      <w:r>
        <w:rPr>
          <w:rFonts w:ascii="David" w:hAnsi="David" w:hint="cs"/>
          <w:rtl/>
        </w:rPr>
        <w:t>נו</w:t>
      </w:r>
      <w:r>
        <w:rPr>
          <w:rFonts w:ascii="David" w:hAnsi="David"/>
          <w:rtl/>
        </w:rPr>
        <w:t xml:space="preserve"> זה, כי לא מתקיימות במקרה </w:t>
      </w:r>
      <w:r>
        <w:rPr>
          <w:rFonts w:ascii="David" w:hAnsi="David" w:hint="cs"/>
          <w:rtl/>
        </w:rPr>
        <w:t>דנא</w:t>
      </w:r>
      <w:r>
        <w:rPr>
          <w:rFonts w:ascii="David" w:hAnsi="David"/>
          <w:rtl/>
        </w:rPr>
        <w:t xml:space="preserve"> הנסיבות העשויות להצדיק את ביטול הרשעת הנאשם בדין ו</w:t>
      </w:r>
      <w:r>
        <w:rPr>
          <w:rFonts w:ascii="David" w:hAnsi="David" w:hint="cs"/>
          <w:rtl/>
        </w:rPr>
        <w:t xml:space="preserve">לפיכך </w:t>
      </w:r>
      <w:r>
        <w:rPr>
          <w:rFonts w:ascii="David" w:hAnsi="David"/>
          <w:rtl/>
        </w:rPr>
        <w:t>עתר להותרת ההרשעה על כנה, במיוחד נוכח משך ההחזקה והעובדה שמדובר גם באקדח וגם ברימון.</w:t>
      </w:r>
    </w:p>
    <w:p w14:paraId="208E0A49"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ascii="David" w:hAnsi="David"/>
          <w:rtl/>
        </w:rPr>
        <w:t>אשר למיקום הנאשם בתוך מתחם העונש ההולם ציין ב"כ המאשימה</w:t>
      </w:r>
      <w:r>
        <w:rPr>
          <w:rFonts w:ascii="David" w:hAnsi="David" w:hint="cs"/>
          <w:rtl/>
        </w:rPr>
        <w:t>,</w:t>
      </w:r>
      <w:r>
        <w:rPr>
          <w:rFonts w:ascii="David" w:hAnsi="David"/>
          <w:rtl/>
        </w:rPr>
        <w:t xml:space="preserve"> </w:t>
      </w:r>
      <w:r>
        <w:rPr>
          <w:rFonts w:ascii="David" w:hAnsi="David" w:hint="cs"/>
          <w:rtl/>
        </w:rPr>
        <w:t xml:space="preserve">בהגינותו, </w:t>
      </w:r>
      <w:r>
        <w:rPr>
          <w:rFonts w:ascii="David" w:hAnsi="David"/>
          <w:rtl/>
        </w:rPr>
        <w:t xml:space="preserve">כי נסיבות הקולה – היעדר עבר פלילי והתרשמותו החיובית של שירות המבחן – ממקמות את הנאשם בתוך מתחם העונש ההולם אך ברף הנמוך שלו. </w:t>
      </w:r>
    </w:p>
    <w:p w14:paraId="042D458D"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ascii="David" w:hAnsi="David"/>
          <w:rtl/>
        </w:rPr>
        <w:t>ב"כ הנאשם, מצדו, עתר לאימוץ המלצות שירות המבחן, דהיינו: ביטול הרשעת הנאשם בדין והסתפקות בענישה של של"צ. ב"כ הנאשם הדגיש את הנורמטיביות של מרשו, "מלח הארץ" כדבריו, אשר משרת את המדינה בנאמנות, בשירות מילואים, ועובד לפרנסתו ולפרנסת בנותיו. בהקשר זה הזכיר ב"כ הנאשם, בין השאר, את הדברים החיוביים שאמרה החוקרת בתיק (בפרוטוקול, עמ' 42 שורה 1</w:t>
      </w:r>
      <w:r>
        <w:rPr>
          <w:rFonts w:ascii="David" w:hAnsi="David" w:hint="cs"/>
          <w:rtl/>
        </w:rPr>
        <w:t>7</w:t>
      </w:r>
      <w:r>
        <w:rPr>
          <w:rFonts w:ascii="David" w:hAnsi="David"/>
          <w:rtl/>
        </w:rPr>
        <w:t xml:space="preserve"> ואילך).</w:t>
      </w:r>
    </w:p>
    <w:p w14:paraId="57D1DA15"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ascii="David" w:hAnsi="David"/>
          <w:rtl/>
        </w:rPr>
        <w:t xml:space="preserve">עוד עמד ב"כ הנאשם על הנסיבות המקלות של החזקת האקדח, שנמצא במצב בלתי תקין לירי וללא תחמושת, ובנסיבות אלה </w:t>
      </w:r>
      <w:r>
        <w:rPr>
          <w:rFonts w:ascii="David" w:hAnsi="David" w:hint="cs"/>
          <w:rtl/>
        </w:rPr>
        <w:t xml:space="preserve">טען כי </w:t>
      </w:r>
      <w:r>
        <w:rPr>
          <w:rFonts w:ascii="David" w:hAnsi="David"/>
          <w:rtl/>
        </w:rPr>
        <w:t>לא נשקף כל סיכון</w:t>
      </w:r>
      <w:r>
        <w:rPr>
          <w:rFonts w:ascii="David" w:hAnsi="David" w:hint="cs"/>
          <w:rtl/>
        </w:rPr>
        <w:t xml:space="preserve"> מהחזקתו</w:t>
      </w:r>
      <w:r>
        <w:rPr>
          <w:rFonts w:ascii="David" w:hAnsi="David"/>
          <w:rtl/>
        </w:rPr>
        <w:t xml:space="preserve">. לשיטתו, גם מהחזקת הרימון לא נשקף סיכון, שכן הנאשם התכוון להשיבו לרשות הצבא בשירות המילואים הבא. </w:t>
      </w:r>
      <w:r>
        <w:rPr>
          <w:rFonts w:ascii="David" w:hAnsi="David" w:hint="cs"/>
          <w:rtl/>
        </w:rPr>
        <w:t>לפיכך</w:t>
      </w:r>
      <w:r>
        <w:rPr>
          <w:rFonts w:ascii="David" w:hAnsi="David"/>
          <w:rtl/>
        </w:rPr>
        <w:t xml:space="preserve">, כך לטענת הסניגור, הפסיקה המחמירה אליה הפנה ב"כ המאשימה אינה רלוואנטית לעניינו של הנאשם, שאין מקום להשית עליו עונש </w:t>
      </w:r>
      <w:r>
        <w:rPr>
          <w:rFonts w:ascii="David" w:hAnsi="David" w:hint="cs"/>
          <w:rtl/>
        </w:rPr>
        <w:t>ה</w:t>
      </w:r>
      <w:r>
        <w:rPr>
          <w:rFonts w:ascii="David" w:hAnsi="David"/>
          <w:rtl/>
        </w:rPr>
        <w:t>חמור מ</w:t>
      </w:r>
      <w:r>
        <w:rPr>
          <w:rFonts w:ascii="David" w:hAnsi="David" w:hint="cs"/>
          <w:rtl/>
        </w:rPr>
        <w:t xml:space="preserve">עונש של </w:t>
      </w:r>
      <w:r>
        <w:rPr>
          <w:rFonts w:ascii="David" w:hAnsi="David"/>
          <w:rtl/>
        </w:rPr>
        <w:t xml:space="preserve">של"צ. על רקע זה </w:t>
      </w:r>
      <w:r>
        <w:rPr>
          <w:rFonts w:ascii="David" w:hAnsi="David" w:hint="cs"/>
          <w:rtl/>
        </w:rPr>
        <w:t xml:space="preserve">חזר </w:t>
      </w:r>
      <w:r>
        <w:rPr>
          <w:rFonts w:ascii="David" w:hAnsi="David"/>
          <w:rtl/>
        </w:rPr>
        <w:t xml:space="preserve">ב"כ הנאשם </w:t>
      </w:r>
      <w:r>
        <w:rPr>
          <w:rFonts w:ascii="David" w:hAnsi="David" w:hint="cs"/>
          <w:rtl/>
        </w:rPr>
        <w:t xml:space="preserve">ועתר </w:t>
      </w:r>
      <w:r>
        <w:rPr>
          <w:rFonts w:ascii="David" w:hAnsi="David"/>
          <w:rtl/>
        </w:rPr>
        <w:t>לאימוץ המלצות שירות המבחן ולחילופין – ככל שבית המשפט לא יאמץ את ההמלצה לביטול ההרשעה – להסתפק</w:t>
      </w:r>
      <w:r>
        <w:rPr>
          <w:rFonts w:ascii="David" w:hAnsi="David" w:hint="cs"/>
          <w:rtl/>
        </w:rPr>
        <w:t>ות</w:t>
      </w:r>
      <w:r>
        <w:rPr>
          <w:rFonts w:ascii="David" w:hAnsi="David"/>
          <w:rtl/>
        </w:rPr>
        <w:t xml:space="preserve"> בענישה של של"צ.</w:t>
      </w:r>
    </w:p>
    <w:p w14:paraId="28A849BF" w14:textId="77777777" w:rsidR="00AC2E28" w:rsidRDefault="00AC2E28" w:rsidP="00AC2E28">
      <w:pPr>
        <w:spacing w:after="120" w:line="360" w:lineRule="auto"/>
        <w:jc w:val="both"/>
        <w:rPr>
          <w:rFonts w:ascii="David" w:hAnsi="David"/>
        </w:rPr>
      </w:pPr>
    </w:p>
    <w:p w14:paraId="5B21F05D" w14:textId="77777777" w:rsidR="00AC2E28" w:rsidRDefault="00AC2E28" w:rsidP="00AC2E28">
      <w:pPr>
        <w:spacing w:after="120" w:line="360" w:lineRule="auto"/>
        <w:jc w:val="both"/>
        <w:rPr>
          <w:rFonts w:ascii="David" w:hAnsi="David"/>
          <w:b/>
          <w:bCs/>
          <w:rtl/>
        </w:rPr>
      </w:pPr>
      <w:r>
        <w:rPr>
          <w:rFonts w:ascii="David" w:hAnsi="David"/>
          <w:b/>
          <w:bCs/>
          <w:rtl/>
        </w:rPr>
        <w:t>ד.</w:t>
      </w:r>
      <w:r>
        <w:rPr>
          <w:rFonts w:ascii="David" w:hAnsi="David"/>
          <w:b/>
          <w:bCs/>
          <w:rtl/>
        </w:rPr>
        <w:tab/>
      </w:r>
      <w:r>
        <w:rPr>
          <w:rFonts w:ascii="David" w:hAnsi="David"/>
          <w:b/>
          <w:bCs/>
          <w:u w:val="single"/>
          <w:rtl/>
        </w:rPr>
        <w:t>סוגיית ההרשעה:</w:t>
      </w:r>
    </w:p>
    <w:p w14:paraId="400F00AB" w14:textId="77777777" w:rsidR="00AC2E28" w:rsidRDefault="00AC2E28" w:rsidP="00AC2E28">
      <w:pPr>
        <w:numPr>
          <w:ilvl w:val="0"/>
          <w:numId w:val="1"/>
        </w:numPr>
        <w:tabs>
          <w:tab w:val="num" w:pos="720"/>
        </w:tabs>
        <w:spacing w:after="120" w:line="360" w:lineRule="auto"/>
        <w:ind w:left="720"/>
        <w:jc w:val="both"/>
        <w:rPr>
          <w:rFonts w:ascii="David" w:hAnsi="David"/>
        </w:rPr>
      </w:pPr>
      <w:bookmarkStart w:id="13" w:name="Seif7"/>
      <w:r>
        <w:rPr>
          <w:rFonts w:ascii="David" w:hAnsi="David"/>
          <w:rtl/>
        </w:rPr>
        <w:t xml:space="preserve">כלל הדין </w:t>
      </w:r>
      <w:bookmarkEnd w:id="13"/>
      <w:r>
        <w:rPr>
          <w:rFonts w:ascii="David" w:hAnsi="David"/>
          <w:rtl/>
        </w:rPr>
        <w:t>הוא, כי משהוכחו בבית המשפט עובדות המגבשות עבירה פלילית על בית המשפט להרשיע את הנאשם בעבירה הרלוואנטית. האפשרות לנקוט בדרך של הימנעות מהרשעה בדין היא אפשרות חריגה, השמורה למקרים מיוחדים ויוצאי דופן בהם מתקיימים שני התנאים המצטברים אשר נקבעו ב</w:t>
      </w:r>
      <w:hyperlink r:id="rId10" w:history="1">
        <w:r w:rsidR="007C605F" w:rsidRPr="007C605F">
          <w:rPr>
            <w:rFonts w:ascii="David" w:hAnsi="David"/>
            <w:color w:val="0000FF"/>
            <w:u w:val="single"/>
            <w:rtl/>
          </w:rPr>
          <w:t>ע"פ 2083/96 כתב נ' מדינת ישראל, פ"ד נב</w:t>
        </w:r>
      </w:hyperlink>
      <w:r>
        <w:rPr>
          <w:rFonts w:ascii="David" w:hAnsi="David"/>
          <w:rtl/>
        </w:rPr>
        <w:t xml:space="preserve"> (3) 337 (1997) (להלן – הלכת </w:t>
      </w:r>
      <w:r>
        <w:rPr>
          <w:rFonts w:ascii="David" w:hAnsi="David"/>
          <w:b/>
          <w:bCs/>
          <w:rtl/>
        </w:rPr>
        <w:t>כתב</w:t>
      </w:r>
      <w:r>
        <w:rPr>
          <w:rFonts w:ascii="David" w:hAnsi="David"/>
          <w:rtl/>
        </w:rPr>
        <w:t xml:space="preserve">), דהיינו: </w:t>
      </w:r>
      <w:r>
        <w:rPr>
          <w:rFonts w:ascii="David" w:hAnsi="David"/>
          <w:b/>
          <w:bCs/>
          <w:rtl/>
        </w:rPr>
        <w:t>ראשית</w:t>
      </w:r>
      <w:r>
        <w:rPr>
          <w:rFonts w:ascii="David" w:hAnsi="David"/>
          <w:rtl/>
        </w:rPr>
        <w:t xml:space="preserve">, על ההרשעה לפגוע פגיעה חמורה בשיקום הנאשם. </w:t>
      </w:r>
      <w:r>
        <w:rPr>
          <w:rFonts w:ascii="David" w:hAnsi="David"/>
          <w:b/>
          <w:bCs/>
          <w:rtl/>
        </w:rPr>
        <w:t>שנית</w:t>
      </w:r>
      <w:r>
        <w:rPr>
          <w:rFonts w:ascii="David" w:hAnsi="David"/>
          <w:rtl/>
        </w:rPr>
        <w:t xml:space="preserve">, סוג העבירה מאפשר לוותר, בנסיבות המקרה המסוים, על ההרשעה מבלי לפגוע באופן מהותי בשיקולי הענישה האחרים (שם, בעמ' 342). יוטעם, כי הלכת </w:t>
      </w:r>
      <w:r>
        <w:rPr>
          <w:rFonts w:ascii="David" w:hAnsi="David"/>
          <w:b/>
          <w:bCs/>
          <w:rtl/>
        </w:rPr>
        <w:t>כתב</w:t>
      </w:r>
      <w:r>
        <w:rPr>
          <w:rFonts w:ascii="David" w:hAnsi="David"/>
          <w:rtl/>
        </w:rPr>
        <w:t xml:space="preserve"> היא הלכה פסוקה מושרשת, שרק לאחרונה שב בית המשפט העליון וחזר עליה (ר' </w:t>
      </w:r>
      <w:hyperlink r:id="rId11" w:history="1">
        <w:r w:rsidR="007C605F" w:rsidRPr="007C605F">
          <w:rPr>
            <w:rFonts w:ascii="David" w:hAnsi="David"/>
            <w:color w:val="0000FF"/>
            <w:u w:val="single"/>
            <w:rtl/>
          </w:rPr>
          <w:t>רע"פ 2403/19</w:t>
        </w:r>
      </w:hyperlink>
      <w:r>
        <w:rPr>
          <w:rFonts w:ascii="David" w:hAnsi="David"/>
          <w:rtl/>
        </w:rPr>
        <w:t xml:space="preserve"> </w:t>
      </w:r>
      <w:r>
        <w:rPr>
          <w:rFonts w:ascii="David" w:hAnsi="David"/>
          <w:b/>
          <w:bCs/>
          <w:rtl/>
        </w:rPr>
        <w:t>פלוני נ' מדינת ישראל</w:t>
      </w:r>
      <w:r>
        <w:rPr>
          <w:rFonts w:ascii="David" w:hAnsi="David"/>
          <w:rtl/>
        </w:rPr>
        <w:t xml:space="preserve"> (07.04.19)).</w:t>
      </w:r>
    </w:p>
    <w:p w14:paraId="1A9974A5"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ascii="David" w:hAnsi="David"/>
          <w:rtl/>
        </w:rPr>
        <w:t xml:space="preserve">במקרה דנא, על פני הדברים התנאי הראשון לביטול הרשעה </w:t>
      </w:r>
      <w:r>
        <w:rPr>
          <w:rFonts w:ascii="David" w:hAnsi="David" w:hint="cs"/>
          <w:rtl/>
        </w:rPr>
        <w:t>(</w:t>
      </w:r>
      <w:r>
        <w:rPr>
          <w:rFonts w:ascii="David" w:hAnsi="David"/>
          <w:rtl/>
        </w:rPr>
        <w:t xml:space="preserve">שנקבע בהלכת </w:t>
      </w:r>
      <w:r>
        <w:rPr>
          <w:rFonts w:ascii="David" w:hAnsi="David"/>
          <w:b/>
          <w:bCs/>
          <w:rtl/>
        </w:rPr>
        <w:t>כתב</w:t>
      </w:r>
      <w:r>
        <w:rPr>
          <w:rFonts w:ascii="David" w:hAnsi="David" w:hint="cs"/>
          <w:rtl/>
        </w:rPr>
        <w:t>)</w:t>
      </w:r>
      <w:r>
        <w:rPr>
          <w:rFonts w:ascii="David" w:hAnsi="David"/>
          <w:rtl/>
        </w:rPr>
        <w:t xml:space="preserve"> אינו מתקיים, שהרי אף הנאשם עצמו לא טען לפגיעה קונקרטית-תעסוקתית </w:t>
      </w:r>
      <w:r>
        <w:rPr>
          <w:rFonts w:ascii="David" w:hAnsi="David" w:hint="cs"/>
          <w:rtl/>
        </w:rPr>
        <w:t xml:space="preserve">כלשהי </w:t>
      </w:r>
      <w:r>
        <w:rPr>
          <w:rFonts w:ascii="David" w:hAnsi="David"/>
          <w:rtl/>
        </w:rPr>
        <w:t xml:space="preserve">כתוצאה מההרשעה. בנוסף, נראה </w:t>
      </w:r>
      <w:r>
        <w:rPr>
          <w:rFonts w:ascii="David" w:hAnsi="David" w:hint="cs"/>
          <w:rtl/>
        </w:rPr>
        <w:t xml:space="preserve">לכאורה </w:t>
      </w:r>
      <w:r>
        <w:rPr>
          <w:rFonts w:ascii="David" w:hAnsi="David"/>
          <w:rtl/>
        </w:rPr>
        <w:t xml:space="preserve">כי אף התנאי השני אינו מתקיים. אכן, לכף קולה יש לציין כי האקדח הוחזק על-ידי הנאשם לצרכי נוי, ללא תחמושת, ואילו הרימון </w:t>
      </w:r>
      <w:r>
        <w:rPr>
          <w:rFonts w:ascii="David" w:hAnsi="David" w:hint="cs"/>
          <w:rtl/>
        </w:rPr>
        <w:t>המדובר</w:t>
      </w:r>
      <w:r>
        <w:rPr>
          <w:rFonts w:ascii="David" w:hAnsi="David"/>
          <w:rtl/>
        </w:rPr>
        <w:t xml:space="preserve"> </w:t>
      </w:r>
      <w:r>
        <w:rPr>
          <w:rFonts w:ascii="David" w:hAnsi="David" w:hint="cs"/>
          <w:rtl/>
        </w:rPr>
        <w:t xml:space="preserve">הוא </w:t>
      </w:r>
      <w:r>
        <w:rPr>
          <w:rFonts w:ascii="David" w:hAnsi="David"/>
          <w:rtl/>
        </w:rPr>
        <w:t xml:space="preserve">רימון הלם (להבדיל מרימון רסס), כאשר טענת הנאשם שלפיה </w:t>
      </w:r>
      <w:r>
        <w:rPr>
          <w:rFonts w:ascii="David" w:hAnsi="David" w:hint="cs"/>
          <w:rtl/>
        </w:rPr>
        <w:t xml:space="preserve">הוא </w:t>
      </w:r>
      <w:r>
        <w:rPr>
          <w:rFonts w:ascii="David" w:hAnsi="David"/>
          <w:rtl/>
        </w:rPr>
        <w:t xml:space="preserve">התכוון להשיבו לצבא לא נסתרה. עם זאת, </w:t>
      </w:r>
      <w:r>
        <w:rPr>
          <w:rFonts w:ascii="David" w:hAnsi="David" w:hint="cs"/>
          <w:rtl/>
        </w:rPr>
        <w:t xml:space="preserve">בעיקר </w:t>
      </w:r>
      <w:r>
        <w:rPr>
          <w:rFonts w:ascii="David" w:hAnsi="David"/>
          <w:rtl/>
        </w:rPr>
        <w:t>נוכח העובדה שמדובר בהחזקת שני כלי נשק</w:t>
      </w:r>
      <w:r>
        <w:rPr>
          <w:rFonts w:ascii="David" w:hAnsi="David" w:hint="cs"/>
          <w:rtl/>
        </w:rPr>
        <w:t xml:space="preserve"> ברכב</w:t>
      </w:r>
      <w:r>
        <w:rPr>
          <w:rFonts w:ascii="David" w:hAnsi="David"/>
          <w:rtl/>
        </w:rPr>
        <w:t xml:space="preserve">, </w:t>
      </w:r>
      <w:r>
        <w:rPr>
          <w:rFonts w:ascii="David" w:hAnsi="David" w:hint="cs"/>
          <w:rtl/>
        </w:rPr>
        <w:t xml:space="preserve">נראה כי </w:t>
      </w:r>
      <w:r>
        <w:rPr>
          <w:rFonts w:ascii="David" w:hAnsi="David"/>
          <w:rtl/>
        </w:rPr>
        <w:t xml:space="preserve">נסיבות המקרה </w:t>
      </w:r>
      <w:r>
        <w:rPr>
          <w:rFonts w:ascii="David" w:hAnsi="David" w:hint="cs"/>
          <w:rtl/>
        </w:rPr>
        <w:t xml:space="preserve">הספציפיות </w:t>
      </w:r>
      <w:r>
        <w:rPr>
          <w:rFonts w:ascii="David" w:hAnsi="David"/>
          <w:rtl/>
        </w:rPr>
        <w:t>אינן מאפשרות לוותר על ההרשעה. המסקנה המתבקשת היא, אם כן, כי יש להותיר את הרשעת הנאשם בדין על כנה.</w:t>
      </w:r>
    </w:p>
    <w:p w14:paraId="0C1C8D3A" w14:textId="77777777" w:rsidR="00AC2E28" w:rsidRDefault="00AC2E28" w:rsidP="00AC2E28">
      <w:pPr>
        <w:spacing w:after="120" w:line="360" w:lineRule="auto"/>
        <w:jc w:val="both"/>
        <w:rPr>
          <w:rFonts w:ascii="David" w:hAnsi="David"/>
        </w:rPr>
      </w:pPr>
    </w:p>
    <w:p w14:paraId="3E628EC9" w14:textId="77777777" w:rsidR="00AC2E28" w:rsidRDefault="00AC2E28" w:rsidP="00AC2E28">
      <w:pPr>
        <w:snapToGrid w:val="0"/>
        <w:spacing w:after="120" w:line="360" w:lineRule="auto"/>
        <w:jc w:val="both"/>
        <w:rPr>
          <w:rFonts w:ascii="David" w:hAnsi="David"/>
          <w:b/>
          <w:bCs/>
          <w:u w:val="single"/>
        </w:rPr>
      </w:pPr>
      <w:r>
        <w:rPr>
          <w:rFonts w:ascii="David" w:hAnsi="David" w:hint="cs"/>
          <w:b/>
          <w:bCs/>
          <w:rtl/>
        </w:rPr>
        <w:t>ה</w:t>
      </w:r>
      <w:r>
        <w:rPr>
          <w:rFonts w:ascii="David" w:hAnsi="David"/>
          <w:b/>
          <w:bCs/>
          <w:rtl/>
        </w:rPr>
        <w:t>.</w:t>
      </w:r>
      <w:r>
        <w:rPr>
          <w:rFonts w:ascii="David" w:hAnsi="David"/>
          <w:b/>
          <w:bCs/>
          <w:rtl/>
        </w:rPr>
        <w:tab/>
      </w:r>
      <w:r>
        <w:rPr>
          <w:rFonts w:ascii="David" w:hAnsi="David"/>
          <w:b/>
          <w:bCs/>
          <w:u w:val="single"/>
          <w:rtl/>
        </w:rPr>
        <w:t>קביעת מתחם העונש ההולם:</w:t>
      </w:r>
    </w:p>
    <w:p w14:paraId="660C8F02"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ascii="David" w:hAnsi="David"/>
          <w:rtl/>
        </w:rPr>
        <w:t>בעת גזירת עונשו של נאשם על בית המשפט לקבוע, תחילה, את מתחם העונש ההולם לאירוע שבגינו הורשע הנאשם, וזאת בהתאם לעיקרון ההלימה. בית המשפט יתחשב, בהקשר זה, בערכים החברתיים שנפגעו מביצוע העבירות ובמידת הפגיעה בהם, במדיניות הענישה הנהוגה ובנסיבות הקשורות בביצוע העביר</w:t>
      </w:r>
      <w:r>
        <w:rPr>
          <w:rFonts w:ascii="David" w:hAnsi="David" w:hint="cs"/>
          <w:rtl/>
        </w:rPr>
        <w:t>ה</w:t>
      </w:r>
      <w:r>
        <w:rPr>
          <w:rFonts w:ascii="David" w:hAnsi="David"/>
          <w:rtl/>
        </w:rPr>
        <w:t>.</w:t>
      </w:r>
    </w:p>
    <w:p w14:paraId="0AD71F57" w14:textId="77777777" w:rsidR="00AC2E28" w:rsidRDefault="00AC2E28" w:rsidP="00AC2E28">
      <w:pPr>
        <w:numPr>
          <w:ilvl w:val="0"/>
          <w:numId w:val="1"/>
        </w:numPr>
        <w:tabs>
          <w:tab w:val="num" w:pos="720"/>
        </w:tabs>
        <w:spacing w:after="120" w:line="360" w:lineRule="auto"/>
        <w:ind w:left="720"/>
        <w:jc w:val="both"/>
        <w:rPr>
          <w:rFonts w:ascii="David" w:hAnsi="David"/>
        </w:rPr>
      </w:pPr>
      <w:r w:rsidRPr="00EB2D7C">
        <w:rPr>
          <w:rFonts w:ascii="David" w:hAnsi="David"/>
          <w:rtl/>
        </w:rPr>
        <w:t>באשר לערכים החברת</w:t>
      </w:r>
      <w:r>
        <w:rPr>
          <w:rFonts w:ascii="David" w:hAnsi="David"/>
          <w:rtl/>
        </w:rPr>
        <w:t>יים</w:t>
      </w:r>
      <w:r>
        <w:rPr>
          <w:rFonts w:ascii="David" w:hAnsi="David" w:hint="cs"/>
          <w:rtl/>
        </w:rPr>
        <w:t>,</w:t>
      </w:r>
      <w:r>
        <w:rPr>
          <w:rFonts w:ascii="David" w:hAnsi="David"/>
          <w:rtl/>
        </w:rPr>
        <w:t xml:space="preserve"> שנפגעו כתולדה מביצוע העביר</w:t>
      </w:r>
      <w:r>
        <w:rPr>
          <w:rFonts w:ascii="David" w:hAnsi="David" w:hint="cs"/>
          <w:rtl/>
        </w:rPr>
        <w:t>ה,</w:t>
      </w:r>
      <w:r w:rsidRPr="00EB2D7C">
        <w:rPr>
          <w:rFonts w:ascii="David" w:hAnsi="David"/>
          <w:rtl/>
        </w:rPr>
        <w:t xml:space="preserve"> מקובל עליי טיעון ב"כ המאשימה</w:t>
      </w:r>
      <w:r>
        <w:rPr>
          <w:rFonts w:ascii="David" w:hAnsi="David" w:hint="cs"/>
          <w:rtl/>
        </w:rPr>
        <w:t xml:space="preserve"> במלואו</w:t>
      </w:r>
      <w:r w:rsidRPr="00EB2D7C">
        <w:rPr>
          <w:rFonts w:ascii="David" w:hAnsi="David"/>
          <w:rtl/>
        </w:rPr>
        <w:t>.</w:t>
      </w:r>
      <w:r>
        <w:rPr>
          <w:rFonts w:ascii="David" w:hAnsi="David" w:hint="cs"/>
          <w:rtl/>
        </w:rPr>
        <w:t xml:space="preserve"> עם זאת, יש לשים כי העבירה דנא </w:t>
      </w:r>
      <w:r>
        <w:rPr>
          <w:rFonts w:ascii="David" w:hAnsi="David"/>
          <w:rtl/>
        </w:rPr>
        <w:t>–</w:t>
      </w:r>
      <w:r>
        <w:rPr>
          <w:rFonts w:ascii="David" w:hAnsi="David" w:hint="cs"/>
          <w:rtl/>
        </w:rPr>
        <w:t xml:space="preserve"> דהיינו: העבירה של החזקת נשק שלא כדין </w:t>
      </w:r>
      <w:r>
        <w:rPr>
          <w:rFonts w:ascii="David" w:hAnsi="David"/>
          <w:rtl/>
        </w:rPr>
        <w:t>–</w:t>
      </w:r>
      <w:r>
        <w:rPr>
          <w:rFonts w:ascii="David" w:hAnsi="David" w:hint="cs"/>
          <w:rtl/>
        </w:rPr>
        <w:t xml:space="preserve"> היא עבירה שמעצם טיבה וטבעה חובקת בחובה מגוון רחב של מצבי-חומרה שונים, שביניהם קיימים הבדלים ניכרים; והכל כפי שנקבע עוד ב</w:t>
      </w:r>
      <w:hyperlink r:id="rId12" w:history="1">
        <w:r w:rsidR="007C605F" w:rsidRPr="007C605F">
          <w:rPr>
            <w:rFonts w:ascii="David" w:hAnsi="David"/>
            <w:color w:val="0000FF"/>
            <w:u w:val="single"/>
            <w:rtl/>
          </w:rPr>
          <w:t>ב"ש 625/82 מחמוד נ' מדינת ישראל, פ"ד לז</w:t>
        </w:r>
      </w:hyperlink>
      <w:r>
        <w:rPr>
          <w:rFonts w:ascii="David" w:hAnsi="David"/>
          <w:rtl/>
        </w:rPr>
        <w:t xml:space="preserve"> (3) 668, 671 (1982).</w:t>
      </w:r>
    </w:p>
    <w:p w14:paraId="79D9F763" w14:textId="77777777" w:rsidR="00AC2E28" w:rsidRDefault="00AC2E28" w:rsidP="00AC2E28">
      <w:pPr>
        <w:numPr>
          <w:ilvl w:val="0"/>
          <w:numId w:val="1"/>
        </w:numPr>
        <w:tabs>
          <w:tab w:val="num" w:pos="720"/>
        </w:tabs>
        <w:spacing w:after="120" w:line="360" w:lineRule="auto"/>
        <w:ind w:left="720"/>
        <w:jc w:val="both"/>
        <w:rPr>
          <w:rFonts w:ascii="David" w:hAnsi="David"/>
        </w:rPr>
      </w:pPr>
      <w:r w:rsidRPr="003200BD">
        <w:rPr>
          <w:rFonts w:ascii="David" w:hAnsi="David" w:hint="cs"/>
          <w:rtl/>
        </w:rPr>
        <w:t xml:space="preserve">לכן, הגם שבדרך </w:t>
      </w:r>
      <w:bookmarkStart w:id="14" w:name="Seif8"/>
      <w:r w:rsidRPr="003200BD">
        <w:rPr>
          <w:rFonts w:ascii="David" w:hAnsi="David" w:hint="cs"/>
          <w:rtl/>
        </w:rPr>
        <w:t xml:space="preserve">כלל מדובר </w:t>
      </w:r>
      <w:bookmarkEnd w:id="14"/>
      <w:r w:rsidRPr="003200BD">
        <w:rPr>
          <w:rFonts w:ascii="David" w:hAnsi="David" w:hint="cs"/>
          <w:rtl/>
        </w:rPr>
        <w:t>בעבירה חמורה, שרף הענישה התחתון בה עומד על מאסר בפועל (</w:t>
      </w:r>
      <w:r>
        <w:rPr>
          <w:rFonts w:ascii="David" w:hAnsi="David" w:hint="cs"/>
          <w:rtl/>
        </w:rPr>
        <w:t xml:space="preserve">לכל הפחות </w:t>
      </w:r>
      <w:r w:rsidRPr="003200BD">
        <w:rPr>
          <w:rFonts w:ascii="David" w:hAnsi="David" w:hint="cs"/>
          <w:rtl/>
        </w:rPr>
        <w:t xml:space="preserve">לתקופה שניתן לשאתה בדרך של עבודות שירות), ישנם מקרים שבהם הושתה בגין העבירה </w:t>
      </w:r>
      <w:r>
        <w:rPr>
          <w:rFonts w:ascii="David" w:hAnsi="David" w:hint="cs"/>
          <w:rtl/>
        </w:rPr>
        <w:t xml:space="preserve">של החזקת נשק </w:t>
      </w:r>
      <w:r w:rsidRPr="003200BD">
        <w:rPr>
          <w:rFonts w:ascii="David" w:hAnsi="David" w:hint="cs"/>
          <w:rtl/>
        </w:rPr>
        <w:t>ענישה מקלה, הצופה פני עתיד, בצירוף לשל"צ.</w:t>
      </w:r>
    </w:p>
    <w:p w14:paraId="39F4864E" w14:textId="77777777" w:rsidR="00AC2E28" w:rsidRDefault="00AC2E28" w:rsidP="00AC2E28">
      <w:pPr>
        <w:spacing w:after="120" w:line="360" w:lineRule="auto"/>
        <w:ind w:left="720"/>
        <w:jc w:val="both"/>
        <w:rPr>
          <w:rFonts w:ascii="David" w:hAnsi="David"/>
          <w:rtl/>
        </w:rPr>
      </w:pPr>
      <w:r w:rsidRPr="003200BD">
        <w:rPr>
          <w:rFonts w:ascii="David" w:hAnsi="David" w:hint="cs"/>
          <w:rtl/>
        </w:rPr>
        <w:t>כך נעשה, למשל, ב</w:t>
      </w:r>
      <w:hyperlink r:id="rId13" w:history="1">
        <w:r w:rsidR="007C605F" w:rsidRPr="007C605F">
          <w:rPr>
            <w:rFonts w:ascii="David" w:hAnsi="David"/>
            <w:color w:val="0000FF"/>
            <w:u w:val="single"/>
            <w:rtl/>
          </w:rPr>
          <w:t>ת"פ (שלום ק"ש) 28892-11-15</w:t>
        </w:r>
      </w:hyperlink>
      <w:r w:rsidRPr="003200BD">
        <w:rPr>
          <w:rFonts w:ascii="David" w:hAnsi="David"/>
          <w:rtl/>
        </w:rPr>
        <w:t xml:space="preserve"> </w:t>
      </w:r>
      <w:r w:rsidRPr="003200BD">
        <w:rPr>
          <w:rFonts w:ascii="David" w:hAnsi="David" w:hint="cs"/>
          <w:b/>
          <w:bCs/>
          <w:rtl/>
        </w:rPr>
        <w:t>מדינת ישראל</w:t>
      </w:r>
      <w:r w:rsidRPr="003200BD">
        <w:rPr>
          <w:rFonts w:ascii="David" w:hAnsi="David"/>
          <w:b/>
          <w:bCs/>
          <w:rtl/>
        </w:rPr>
        <w:t xml:space="preserve"> נ' חדד</w:t>
      </w:r>
      <w:r w:rsidRPr="003200BD">
        <w:rPr>
          <w:rFonts w:ascii="David" w:hAnsi="David"/>
          <w:rtl/>
        </w:rPr>
        <w:t xml:space="preserve"> (20.11.2016)</w:t>
      </w:r>
      <w:r w:rsidRPr="003200BD">
        <w:rPr>
          <w:rFonts w:ascii="David" w:hAnsi="David" w:hint="cs"/>
          <w:rtl/>
        </w:rPr>
        <w:t>, שבו דובר בהחזקת שני רימוני יד (!)</w:t>
      </w:r>
      <w:r w:rsidRPr="003200BD">
        <w:rPr>
          <w:rFonts w:ascii="David" w:hAnsi="David"/>
          <w:rtl/>
        </w:rPr>
        <w:t xml:space="preserve"> </w:t>
      </w:r>
      <w:r w:rsidRPr="003200BD">
        <w:rPr>
          <w:rFonts w:ascii="David" w:hAnsi="David" w:hint="cs"/>
          <w:rtl/>
        </w:rPr>
        <w:t xml:space="preserve">וכן תחמושת ובעבירה נוספת של הכשלת שוטר. </w:t>
      </w:r>
      <w:r>
        <w:rPr>
          <w:rFonts w:ascii="David" w:hAnsi="David" w:hint="cs"/>
          <w:rtl/>
        </w:rPr>
        <w:t xml:space="preserve">לדוגמאות נוספות ר' </w:t>
      </w:r>
      <w:hyperlink r:id="rId14" w:history="1">
        <w:r w:rsidR="007C605F" w:rsidRPr="007C605F">
          <w:rPr>
            <w:rFonts w:ascii="David" w:hAnsi="David"/>
            <w:color w:val="0000FF"/>
            <w:u w:val="single"/>
            <w:rtl/>
          </w:rPr>
          <w:t>ת"פ (מחוזי י-ם) 51094-10-14</w:t>
        </w:r>
      </w:hyperlink>
      <w:r w:rsidRPr="003200BD">
        <w:rPr>
          <w:rFonts w:ascii="David" w:hAnsi="David"/>
          <w:rtl/>
        </w:rPr>
        <w:t xml:space="preserve"> </w:t>
      </w:r>
      <w:r w:rsidRPr="003200BD">
        <w:rPr>
          <w:rFonts w:ascii="David" w:hAnsi="David"/>
          <w:b/>
          <w:bCs/>
          <w:rtl/>
        </w:rPr>
        <w:t>מדינת ישראל נ' בן עמי</w:t>
      </w:r>
      <w:r w:rsidRPr="003200BD">
        <w:rPr>
          <w:rFonts w:ascii="David" w:hAnsi="David"/>
          <w:rtl/>
        </w:rPr>
        <w:t xml:space="preserve"> (20.04.2015)</w:t>
      </w:r>
      <w:r w:rsidRPr="003200BD">
        <w:rPr>
          <w:rFonts w:ascii="David" w:hAnsi="David" w:hint="cs"/>
          <w:rtl/>
        </w:rPr>
        <w:t xml:space="preserve">; </w:t>
      </w:r>
      <w:hyperlink r:id="rId15" w:history="1">
        <w:r w:rsidR="007C605F" w:rsidRPr="007C605F">
          <w:rPr>
            <w:rFonts w:ascii="David" w:hAnsi="David"/>
            <w:color w:val="0000FF"/>
            <w:u w:val="single"/>
            <w:rtl/>
          </w:rPr>
          <w:t>ת"פ (שלום י-ם) 48347-12-12</w:t>
        </w:r>
      </w:hyperlink>
      <w:r w:rsidRPr="0045345B">
        <w:rPr>
          <w:rFonts w:ascii="David" w:hAnsi="David"/>
          <w:rtl/>
        </w:rPr>
        <w:t xml:space="preserve"> </w:t>
      </w:r>
      <w:r w:rsidRPr="0045345B">
        <w:rPr>
          <w:rFonts w:ascii="David" w:hAnsi="David"/>
          <w:b/>
          <w:bCs/>
          <w:rtl/>
        </w:rPr>
        <w:t>מדינת ישראל נ' הדרה</w:t>
      </w:r>
      <w:r w:rsidRPr="0045345B">
        <w:rPr>
          <w:rFonts w:ascii="David" w:hAnsi="David"/>
          <w:rtl/>
        </w:rPr>
        <w:t xml:space="preserve"> (26.01.2015)</w:t>
      </w:r>
      <w:r>
        <w:rPr>
          <w:rFonts w:ascii="David" w:hAnsi="David" w:hint="cs"/>
          <w:rtl/>
        </w:rPr>
        <w:t>.</w:t>
      </w:r>
    </w:p>
    <w:p w14:paraId="74D12331" w14:textId="77777777" w:rsidR="00AC2E28" w:rsidRDefault="00AC2E28" w:rsidP="00AC2E28">
      <w:pPr>
        <w:numPr>
          <w:ilvl w:val="0"/>
          <w:numId w:val="1"/>
        </w:numPr>
        <w:tabs>
          <w:tab w:val="num" w:pos="720"/>
        </w:tabs>
        <w:spacing w:after="120" w:line="360" w:lineRule="auto"/>
        <w:ind w:left="720"/>
        <w:jc w:val="both"/>
        <w:rPr>
          <w:rFonts w:ascii="David" w:hAnsi="David"/>
        </w:rPr>
      </w:pPr>
      <w:r w:rsidRPr="003200BD">
        <w:rPr>
          <w:rFonts w:ascii="David" w:hAnsi="David" w:hint="cs"/>
          <w:rtl/>
        </w:rPr>
        <w:t xml:space="preserve">על רקע זה </w:t>
      </w:r>
      <w:r w:rsidRPr="003200BD">
        <w:rPr>
          <w:rFonts w:ascii="David" w:hAnsi="David"/>
          <w:rtl/>
        </w:rPr>
        <w:t>–</w:t>
      </w:r>
      <w:r w:rsidRPr="003200BD">
        <w:rPr>
          <w:rFonts w:ascii="David" w:hAnsi="David" w:hint="cs"/>
          <w:rtl/>
        </w:rPr>
        <w:t xml:space="preserve"> ובהתחשב בנסיבות הקולה של עבירת ההחזקה במקרה זה, שכבר צוינו ב</w:t>
      </w:r>
      <w:bookmarkStart w:id="15" w:name="Seif4"/>
      <w:r w:rsidRPr="003200BD">
        <w:rPr>
          <w:rFonts w:ascii="David" w:hAnsi="David" w:hint="cs"/>
          <w:rtl/>
        </w:rPr>
        <w:t xml:space="preserve">פסקה </w:t>
      </w:r>
      <w:bookmarkEnd w:id="15"/>
      <w:r>
        <w:rPr>
          <w:rFonts w:ascii="David" w:hAnsi="David" w:hint="cs"/>
          <w:rtl/>
        </w:rPr>
        <w:t xml:space="preserve">14 </w:t>
      </w:r>
      <w:r w:rsidRPr="003200BD">
        <w:rPr>
          <w:rFonts w:ascii="David" w:hAnsi="David" w:hint="cs"/>
          <w:rtl/>
        </w:rPr>
        <w:t xml:space="preserve">דלעיל </w:t>
      </w:r>
      <w:r w:rsidRPr="003200BD">
        <w:rPr>
          <w:rFonts w:ascii="David" w:hAnsi="David"/>
          <w:rtl/>
        </w:rPr>
        <w:t>–</w:t>
      </w:r>
      <w:r>
        <w:rPr>
          <w:rFonts w:ascii="David" w:hAnsi="David" w:hint="cs"/>
          <w:rtl/>
        </w:rPr>
        <w:t xml:space="preserve"> </w:t>
      </w:r>
      <w:r w:rsidRPr="003200BD">
        <w:rPr>
          <w:rFonts w:ascii="David" w:hAnsi="David"/>
          <w:rtl/>
        </w:rPr>
        <w:t xml:space="preserve">אני קובע </w:t>
      </w:r>
      <w:r w:rsidRPr="003200BD">
        <w:rPr>
          <w:rFonts w:ascii="David" w:hAnsi="David" w:hint="cs"/>
          <w:rtl/>
        </w:rPr>
        <w:t>את</w:t>
      </w:r>
      <w:r w:rsidRPr="003200BD">
        <w:rPr>
          <w:rFonts w:ascii="David" w:hAnsi="David"/>
          <w:rtl/>
        </w:rPr>
        <w:t xml:space="preserve"> מתחם העונש ההולם </w:t>
      </w:r>
      <w:r w:rsidRPr="003200BD">
        <w:rPr>
          <w:rFonts w:ascii="David" w:hAnsi="David" w:hint="cs"/>
          <w:rtl/>
        </w:rPr>
        <w:t xml:space="preserve">במקרה </w:t>
      </w:r>
      <w:r w:rsidRPr="003200BD">
        <w:rPr>
          <w:rFonts w:ascii="David" w:hAnsi="David"/>
          <w:rtl/>
        </w:rPr>
        <w:t xml:space="preserve">דנא בין </w:t>
      </w:r>
      <w:r w:rsidRPr="003200BD">
        <w:rPr>
          <w:rFonts w:ascii="David" w:hAnsi="David" w:hint="cs"/>
          <w:rtl/>
        </w:rPr>
        <w:t xml:space="preserve">ענישה צופה פני עתיד </w:t>
      </w:r>
      <w:r w:rsidRPr="003200BD">
        <w:rPr>
          <w:rFonts w:ascii="David" w:hAnsi="David"/>
          <w:rtl/>
        </w:rPr>
        <w:t xml:space="preserve">לבין </w:t>
      </w:r>
      <w:r w:rsidRPr="003200BD">
        <w:rPr>
          <w:rFonts w:ascii="David" w:hAnsi="David" w:hint="cs"/>
          <w:rtl/>
        </w:rPr>
        <w:t xml:space="preserve">9 </w:t>
      </w:r>
      <w:r w:rsidRPr="003200BD">
        <w:rPr>
          <w:rFonts w:ascii="David" w:hAnsi="David"/>
          <w:rtl/>
        </w:rPr>
        <w:t>חודשי מאסר בפועל.</w:t>
      </w:r>
    </w:p>
    <w:p w14:paraId="16400C3C" w14:textId="77777777" w:rsidR="00AC2E28" w:rsidRDefault="00AC2E28" w:rsidP="00AC2E28">
      <w:pPr>
        <w:spacing w:after="120" w:line="360" w:lineRule="auto"/>
        <w:jc w:val="both"/>
        <w:rPr>
          <w:rFonts w:ascii="David" w:hAnsi="David"/>
          <w:rtl/>
        </w:rPr>
      </w:pPr>
    </w:p>
    <w:p w14:paraId="32220FF9" w14:textId="77777777" w:rsidR="00AC2E28" w:rsidRPr="00CE1F20" w:rsidRDefault="00AC2E28" w:rsidP="00AC2E28">
      <w:pPr>
        <w:snapToGrid w:val="0"/>
        <w:spacing w:after="120" w:line="360" w:lineRule="auto"/>
        <w:jc w:val="both"/>
        <w:rPr>
          <w:b/>
          <w:bCs/>
          <w:u w:val="single"/>
          <w:rtl/>
        </w:rPr>
      </w:pPr>
      <w:r>
        <w:rPr>
          <w:rFonts w:hint="cs"/>
          <w:b/>
          <w:bCs/>
          <w:rtl/>
        </w:rPr>
        <w:t>ו</w:t>
      </w:r>
      <w:r w:rsidRPr="00CE1F20">
        <w:rPr>
          <w:rFonts w:hint="cs"/>
          <w:b/>
          <w:bCs/>
          <w:rtl/>
        </w:rPr>
        <w:t>.</w:t>
      </w:r>
      <w:r w:rsidRPr="00CE1F20">
        <w:rPr>
          <w:b/>
          <w:bCs/>
          <w:rtl/>
        </w:rPr>
        <w:tab/>
      </w:r>
      <w:r w:rsidRPr="00CE1F20">
        <w:rPr>
          <w:rFonts w:hint="cs"/>
          <w:b/>
          <w:bCs/>
          <w:u w:val="single"/>
          <w:rtl/>
        </w:rPr>
        <w:t>גזירת עונשו של הנאשם בתוך מתחם העונש ההולם:</w:t>
      </w:r>
    </w:p>
    <w:p w14:paraId="5FCB8372" w14:textId="77777777" w:rsidR="00AC2E28" w:rsidRDefault="00AC2E28" w:rsidP="00AC2E28">
      <w:pPr>
        <w:numPr>
          <w:ilvl w:val="0"/>
          <w:numId w:val="1"/>
        </w:numPr>
        <w:tabs>
          <w:tab w:val="num" w:pos="720"/>
        </w:tabs>
        <w:spacing w:after="120" w:line="360" w:lineRule="auto"/>
        <w:ind w:left="720"/>
        <w:jc w:val="both"/>
        <w:rPr>
          <w:rFonts w:ascii="David" w:hAnsi="David"/>
        </w:rPr>
      </w:pPr>
      <w:r>
        <w:rPr>
          <w:rFonts w:hint="cs"/>
          <w:rtl/>
        </w:rPr>
        <w:t>לאחר קביעת מתחם העונש ההולם על בית המשפט לגזור את עונשו של הנאשם בתוך מתחם זה תוך התחשבות בנסיבות שאינן קשורות בביצוע העבירות. באשר לנאשם שלפניי, נסיבות הקולה הרלוואנטיות ממקמות אותו ברף התחתון של המתחם, כפי שעלה אף מטיעון ב"כ המאשימה. בהקשר זה יוזכר, כי עסקינן בנאשם בן 37, ללא הרשעות קודמות כלשהן, התורם לחברה, שהתרשמות שירות המבחן ממנו היתה חיובית מאוד. עוד יש להוסיף ולהזכיר כי שירות המבחן התרשם שעל אף ניהול המשפט, עסקינן בנאשם המודע לפסול שנפל במעשיו ונוטל אחריות מלאה עליהם מבלי לנסות לתרצם.</w:t>
      </w:r>
    </w:p>
    <w:p w14:paraId="1D7E8AE7" w14:textId="77777777" w:rsidR="00AC2E28" w:rsidRPr="00DA116D" w:rsidRDefault="00AC2E28" w:rsidP="00AC2E28">
      <w:pPr>
        <w:numPr>
          <w:ilvl w:val="0"/>
          <w:numId w:val="1"/>
        </w:numPr>
        <w:tabs>
          <w:tab w:val="num" w:pos="720"/>
        </w:tabs>
        <w:spacing w:after="120" w:line="360" w:lineRule="auto"/>
        <w:ind w:left="720"/>
        <w:jc w:val="both"/>
        <w:rPr>
          <w:rFonts w:ascii="David" w:hAnsi="David"/>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1AA37545" w14:textId="77777777" w:rsidR="00AC2E28" w:rsidRDefault="00AC2E28" w:rsidP="00AC2E28">
      <w:pPr>
        <w:spacing w:after="120" w:line="360" w:lineRule="auto"/>
        <w:ind w:left="1440" w:hanging="720"/>
        <w:jc w:val="both"/>
        <w:rPr>
          <w:rFonts w:ascii="Tahoma" w:hAnsi="Tahoma"/>
        </w:rPr>
      </w:pPr>
      <w:r>
        <w:rPr>
          <w:rFonts w:hint="cs"/>
          <w:rtl/>
        </w:rPr>
        <w:t>(א)</w:t>
      </w:r>
      <w:r>
        <w:rPr>
          <w:rtl/>
        </w:rPr>
        <w:tab/>
      </w:r>
      <w:r>
        <w:rPr>
          <w:rFonts w:hint="cs"/>
          <w:rtl/>
        </w:rPr>
        <w:t>מאסר על תנאי למשך 4 חודשים, אותו לא יישא הנאשם אלא אם כן יעבור, תוך שלוש שנים מהיום, עבירה של החזקת נשק שלא כדין.</w:t>
      </w:r>
    </w:p>
    <w:p w14:paraId="0BD69822" w14:textId="77777777" w:rsidR="00AC2E28" w:rsidRPr="009E2A50" w:rsidRDefault="00AC2E28" w:rsidP="00AC2E28">
      <w:pPr>
        <w:spacing w:after="120" w:line="360" w:lineRule="auto"/>
        <w:ind w:left="1440" w:hanging="720"/>
        <w:jc w:val="both"/>
        <w:rPr>
          <w:rFonts w:ascii="Tahoma" w:hAnsi="Tahoma"/>
          <w:rtl/>
        </w:rPr>
      </w:pPr>
      <w:r w:rsidRPr="00AC2E28">
        <w:rPr>
          <w:rFonts w:ascii="Calibri" w:hAnsi="Calibri" w:hint="cs"/>
          <w:rtl/>
        </w:rPr>
        <w:t>(ב)</w:t>
      </w:r>
      <w:r w:rsidRPr="00AC2E28">
        <w:rPr>
          <w:rFonts w:ascii="Calibri" w:hAnsi="Calibri"/>
          <w:rtl/>
        </w:rPr>
        <w:tab/>
        <w:t xml:space="preserve">שירות לתועלת הציבור בהיקף של </w:t>
      </w:r>
      <w:r w:rsidRPr="00AC2E28">
        <w:rPr>
          <w:rFonts w:ascii="Calibri" w:hAnsi="Calibri" w:hint="cs"/>
          <w:rtl/>
        </w:rPr>
        <w:t>260</w:t>
      </w:r>
      <w:r w:rsidRPr="00AC2E28">
        <w:rPr>
          <w:rFonts w:ascii="Calibri" w:hAnsi="Calibri"/>
          <w:rtl/>
        </w:rPr>
        <w:t xml:space="preserve"> שעות. השירות יבוצע, בהתאם</w:t>
      </w:r>
      <w:r w:rsidRPr="00AC2E28">
        <w:rPr>
          <w:rFonts w:ascii="Calibri" w:hAnsi="Calibri" w:hint="cs"/>
          <w:rtl/>
        </w:rPr>
        <w:t xml:space="preserve"> </w:t>
      </w:r>
      <w:r w:rsidRPr="00AC2E28">
        <w:rPr>
          <w:rFonts w:ascii="Calibri" w:hAnsi="Calibri"/>
          <w:rtl/>
        </w:rPr>
        <w:t>לתכנית שגיבש שירות המבחן ב</w:t>
      </w:r>
      <w:r w:rsidRPr="00AC2E28">
        <w:rPr>
          <w:rFonts w:ascii="Calibri" w:hAnsi="Calibri" w:hint="cs"/>
          <w:rtl/>
        </w:rPr>
        <w:t>תסקיר מיום 31.10.19, החל ביום 15.01.20.</w:t>
      </w:r>
    </w:p>
    <w:p w14:paraId="42970F71" w14:textId="77777777" w:rsidR="00AC2E28" w:rsidRPr="00AC2E28" w:rsidRDefault="00AC2E28" w:rsidP="00AC2E28">
      <w:pPr>
        <w:spacing w:after="120" w:line="360" w:lineRule="auto"/>
        <w:ind w:left="1440"/>
        <w:jc w:val="both"/>
        <w:rPr>
          <w:rFonts w:ascii="Calibri" w:hAnsi="Calibri"/>
          <w:rtl/>
        </w:rPr>
      </w:pPr>
      <w:r w:rsidRPr="00AC2E28">
        <w:rPr>
          <w:rFonts w:ascii="Calibri" w:hAnsi="Calibri"/>
          <w:rtl/>
        </w:rPr>
        <w:t xml:space="preserve">מובהר בזה לנאשם כי אם הוא לא ימלא אחר </w:t>
      </w:r>
      <w:r w:rsidRPr="00AC2E28">
        <w:rPr>
          <w:rFonts w:ascii="Calibri" w:hAnsi="Calibri" w:hint="cs"/>
          <w:rtl/>
        </w:rPr>
        <w:t xml:space="preserve">הוראות </w:t>
      </w:r>
      <w:r w:rsidRPr="00AC2E28">
        <w:rPr>
          <w:rFonts w:ascii="Calibri" w:hAnsi="Calibri"/>
          <w:rtl/>
        </w:rPr>
        <w:t>צו השירות יהא בית המשפט רשאי</w:t>
      </w:r>
      <w:r w:rsidRPr="00AC2E28">
        <w:rPr>
          <w:rFonts w:ascii="Calibri" w:hAnsi="Calibri" w:hint="cs"/>
          <w:rtl/>
        </w:rPr>
        <w:t xml:space="preserve"> </w:t>
      </w:r>
      <w:r w:rsidRPr="00AC2E28">
        <w:rPr>
          <w:rFonts w:ascii="Calibri" w:hAnsi="Calibri"/>
          <w:rtl/>
        </w:rPr>
        <w:t>לבטל את צו השירות ולהטיל עליו, במקו</w:t>
      </w:r>
      <w:r w:rsidRPr="00AC2E28">
        <w:rPr>
          <w:rFonts w:ascii="Calibri" w:hAnsi="Calibri" w:hint="cs"/>
          <w:rtl/>
        </w:rPr>
        <w:t>ם צו השירות</w:t>
      </w:r>
      <w:r w:rsidRPr="00AC2E28">
        <w:rPr>
          <w:rFonts w:ascii="Calibri" w:hAnsi="Calibri"/>
          <w:rtl/>
        </w:rPr>
        <w:t>, עונש נוסף.</w:t>
      </w:r>
    </w:p>
    <w:p w14:paraId="383839A5" w14:textId="77777777" w:rsidR="00AC2E28" w:rsidRDefault="00AC2E28" w:rsidP="00AC2E28">
      <w:pPr>
        <w:spacing w:after="120" w:line="360" w:lineRule="auto"/>
        <w:jc w:val="both"/>
        <w:rPr>
          <w:rtl/>
        </w:rPr>
      </w:pPr>
      <w:r>
        <w:rPr>
          <w:rFonts w:hint="cs"/>
          <w:rtl/>
        </w:rPr>
        <w:t xml:space="preserve">ניתן בזה צו כללי, לעניין מוצגים, לשיקול דעתו של קצין משטרה. </w:t>
      </w:r>
    </w:p>
    <w:p w14:paraId="60082F61" w14:textId="77777777" w:rsidR="00AC2E28" w:rsidRDefault="00AC2E28" w:rsidP="00AC2E28">
      <w:pPr>
        <w:snapToGrid w:val="0"/>
        <w:spacing w:after="120" w:line="360" w:lineRule="auto"/>
        <w:jc w:val="both"/>
        <w:rPr>
          <w:rtl/>
        </w:rPr>
      </w:pPr>
      <w:r>
        <w:rPr>
          <w:rFonts w:hint="cs"/>
          <w:rtl/>
        </w:rPr>
        <w:t>זכות ערעור בתוך 45 יום מהיום.</w:t>
      </w:r>
    </w:p>
    <w:p w14:paraId="350E7E2C" w14:textId="77777777" w:rsidR="00AC2E28" w:rsidRPr="00761D70" w:rsidRDefault="00AC2E28" w:rsidP="00AC2E28">
      <w:pPr>
        <w:spacing w:after="120" w:line="360" w:lineRule="auto"/>
        <w:jc w:val="both"/>
        <w:rPr>
          <w:rFonts w:ascii="Tahoma" w:hAnsi="Tahoma"/>
          <w:rtl/>
        </w:rPr>
      </w:pPr>
      <w:r>
        <w:rPr>
          <w:rFonts w:hint="cs"/>
          <w:rtl/>
        </w:rPr>
        <w:t>המזכירות תשלח העתק גזר דין זה לשירות המבחן.</w:t>
      </w:r>
    </w:p>
    <w:p w14:paraId="080B20F9" w14:textId="77777777" w:rsidR="00AC2E28" w:rsidRPr="00250B83" w:rsidRDefault="007C605F" w:rsidP="00AC2E28">
      <w:pPr>
        <w:spacing w:line="360" w:lineRule="auto"/>
        <w:jc w:val="both"/>
        <w:rPr>
          <w:rFonts w:ascii="Arial" w:hAnsi="Arial"/>
        </w:rPr>
      </w:pPr>
      <w:bookmarkStart w:id="16" w:name="Nitan"/>
      <w:r w:rsidRPr="007C605F">
        <w:rPr>
          <w:rFonts w:ascii="Arial" w:hAnsi="Arial"/>
          <w:color w:val="FFFFFF"/>
          <w:sz w:val="2"/>
          <w:szCs w:val="2"/>
          <w:rtl/>
        </w:rPr>
        <w:t>5129371</w:t>
      </w:r>
      <w:r>
        <w:rPr>
          <w:rFonts w:ascii="Arial" w:hAnsi="Arial"/>
          <w:rtl/>
        </w:rPr>
        <w:t xml:space="preserve">ניתן היום, ו' כסלו תש"פ, 04 דצמבר 2019, במעמד הצדדים. </w:t>
      </w:r>
      <w:bookmarkEnd w:id="16"/>
    </w:p>
    <w:p w14:paraId="2DFCB2C5" w14:textId="77777777" w:rsidR="00AC2E28" w:rsidRPr="007C605F" w:rsidRDefault="007C605F" w:rsidP="00AC2E28">
      <w:pPr>
        <w:rPr>
          <w:color w:val="FFFFFF"/>
          <w:sz w:val="2"/>
          <w:szCs w:val="2"/>
          <w:rtl/>
        </w:rPr>
      </w:pPr>
      <w:r w:rsidRPr="007C605F">
        <w:rPr>
          <w:color w:val="FFFFFF"/>
          <w:sz w:val="2"/>
          <w:szCs w:val="2"/>
          <w:rtl/>
        </w:rPr>
        <w:t>54678313</w:t>
      </w:r>
    </w:p>
    <w:p w14:paraId="5262FFE4" w14:textId="77777777" w:rsidR="00AC2E28" w:rsidRPr="00250B83" w:rsidRDefault="00AC2E28" w:rsidP="007C605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3AFF9CE1" w14:textId="77777777" w:rsidR="00AC2E28" w:rsidRPr="00250B83" w:rsidRDefault="00AC2E28" w:rsidP="00AC2E28">
      <w:pPr>
        <w:jc w:val="center"/>
        <w:rPr>
          <w:rFonts w:ascii="Arial" w:hAnsi="Arial"/>
          <w:rtl/>
        </w:rPr>
      </w:pPr>
    </w:p>
    <w:p w14:paraId="7B322F6A" w14:textId="77777777" w:rsidR="00AC2E28" w:rsidRPr="00250B83" w:rsidRDefault="00AC2E28" w:rsidP="00AC2E28">
      <w:pPr>
        <w:rPr>
          <w:rtl/>
        </w:rPr>
      </w:pPr>
    </w:p>
    <w:p w14:paraId="4F51E0E1" w14:textId="77777777" w:rsidR="00AC2E28" w:rsidRPr="00EA120E" w:rsidRDefault="00EA120E" w:rsidP="00AC2E28">
      <w:pPr>
        <w:pStyle w:val="a3"/>
        <w:jc w:val="center"/>
        <w:rPr>
          <w:color w:val="FFFFFF"/>
          <w:sz w:val="2"/>
          <w:szCs w:val="2"/>
          <w:rtl/>
        </w:rPr>
      </w:pPr>
      <w:r w:rsidRPr="00EA120E">
        <w:rPr>
          <w:color w:val="FFFFFF"/>
          <w:sz w:val="2"/>
          <w:szCs w:val="2"/>
          <w:rtl/>
        </w:rPr>
        <w:t>5129371</w:t>
      </w:r>
    </w:p>
    <w:p w14:paraId="132CFCD2" w14:textId="77777777" w:rsidR="005121AA" w:rsidRPr="00EA120E" w:rsidRDefault="00EA120E" w:rsidP="007C605F">
      <w:pPr>
        <w:keepNext/>
        <w:rPr>
          <w:rFonts w:ascii="David" w:hAnsi="David"/>
          <w:color w:val="FFFFFF"/>
          <w:sz w:val="2"/>
          <w:szCs w:val="2"/>
          <w:rtl/>
        </w:rPr>
      </w:pPr>
      <w:r w:rsidRPr="00EA120E">
        <w:rPr>
          <w:rFonts w:ascii="David" w:hAnsi="David"/>
          <w:color w:val="FFFFFF"/>
          <w:sz w:val="2"/>
          <w:szCs w:val="2"/>
          <w:rtl/>
        </w:rPr>
        <w:t>54678313</w:t>
      </w:r>
    </w:p>
    <w:p w14:paraId="3FEBB90A" w14:textId="77777777" w:rsidR="007C605F" w:rsidRDefault="007C605F" w:rsidP="007C605F">
      <w:pPr>
        <w:rPr>
          <w:rtl/>
        </w:rPr>
      </w:pPr>
    </w:p>
    <w:p w14:paraId="512689AD" w14:textId="77777777" w:rsidR="007C605F" w:rsidRDefault="007C605F" w:rsidP="007C605F">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4E7C91E8" w14:textId="77777777" w:rsidR="00EA120E" w:rsidRPr="00EA120E" w:rsidRDefault="00EA120E" w:rsidP="00EA120E">
      <w:pPr>
        <w:keepNext/>
        <w:rPr>
          <w:rFonts w:ascii="David" w:hAnsi="David"/>
          <w:color w:val="000000"/>
          <w:sz w:val="22"/>
          <w:szCs w:val="22"/>
          <w:rtl/>
        </w:rPr>
      </w:pPr>
    </w:p>
    <w:p w14:paraId="1BF645E1" w14:textId="77777777" w:rsidR="00EA120E" w:rsidRPr="00EA120E" w:rsidRDefault="00EA120E" w:rsidP="00EA120E">
      <w:pPr>
        <w:keepNext/>
        <w:rPr>
          <w:rFonts w:ascii="David" w:hAnsi="David"/>
          <w:color w:val="000000"/>
          <w:sz w:val="22"/>
          <w:szCs w:val="22"/>
          <w:rtl/>
        </w:rPr>
      </w:pPr>
      <w:r w:rsidRPr="00EA120E">
        <w:rPr>
          <w:rFonts w:ascii="David" w:hAnsi="David"/>
          <w:color w:val="000000"/>
          <w:sz w:val="22"/>
          <w:szCs w:val="22"/>
          <w:rtl/>
        </w:rPr>
        <w:t>שאול אבינור 54678313-/</w:t>
      </w:r>
    </w:p>
    <w:p w14:paraId="51E37EFC" w14:textId="77777777" w:rsidR="007C605F" w:rsidRPr="007C605F" w:rsidRDefault="00EA120E" w:rsidP="00EA120E">
      <w:pPr>
        <w:rPr>
          <w:color w:val="0000FF"/>
          <w:u w:val="single"/>
        </w:rPr>
      </w:pPr>
      <w:r w:rsidRPr="00EA120E">
        <w:rPr>
          <w:color w:val="000000"/>
          <w:u w:val="single"/>
          <w:rtl/>
        </w:rPr>
        <w:t>נוסח מסמך זה כפוף לשינויי ניסוח ועריכה</w:t>
      </w:r>
    </w:p>
    <w:sectPr w:rsidR="007C605F" w:rsidRPr="007C605F" w:rsidSect="00EA120E">
      <w:headerReference w:type="even" r:id="rId17"/>
      <w:headerReference w:type="default" r:id="rId18"/>
      <w:footerReference w:type="even" r:id="rId19"/>
      <w:footerReference w:type="default" r:id="rId2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99F55" w14:textId="77777777" w:rsidR="004435F4" w:rsidRDefault="004435F4" w:rsidP="00C55F8E">
      <w:r>
        <w:separator/>
      </w:r>
    </w:p>
  </w:endnote>
  <w:endnote w:type="continuationSeparator" w:id="0">
    <w:p w14:paraId="3C768189" w14:textId="77777777" w:rsidR="004435F4" w:rsidRDefault="004435F4" w:rsidP="00C5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7044" w14:textId="77777777" w:rsidR="00EA120E" w:rsidRDefault="00EA120E" w:rsidP="00EA12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60C9AD" w14:textId="77777777" w:rsidR="00BB7F06" w:rsidRPr="00EA120E" w:rsidRDefault="00EA120E" w:rsidP="00EA120E">
    <w:pPr>
      <w:pStyle w:val="a5"/>
      <w:pBdr>
        <w:top w:val="single" w:sz="4" w:space="1" w:color="auto"/>
        <w:between w:val="single" w:sz="4" w:space="0" w:color="auto"/>
      </w:pBdr>
      <w:spacing w:after="60"/>
      <w:jc w:val="center"/>
      <w:rPr>
        <w:rFonts w:ascii="FrankRuehl" w:hAnsi="FrankRuehl" w:cs="FrankRuehl"/>
        <w:color w:val="000000"/>
      </w:rPr>
    </w:pPr>
    <w:r w:rsidRPr="00EA12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430EE" w14:textId="77777777" w:rsidR="00EA120E" w:rsidRDefault="00EA120E" w:rsidP="00EA12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12C9">
      <w:rPr>
        <w:rFonts w:ascii="FrankRuehl" w:hAnsi="FrankRuehl" w:cs="FrankRuehl"/>
        <w:noProof/>
        <w:rtl/>
      </w:rPr>
      <w:t>1</w:t>
    </w:r>
    <w:r>
      <w:rPr>
        <w:rFonts w:ascii="FrankRuehl" w:hAnsi="FrankRuehl" w:cs="FrankRuehl"/>
        <w:rtl/>
      </w:rPr>
      <w:fldChar w:fldCharType="end"/>
    </w:r>
  </w:p>
  <w:p w14:paraId="0C95C147" w14:textId="77777777" w:rsidR="00BB7F06" w:rsidRPr="00EA120E" w:rsidRDefault="00EA120E" w:rsidP="00EA120E">
    <w:pPr>
      <w:pStyle w:val="a5"/>
      <w:pBdr>
        <w:top w:val="single" w:sz="4" w:space="1" w:color="auto"/>
        <w:between w:val="single" w:sz="4" w:space="0" w:color="auto"/>
      </w:pBdr>
      <w:spacing w:after="60"/>
      <w:jc w:val="center"/>
      <w:rPr>
        <w:rFonts w:ascii="FrankRuehl" w:hAnsi="FrankRuehl" w:cs="FrankRuehl"/>
        <w:color w:val="000000"/>
      </w:rPr>
    </w:pPr>
    <w:r w:rsidRPr="00EA120E">
      <w:rPr>
        <w:rFonts w:ascii="FrankRuehl" w:hAnsi="FrankRuehl" w:cs="FrankRuehl"/>
        <w:color w:val="000000"/>
      </w:rPr>
      <w:pict w14:anchorId="6D6CC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BFD03" w14:textId="77777777" w:rsidR="004435F4" w:rsidRDefault="004435F4" w:rsidP="00C55F8E">
      <w:r>
        <w:separator/>
      </w:r>
    </w:p>
  </w:footnote>
  <w:footnote w:type="continuationSeparator" w:id="0">
    <w:p w14:paraId="41A5F941" w14:textId="77777777" w:rsidR="004435F4" w:rsidRDefault="004435F4" w:rsidP="00C55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D4FA0" w14:textId="77777777" w:rsidR="007C605F" w:rsidRPr="00EA120E" w:rsidRDefault="00EA120E" w:rsidP="00EA12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3497-05-18</w:t>
    </w:r>
    <w:r>
      <w:rPr>
        <w:rFonts w:ascii="David" w:hAnsi="David"/>
        <w:color w:val="000000"/>
        <w:sz w:val="22"/>
        <w:szCs w:val="22"/>
        <w:rtl/>
      </w:rPr>
      <w:tab/>
      <w:t xml:space="preserve"> מדינת ישראל נ' הראל הרצל קובה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7F027" w14:textId="77777777" w:rsidR="007C605F" w:rsidRPr="00EA120E" w:rsidRDefault="00EA120E" w:rsidP="00EA12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3497-05-18</w:t>
    </w:r>
    <w:r>
      <w:rPr>
        <w:rFonts w:ascii="David" w:hAnsi="David"/>
        <w:color w:val="000000"/>
        <w:sz w:val="22"/>
        <w:szCs w:val="22"/>
        <w:rtl/>
      </w:rPr>
      <w:tab/>
      <w:t xml:space="preserve"> מדינת ישראל נ' הראל הרצל קובה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549ED"/>
    <w:multiLevelType w:val="hybridMultilevel"/>
    <w:tmpl w:val="AEC2C674"/>
    <w:lvl w:ilvl="0" w:tplc="D0F8553E">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8409288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2E28"/>
    <w:rsid w:val="004435F4"/>
    <w:rsid w:val="005121AA"/>
    <w:rsid w:val="007C605F"/>
    <w:rsid w:val="00A217AA"/>
    <w:rsid w:val="00A412C9"/>
    <w:rsid w:val="00AC2E28"/>
    <w:rsid w:val="00BB7F06"/>
    <w:rsid w:val="00C55F8E"/>
    <w:rsid w:val="00CB63BD"/>
    <w:rsid w:val="00EA120E"/>
    <w:rsid w:val="00F752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E5B128"/>
  <w15:chartTrackingRefBased/>
  <w15:docId w15:val="{EEB5AA54-FB4F-4780-A533-6D4558B7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2E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2E28"/>
    <w:pPr>
      <w:tabs>
        <w:tab w:val="center" w:pos="4153"/>
        <w:tab w:val="right" w:pos="8306"/>
      </w:tabs>
    </w:pPr>
  </w:style>
  <w:style w:type="character" w:customStyle="1" w:styleId="a4">
    <w:name w:val="כותרת עליונה תו"/>
    <w:link w:val="a3"/>
    <w:rsid w:val="00AC2E28"/>
    <w:rPr>
      <w:rFonts w:ascii="Times New Roman" w:eastAsia="Times New Roman" w:hAnsi="Times New Roman" w:cs="David"/>
      <w:sz w:val="24"/>
      <w:szCs w:val="24"/>
    </w:rPr>
  </w:style>
  <w:style w:type="paragraph" w:styleId="a5">
    <w:name w:val="footer"/>
    <w:basedOn w:val="a"/>
    <w:link w:val="a6"/>
    <w:rsid w:val="00AC2E28"/>
    <w:pPr>
      <w:tabs>
        <w:tab w:val="center" w:pos="4153"/>
        <w:tab w:val="right" w:pos="8306"/>
      </w:tabs>
    </w:pPr>
  </w:style>
  <w:style w:type="character" w:customStyle="1" w:styleId="a6">
    <w:name w:val="כותרת תחתונה תו"/>
    <w:link w:val="a5"/>
    <w:rsid w:val="00AC2E28"/>
    <w:rPr>
      <w:rFonts w:ascii="Times New Roman" w:eastAsia="Times New Roman" w:hAnsi="Times New Roman" w:cs="David"/>
      <w:sz w:val="24"/>
      <w:szCs w:val="24"/>
    </w:rPr>
  </w:style>
  <w:style w:type="table" w:styleId="a7">
    <w:name w:val="Table Grid"/>
    <w:basedOn w:val="a1"/>
    <w:rsid w:val="00AC2E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C2E28"/>
  </w:style>
  <w:style w:type="character" w:styleId="Hyperlink">
    <w:name w:val="Hyperlink"/>
    <w:rsid w:val="007C605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0724837"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case/17929065"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5595514" TargetMode="External"/><Relationship Id="rId5" Type="http://schemas.openxmlformats.org/officeDocument/2006/relationships/footnotes" Target="footnotes.xml"/><Relationship Id="rId15" Type="http://schemas.openxmlformats.org/officeDocument/2006/relationships/hyperlink" Target="http://www.nevo.co.il/case/4123745" TargetMode="External"/><Relationship Id="rId10" Type="http://schemas.openxmlformats.org/officeDocument/2006/relationships/hyperlink" Target="http://www.nevo.co.il/case/581078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18668864"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1531</Words>
  <Characters>7660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9173</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3407986</vt:i4>
      </vt:variant>
      <vt:variant>
        <vt:i4>27</vt:i4>
      </vt:variant>
      <vt:variant>
        <vt:i4>0</vt:i4>
      </vt:variant>
      <vt:variant>
        <vt:i4>5</vt:i4>
      </vt:variant>
      <vt:variant>
        <vt:lpwstr>http://www.nevo.co.il/case/4123745</vt:lpwstr>
      </vt:variant>
      <vt:variant>
        <vt:lpwstr/>
      </vt:variant>
      <vt:variant>
        <vt:i4>3735666</vt:i4>
      </vt:variant>
      <vt:variant>
        <vt:i4>24</vt:i4>
      </vt:variant>
      <vt:variant>
        <vt:i4>0</vt:i4>
      </vt:variant>
      <vt:variant>
        <vt:i4>5</vt:i4>
      </vt:variant>
      <vt:variant>
        <vt:lpwstr>http://www.nevo.co.il/case/18668864</vt:lpwstr>
      </vt:variant>
      <vt:variant>
        <vt:lpwstr/>
      </vt:variant>
      <vt:variant>
        <vt:i4>3276926</vt:i4>
      </vt:variant>
      <vt:variant>
        <vt:i4>21</vt:i4>
      </vt:variant>
      <vt:variant>
        <vt:i4>0</vt:i4>
      </vt:variant>
      <vt:variant>
        <vt:i4>5</vt:i4>
      </vt:variant>
      <vt:variant>
        <vt:lpwstr>http://www.nevo.co.il/case/20724837</vt:lpwstr>
      </vt:variant>
      <vt:variant>
        <vt:lpwstr/>
      </vt:variant>
      <vt:variant>
        <vt:i4>3604593</vt:i4>
      </vt:variant>
      <vt:variant>
        <vt:i4>18</vt:i4>
      </vt:variant>
      <vt:variant>
        <vt:i4>0</vt:i4>
      </vt:variant>
      <vt:variant>
        <vt:i4>5</vt:i4>
      </vt:variant>
      <vt:variant>
        <vt:lpwstr>http://www.nevo.co.il/case/17929065</vt:lpwstr>
      </vt:variant>
      <vt:variant>
        <vt:lpwstr/>
      </vt:variant>
      <vt:variant>
        <vt:i4>3342461</vt:i4>
      </vt:variant>
      <vt:variant>
        <vt:i4>15</vt:i4>
      </vt:variant>
      <vt:variant>
        <vt:i4>0</vt:i4>
      </vt:variant>
      <vt:variant>
        <vt:i4>5</vt:i4>
      </vt:variant>
      <vt:variant>
        <vt:lpwstr>http://www.nevo.co.il/case/25595514</vt:lpwstr>
      </vt:variant>
      <vt:variant>
        <vt:lpwstr/>
      </vt:variant>
      <vt:variant>
        <vt:i4>3276916</vt:i4>
      </vt:variant>
      <vt:variant>
        <vt:i4>12</vt:i4>
      </vt:variant>
      <vt:variant>
        <vt:i4>0</vt:i4>
      </vt:variant>
      <vt:variant>
        <vt:i4>5</vt:i4>
      </vt:variant>
      <vt:variant>
        <vt:lpwstr>http://www.nevo.co.il/case/5810781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2025-01-19T17:40:00Z</dcterms:created>
  <dcterms:modified xsi:type="dcterms:W3CDTF">2025-01-19T17:40:00Z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3497</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הראל הרצל קובה</vt:lpwstr>
  </property>
  <property fmtid="{D5CDD505-2E9C-101B-9397-08002B2CF9AE}" pid="10" name="LAWYER">
    <vt:lpwstr>דרור לוי;ירום הלוי</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20191204</vt:lpwstr>
  </property>
  <property fmtid="{D5CDD505-2E9C-101B-9397-08002B2CF9AE}" pid="14" name="TYPE_N_DATE">
    <vt:lpwstr>38020191204</vt:lpwstr>
  </property>
  <property fmtid="{D5CDD505-2E9C-101B-9397-08002B2CF9AE}" pid="15" name="CASESLISTTMP1">
    <vt:lpwstr>5810781;25595514;17929065;20724837;18668864;4123745</vt:lpwstr>
  </property>
  <property fmtid="{D5CDD505-2E9C-101B-9397-08002B2CF9AE}" pid="16" name="CASENOTES1">
    <vt:lpwstr>ProcID=213&amp;PartA=30&amp;PartC=29</vt:lpwstr>
  </property>
  <property fmtid="{D5CDD505-2E9C-101B-9397-08002B2CF9AE}" pid="17" name="WORDNUMPAGES">
    <vt:lpwstr>5</vt:lpwstr>
  </property>
  <property fmtid="{D5CDD505-2E9C-101B-9397-08002B2CF9AE}" pid="18" name="TYPE_ABS_DATE">
    <vt:lpwstr>380020191204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vt:lpwstr>
  </property>
</Properties>
</file>