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E15933" w:rsidRPr="005A01FF" w14:paraId="63104063" w14:textId="77777777" w:rsidTr="00F97EED">
        <w:trPr>
          <w:trHeight w:hRule="exact" w:val="704"/>
          <w:jc w:val="center"/>
        </w:trPr>
        <w:tc>
          <w:tcPr>
            <w:tcW w:w="8721" w:type="dxa"/>
            <w:gridSpan w:val="2"/>
          </w:tcPr>
          <w:p w14:paraId="6F572E13" w14:textId="77777777" w:rsidR="00E15933" w:rsidRPr="005A01FF" w:rsidRDefault="00E15933" w:rsidP="00F97EED">
            <w:pPr>
              <w:pStyle w:val="a3"/>
              <w:jc w:val="center"/>
              <w:rPr>
                <w:rFonts w:ascii="Tahoma" w:hAnsi="Tahoma" w:cs="Tahoma"/>
                <w:b/>
                <w:bCs/>
                <w:color w:val="000080"/>
                <w:rtl/>
              </w:rPr>
            </w:pPr>
            <w:bookmarkStart w:id="0" w:name="FirstLawyer"/>
            <w:bookmarkStart w:id="1" w:name="LastJudge"/>
            <w:r w:rsidRPr="005A01FF">
              <w:rPr>
                <w:rFonts w:ascii="Tahoma" w:hAnsi="Tahoma" w:cs="Tahoma"/>
                <w:b/>
                <w:bCs/>
                <w:color w:val="000080"/>
                <w:rtl/>
              </w:rPr>
              <w:t>בית משפט השלום בבאר שבע</w:t>
            </w:r>
          </w:p>
          <w:p w14:paraId="7E8F85E3" w14:textId="77777777" w:rsidR="00E15933" w:rsidRPr="005A01FF" w:rsidRDefault="00E15933" w:rsidP="00F97EED">
            <w:pPr>
              <w:pStyle w:val="a3"/>
              <w:jc w:val="center"/>
              <w:rPr>
                <w:rFonts w:ascii="Tahoma" w:hAnsi="Tahoma" w:cs="Tahoma"/>
                <w:color w:val="000080"/>
                <w:rtl/>
              </w:rPr>
            </w:pPr>
          </w:p>
        </w:tc>
      </w:tr>
      <w:tr w:rsidR="00E15933" w:rsidRPr="005A01FF" w14:paraId="4EDF7B36" w14:textId="77777777" w:rsidTr="00F97EED">
        <w:trPr>
          <w:trHeight w:val="337"/>
          <w:jc w:val="center"/>
        </w:trPr>
        <w:tc>
          <w:tcPr>
            <w:tcW w:w="4473" w:type="dxa"/>
          </w:tcPr>
          <w:p w14:paraId="0182F79A" w14:textId="77777777" w:rsidR="00E15933" w:rsidRPr="005A01FF" w:rsidRDefault="00E15933" w:rsidP="00F97EED">
            <w:pPr>
              <w:rPr>
                <w:b/>
                <w:bCs/>
                <w:sz w:val="26"/>
                <w:szCs w:val="26"/>
                <w:rtl/>
              </w:rPr>
            </w:pPr>
          </w:p>
        </w:tc>
        <w:tc>
          <w:tcPr>
            <w:tcW w:w="4248" w:type="dxa"/>
          </w:tcPr>
          <w:p w14:paraId="18617610" w14:textId="77777777" w:rsidR="00E15933" w:rsidRPr="005A01FF" w:rsidRDefault="00E15933" w:rsidP="00F97EED">
            <w:pPr>
              <w:pStyle w:val="a3"/>
              <w:jc w:val="right"/>
              <w:rPr>
                <w:b/>
                <w:bCs/>
                <w:sz w:val="26"/>
                <w:szCs w:val="26"/>
                <w:rtl/>
              </w:rPr>
            </w:pPr>
            <w:r w:rsidRPr="005A01FF">
              <w:rPr>
                <w:b/>
                <w:bCs/>
                <w:sz w:val="26"/>
                <w:szCs w:val="26"/>
                <w:rtl/>
              </w:rPr>
              <w:t>ד' אדר ב' תשע"ט</w:t>
            </w:r>
          </w:p>
          <w:p w14:paraId="6DFAF03E" w14:textId="77777777" w:rsidR="00E15933" w:rsidRPr="005A01FF" w:rsidRDefault="00E15933" w:rsidP="00F97EED">
            <w:pPr>
              <w:pStyle w:val="a3"/>
              <w:jc w:val="right"/>
              <w:rPr>
                <w:b/>
                <w:bCs/>
                <w:sz w:val="26"/>
                <w:szCs w:val="26"/>
                <w:rtl/>
              </w:rPr>
            </w:pPr>
            <w:r w:rsidRPr="005A01FF">
              <w:rPr>
                <w:b/>
                <w:bCs/>
                <w:sz w:val="26"/>
                <w:szCs w:val="26"/>
                <w:rtl/>
              </w:rPr>
              <w:t>11 מרץ 2019</w:t>
            </w:r>
          </w:p>
        </w:tc>
      </w:tr>
      <w:tr w:rsidR="00E15933" w:rsidRPr="005A01FF" w14:paraId="0029B64B" w14:textId="77777777" w:rsidTr="00F97EED">
        <w:trPr>
          <w:trHeight w:val="337"/>
          <w:jc w:val="center"/>
        </w:trPr>
        <w:tc>
          <w:tcPr>
            <w:tcW w:w="8721" w:type="dxa"/>
            <w:gridSpan w:val="2"/>
          </w:tcPr>
          <w:p w14:paraId="6E86B270" w14:textId="77777777" w:rsidR="00E15933" w:rsidRPr="005A01FF" w:rsidRDefault="005A01FF" w:rsidP="00F97EED">
            <w:pPr>
              <w:rPr>
                <w:b/>
                <w:bCs/>
                <w:sz w:val="26"/>
                <w:szCs w:val="26"/>
                <w:rtl/>
              </w:rPr>
            </w:pPr>
            <w:hyperlink r:id="rId7" w:history="1">
              <w:r w:rsidRPr="005A01FF">
                <w:rPr>
                  <w:b/>
                  <w:bCs/>
                  <w:color w:val="0000FF"/>
                  <w:sz w:val="26"/>
                  <w:szCs w:val="26"/>
                  <w:u w:val="single"/>
                  <w:rtl/>
                </w:rPr>
                <w:t>ת"פ 11098-06-18</w:t>
              </w:r>
            </w:hyperlink>
            <w:r w:rsidR="00E15933" w:rsidRPr="005A01FF">
              <w:rPr>
                <w:b/>
                <w:bCs/>
                <w:sz w:val="26"/>
                <w:szCs w:val="26"/>
                <w:rtl/>
              </w:rPr>
              <w:t xml:space="preserve"> מדינת ישראל נ' אלקורעאן(עציר)</w:t>
            </w:r>
          </w:p>
          <w:p w14:paraId="40785B23" w14:textId="77777777" w:rsidR="00E15933" w:rsidRPr="005A01FF" w:rsidRDefault="00E15933" w:rsidP="00F97EED">
            <w:pPr>
              <w:rPr>
                <w:rtl/>
              </w:rPr>
            </w:pPr>
          </w:p>
          <w:p w14:paraId="644D2FA5" w14:textId="77777777" w:rsidR="00E15933" w:rsidRPr="005A01FF" w:rsidRDefault="00E15933" w:rsidP="00F97EED">
            <w:pPr>
              <w:rPr>
                <w:rtl/>
              </w:rPr>
            </w:pPr>
            <w:r w:rsidRPr="005A01FF">
              <w:rPr>
                <w:rFonts w:hint="cs"/>
                <w:sz w:val="20"/>
                <w:szCs w:val="20"/>
                <w:rtl/>
              </w:rPr>
              <w:t>תיק חיצוני</w:t>
            </w:r>
            <w:r w:rsidRPr="005A01FF">
              <w:rPr>
                <w:rFonts w:hint="cs"/>
                <w:rtl/>
              </w:rPr>
              <w:t xml:space="preserve">: </w:t>
            </w:r>
            <w:r w:rsidRPr="005A01FF">
              <w:rPr>
                <w:sz w:val="20"/>
                <w:szCs w:val="20"/>
              </w:rPr>
              <w:t>3652/18</w:t>
            </w:r>
          </w:p>
        </w:tc>
      </w:tr>
    </w:tbl>
    <w:p w14:paraId="5B431D8E" w14:textId="77777777" w:rsidR="00E15933" w:rsidRPr="005A01FF" w:rsidRDefault="00E15933" w:rsidP="00E15933">
      <w:pPr>
        <w:pStyle w:val="a3"/>
        <w:rPr>
          <w:rtl/>
        </w:rPr>
      </w:pPr>
      <w:r w:rsidRPr="005A01FF">
        <w:rPr>
          <w:rtl/>
        </w:rPr>
        <w:t xml:space="preserve"> </w:t>
      </w:r>
    </w:p>
    <w:p w14:paraId="38D1C746" w14:textId="77777777" w:rsidR="00E15933" w:rsidRPr="005A01FF" w:rsidRDefault="00E15933" w:rsidP="00E15933">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E15933" w:rsidRPr="005A01FF" w14:paraId="0C5258AF" w14:textId="77777777" w:rsidTr="00E15933">
        <w:trPr>
          <w:jc w:val="center"/>
        </w:trPr>
        <w:tc>
          <w:tcPr>
            <w:tcW w:w="743" w:type="dxa"/>
            <w:shd w:val="clear" w:color="auto" w:fill="auto"/>
          </w:tcPr>
          <w:p w14:paraId="62D6A5DD" w14:textId="77777777" w:rsidR="00E15933" w:rsidRPr="005A01FF" w:rsidRDefault="00E15933" w:rsidP="00E15933">
            <w:pPr>
              <w:jc w:val="both"/>
              <w:rPr>
                <w:rFonts w:ascii="Arial" w:hAnsi="Arial"/>
                <w:b/>
                <w:bCs/>
              </w:rPr>
            </w:pPr>
            <w:r w:rsidRPr="005A01FF">
              <w:rPr>
                <w:rFonts w:ascii="Arial" w:hAnsi="Arial" w:hint="cs"/>
                <w:b/>
                <w:bCs/>
                <w:rtl/>
              </w:rPr>
              <w:t>לפני</w:t>
            </w:r>
          </w:p>
        </w:tc>
        <w:tc>
          <w:tcPr>
            <w:tcW w:w="8077" w:type="dxa"/>
            <w:gridSpan w:val="2"/>
            <w:shd w:val="clear" w:color="auto" w:fill="auto"/>
          </w:tcPr>
          <w:p w14:paraId="5FA5FC87" w14:textId="77777777" w:rsidR="00E15933" w:rsidRPr="005A01FF" w:rsidRDefault="00E15933" w:rsidP="00F97EED">
            <w:pPr>
              <w:rPr>
                <w:rFonts w:ascii="Arial" w:hAnsi="Arial"/>
                <w:b/>
                <w:bCs/>
                <w:rtl/>
              </w:rPr>
            </w:pPr>
            <w:r w:rsidRPr="005A01FF">
              <w:rPr>
                <w:rFonts w:ascii="Arial" w:hAnsi="Arial" w:hint="cs"/>
                <w:b/>
                <w:bCs/>
                <w:rtl/>
              </w:rPr>
              <w:t>כב' ה</w:t>
            </w:r>
            <w:r w:rsidRPr="005A01FF">
              <w:rPr>
                <w:rFonts w:ascii="Arial" w:hAnsi="Arial"/>
                <w:b/>
                <w:bCs/>
                <w:rtl/>
              </w:rPr>
              <w:t>שופט</w:t>
            </w:r>
            <w:r w:rsidRPr="005A01FF">
              <w:rPr>
                <w:rFonts w:ascii="Arial" w:hAnsi="Arial" w:hint="cs"/>
                <w:b/>
                <w:bCs/>
                <w:rtl/>
              </w:rPr>
              <w:t xml:space="preserve">  </w:t>
            </w:r>
            <w:r w:rsidRPr="005A01FF">
              <w:rPr>
                <w:rFonts w:ascii="Arial" w:hAnsi="Arial"/>
                <w:b/>
                <w:bCs/>
                <w:rtl/>
              </w:rPr>
              <w:t>רון סולקין</w:t>
            </w:r>
          </w:p>
          <w:p w14:paraId="7DD5C0CC" w14:textId="77777777" w:rsidR="00E15933" w:rsidRPr="005A01FF" w:rsidRDefault="00E15933" w:rsidP="00F97EED">
            <w:pPr>
              <w:rPr>
                <w:rFonts w:ascii="Arial" w:hAnsi="Arial" w:cs="FrankRuehl"/>
                <w:sz w:val="28"/>
                <w:szCs w:val="28"/>
                <w:highlight w:val="yellow"/>
              </w:rPr>
            </w:pPr>
          </w:p>
        </w:tc>
      </w:tr>
      <w:tr w:rsidR="00E15933" w:rsidRPr="005A01FF" w14:paraId="145DF867" w14:textId="77777777" w:rsidTr="00E15933">
        <w:trPr>
          <w:jc w:val="center"/>
        </w:trPr>
        <w:tc>
          <w:tcPr>
            <w:tcW w:w="3249" w:type="dxa"/>
            <w:gridSpan w:val="2"/>
            <w:shd w:val="clear" w:color="auto" w:fill="auto"/>
          </w:tcPr>
          <w:p w14:paraId="4E20EDBE" w14:textId="77777777" w:rsidR="00E15933" w:rsidRPr="005A01FF" w:rsidRDefault="00E15933" w:rsidP="00E15933">
            <w:pPr>
              <w:bidi w:val="0"/>
              <w:jc w:val="right"/>
              <w:rPr>
                <w:rFonts w:ascii="Arial" w:hAnsi="Arial"/>
                <w:b/>
                <w:bCs/>
                <w:sz w:val="26"/>
                <w:szCs w:val="26"/>
                <w:rtl/>
              </w:rPr>
            </w:pPr>
            <w:bookmarkStart w:id="2" w:name="FirstAppellant"/>
            <w:r w:rsidRPr="005A01FF">
              <w:rPr>
                <w:rFonts w:ascii="Arial" w:hAnsi="Arial" w:hint="cs"/>
                <w:b/>
                <w:bCs/>
                <w:sz w:val="26"/>
                <w:szCs w:val="26"/>
                <w:rtl/>
              </w:rPr>
              <w:t>המאשימה</w:t>
            </w:r>
          </w:p>
        </w:tc>
        <w:tc>
          <w:tcPr>
            <w:tcW w:w="5571" w:type="dxa"/>
            <w:shd w:val="clear" w:color="auto" w:fill="auto"/>
          </w:tcPr>
          <w:p w14:paraId="604D6664" w14:textId="77777777" w:rsidR="00E15933" w:rsidRPr="005A01FF" w:rsidRDefault="00E15933" w:rsidP="00F97EED">
            <w:pPr>
              <w:rPr>
                <w:b/>
                <w:bCs/>
                <w:sz w:val="26"/>
                <w:szCs w:val="26"/>
              </w:rPr>
            </w:pPr>
            <w:r w:rsidRPr="005A01FF">
              <w:rPr>
                <w:rFonts w:ascii="Arial" w:hAnsi="Arial"/>
                <w:b/>
                <w:bCs/>
                <w:sz w:val="26"/>
                <w:szCs w:val="26"/>
                <w:rtl/>
              </w:rPr>
              <w:t>מדינת ישראל</w:t>
            </w:r>
            <w:r w:rsidRPr="005A01FF">
              <w:rPr>
                <w:rFonts w:ascii="Arial" w:hAnsi="Arial"/>
                <w:b/>
                <w:bCs/>
                <w:sz w:val="26"/>
                <w:szCs w:val="26"/>
                <w:rtl/>
              </w:rPr>
              <w:br/>
            </w:r>
            <w:r w:rsidRPr="005A01FF">
              <w:rPr>
                <w:rFonts w:hint="cs"/>
                <w:b/>
                <w:bCs/>
                <w:rtl/>
              </w:rPr>
              <w:t>ע"י ב"כ מתמחה יוסף טייב</w:t>
            </w:r>
          </w:p>
        </w:tc>
      </w:tr>
      <w:bookmarkEnd w:id="2"/>
      <w:tr w:rsidR="00E15933" w:rsidRPr="005A01FF" w14:paraId="284EE84E" w14:textId="77777777" w:rsidTr="00E15933">
        <w:trPr>
          <w:jc w:val="center"/>
        </w:trPr>
        <w:tc>
          <w:tcPr>
            <w:tcW w:w="8820" w:type="dxa"/>
            <w:gridSpan w:val="3"/>
            <w:shd w:val="clear" w:color="auto" w:fill="auto"/>
          </w:tcPr>
          <w:p w14:paraId="740F345F" w14:textId="77777777" w:rsidR="00E15933" w:rsidRPr="005A01FF" w:rsidRDefault="00E15933" w:rsidP="00F97EED">
            <w:pPr>
              <w:rPr>
                <w:rFonts w:ascii="Arial" w:hAnsi="Arial"/>
                <w:b/>
                <w:bCs/>
                <w:sz w:val="26"/>
                <w:szCs w:val="26"/>
                <w:rtl/>
              </w:rPr>
            </w:pPr>
          </w:p>
          <w:p w14:paraId="0659201E" w14:textId="77777777" w:rsidR="00E15933" w:rsidRPr="005A01FF" w:rsidRDefault="00E15933" w:rsidP="00E15933">
            <w:pPr>
              <w:jc w:val="center"/>
              <w:rPr>
                <w:rFonts w:ascii="Arial" w:hAnsi="Arial"/>
                <w:b/>
                <w:bCs/>
                <w:sz w:val="26"/>
                <w:szCs w:val="26"/>
                <w:rtl/>
              </w:rPr>
            </w:pPr>
            <w:r w:rsidRPr="005A01FF">
              <w:rPr>
                <w:rFonts w:ascii="Arial" w:hAnsi="Arial"/>
                <w:b/>
                <w:bCs/>
                <w:sz w:val="26"/>
                <w:szCs w:val="26"/>
                <w:rtl/>
              </w:rPr>
              <w:t>נגד</w:t>
            </w:r>
          </w:p>
          <w:p w14:paraId="2431DF44" w14:textId="77777777" w:rsidR="00E15933" w:rsidRPr="005A01FF" w:rsidRDefault="00E15933" w:rsidP="00F97EED">
            <w:pPr>
              <w:rPr>
                <w:rFonts w:ascii="Arial" w:hAnsi="Arial"/>
                <w:b/>
                <w:bCs/>
                <w:sz w:val="26"/>
                <w:szCs w:val="26"/>
              </w:rPr>
            </w:pPr>
          </w:p>
        </w:tc>
      </w:tr>
      <w:tr w:rsidR="00E15933" w:rsidRPr="005A01FF" w14:paraId="28B6628B" w14:textId="77777777" w:rsidTr="00E15933">
        <w:trPr>
          <w:jc w:val="center"/>
        </w:trPr>
        <w:tc>
          <w:tcPr>
            <w:tcW w:w="3249" w:type="dxa"/>
            <w:gridSpan w:val="2"/>
            <w:shd w:val="clear" w:color="auto" w:fill="auto"/>
          </w:tcPr>
          <w:p w14:paraId="7632BF71" w14:textId="77777777" w:rsidR="00E15933" w:rsidRPr="005A01FF" w:rsidRDefault="00E15933" w:rsidP="00F97EED">
            <w:pPr>
              <w:rPr>
                <w:rFonts w:ascii="Arial" w:hAnsi="Arial"/>
                <w:b/>
                <w:bCs/>
                <w:sz w:val="26"/>
                <w:szCs w:val="26"/>
              </w:rPr>
            </w:pPr>
            <w:r w:rsidRPr="005A01FF">
              <w:rPr>
                <w:rFonts w:ascii="Arial" w:hAnsi="Arial" w:hint="cs"/>
                <w:b/>
                <w:bCs/>
                <w:sz w:val="26"/>
                <w:szCs w:val="26"/>
                <w:rtl/>
              </w:rPr>
              <w:t>הנאשם</w:t>
            </w:r>
          </w:p>
        </w:tc>
        <w:tc>
          <w:tcPr>
            <w:tcW w:w="5571" w:type="dxa"/>
            <w:shd w:val="clear" w:color="auto" w:fill="auto"/>
          </w:tcPr>
          <w:p w14:paraId="13E73A5B" w14:textId="77777777" w:rsidR="00E15933" w:rsidRPr="005A01FF" w:rsidRDefault="00E15933" w:rsidP="00F97EED">
            <w:pPr>
              <w:rPr>
                <w:b/>
                <w:bCs/>
                <w:sz w:val="26"/>
                <w:szCs w:val="26"/>
                <w:rtl/>
              </w:rPr>
            </w:pPr>
            <w:r w:rsidRPr="005A01FF">
              <w:rPr>
                <w:rFonts w:ascii="Arial" w:hAnsi="Arial"/>
                <w:b/>
                <w:bCs/>
                <w:sz w:val="26"/>
                <w:szCs w:val="26"/>
                <w:rtl/>
              </w:rPr>
              <w:t>סאלח אלקורעאן (עציר)</w:t>
            </w:r>
            <w:r w:rsidRPr="005A01FF">
              <w:rPr>
                <w:rFonts w:ascii="Arial" w:hAnsi="Arial"/>
                <w:b/>
                <w:bCs/>
                <w:sz w:val="26"/>
                <w:szCs w:val="26"/>
                <w:rtl/>
              </w:rPr>
              <w:br/>
            </w:r>
            <w:r w:rsidRPr="005A01FF">
              <w:rPr>
                <w:rFonts w:hint="cs"/>
                <w:b/>
                <w:bCs/>
                <w:rtl/>
              </w:rPr>
              <w:t>ע"י ב"כ עו"ד אייל אוחיון</w:t>
            </w:r>
          </w:p>
        </w:tc>
      </w:tr>
    </w:tbl>
    <w:p w14:paraId="77EF2BC9" w14:textId="77777777" w:rsidR="00F05629" w:rsidRDefault="00F05629" w:rsidP="00E15933">
      <w:pPr>
        <w:suppressLineNumbers/>
        <w:rPr>
          <w:rtl/>
        </w:rPr>
      </w:pPr>
    </w:p>
    <w:p w14:paraId="2D6FAE30" w14:textId="77777777" w:rsidR="00F05629" w:rsidRPr="00F05629" w:rsidRDefault="00F05629" w:rsidP="00F05629">
      <w:pPr>
        <w:suppressLineNumbers/>
        <w:spacing w:after="120" w:line="240" w:lineRule="exact"/>
        <w:ind w:left="283" w:hanging="283"/>
        <w:jc w:val="both"/>
        <w:rPr>
          <w:rFonts w:ascii="FrankRuehl" w:hAnsi="FrankRuehl" w:cs="FrankRuehl"/>
          <w:rtl/>
        </w:rPr>
      </w:pPr>
    </w:p>
    <w:p w14:paraId="307A3E21" w14:textId="77777777" w:rsidR="00E45AEF" w:rsidRPr="00E45AEF" w:rsidRDefault="00E45AEF" w:rsidP="00E45AEF">
      <w:pPr>
        <w:suppressLineNumbers/>
        <w:spacing w:before="120" w:after="120" w:line="240" w:lineRule="exact"/>
        <w:ind w:left="283" w:hanging="283"/>
        <w:jc w:val="both"/>
        <w:rPr>
          <w:rFonts w:ascii="FrankRuehl" w:hAnsi="FrankRuehl" w:cs="FrankRuehl"/>
          <w:rtl/>
        </w:rPr>
      </w:pPr>
      <w:bookmarkStart w:id="3" w:name="LawTable"/>
      <w:bookmarkEnd w:id="3"/>
    </w:p>
    <w:p w14:paraId="5CAE57E5" w14:textId="77777777" w:rsidR="00E45AEF" w:rsidRPr="00E45AEF" w:rsidRDefault="00E45AEF" w:rsidP="00E45AEF">
      <w:pPr>
        <w:suppressLineNumbers/>
        <w:spacing w:before="120" w:after="120" w:line="240" w:lineRule="exact"/>
        <w:ind w:left="283" w:hanging="283"/>
        <w:jc w:val="both"/>
        <w:rPr>
          <w:rFonts w:ascii="FrankRuehl" w:hAnsi="FrankRuehl" w:cs="FrankRuehl"/>
          <w:rtl/>
        </w:rPr>
      </w:pPr>
    </w:p>
    <w:p w14:paraId="276ED937" w14:textId="77777777" w:rsidR="00E45AEF" w:rsidRPr="00E45AEF" w:rsidRDefault="00E45AEF" w:rsidP="00E45AEF">
      <w:pPr>
        <w:suppressLineNumbers/>
        <w:spacing w:before="120" w:after="120" w:line="240" w:lineRule="exact"/>
        <w:ind w:left="283" w:hanging="283"/>
        <w:jc w:val="both"/>
        <w:rPr>
          <w:rFonts w:ascii="FrankRuehl" w:hAnsi="FrankRuehl" w:cs="FrankRuehl"/>
          <w:rtl/>
        </w:rPr>
      </w:pPr>
      <w:r w:rsidRPr="00E45AEF">
        <w:rPr>
          <w:rFonts w:ascii="FrankRuehl" w:hAnsi="FrankRuehl" w:cs="FrankRuehl"/>
          <w:rtl/>
        </w:rPr>
        <w:t xml:space="preserve">חקיקה שאוזכרה: </w:t>
      </w:r>
    </w:p>
    <w:p w14:paraId="628FD178" w14:textId="77777777" w:rsidR="00E45AEF" w:rsidRPr="00E45AEF" w:rsidRDefault="00E45AEF" w:rsidP="00E45AEF">
      <w:pPr>
        <w:suppressLineNumbers/>
        <w:spacing w:before="120" w:after="120" w:line="240" w:lineRule="exact"/>
        <w:ind w:left="283" w:hanging="283"/>
        <w:jc w:val="both"/>
        <w:rPr>
          <w:rFonts w:ascii="FrankRuehl" w:hAnsi="FrankRuehl" w:cs="FrankRuehl"/>
          <w:color w:val="0000FF"/>
          <w:rtl/>
        </w:rPr>
      </w:pPr>
      <w:hyperlink r:id="rId8" w:history="1">
        <w:r w:rsidRPr="00E45AEF">
          <w:rPr>
            <w:rStyle w:val="Hyperlink"/>
            <w:rFonts w:ascii="FrankRuehl" w:hAnsi="FrankRuehl" w:cs="FrankRuehl"/>
            <w:rtl/>
          </w:rPr>
          <w:t>חוק העונשין, תשל"ז-1977</w:t>
        </w:r>
      </w:hyperlink>
      <w:r w:rsidRPr="00E45AEF">
        <w:rPr>
          <w:rFonts w:ascii="FrankRuehl" w:hAnsi="FrankRuehl" w:cs="FrankRuehl"/>
          <w:color w:val="0000FF"/>
          <w:u w:val="single"/>
          <w:rtl/>
        </w:rPr>
        <w:t xml:space="preserve">: סע'  </w:t>
      </w:r>
      <w:hyperlink r:id="rId9" w:history="1">
        <w:r w:rsidRPr="00E45AEF">
          <w:rPr>
            <w:rStyle w:val="Hyperlink"/>
            <w:rFonts w:ascii="FrankRuehl" w:hAnsi="FrankRuehl" w:cs="FrankRuehl"/>
          </w:rPr>
          <w:t>144</w:t>
        </w:r>
      </w:hyperlink>
      <w:r w:rsidRPr="00E45AEF">
        <w:rPr>
          <w:rFonts w:ascii="FrankRuehl" w:hAnsi="FrankRuehl" w:cs="FrankRuehl"/>
          <w:color w:val="0000FF"/>
          <w:rtl/>
        </w:rPr>
        <w:t xml:space="preserve">(א), </w:t>
      </w:r>
      <w:hyperlink r:id="rId10" w:history="1">
        <w:r w:rsidRPr="00E45AEF">
          <w:rPr>
            <w:rStyle w:val="Hyperlink"/>
            <w:rFonts w:ascii="FrankRuehl" w:hAnsi="FrankRuehl" w:cs="FrankRuehl"/>
          </w:rPr>
          <w:t>144</w:t>
        </w:r>
      </w:hyperlink>
      <w:r w:rsidRPr="00E45AEF">
        <w:rPr>
          <w:rFonts w:ascii="FrankRuehl" w:hAnsi="FrankRuehl" w:cs="FrankRuehl"/>
          <w:color w:val="0000FF"/>
          <w:rtl/>
        </w:rPr>
        <w:t xml:space="preserve">(ב), </w:t>
      </w:r>
      <w:hyperlink r:id="rId11" w:history="1">
        <w:r w:rsidRPr="00E45AEF">
          <w:rPr>
            <w:rStyle w:val="Hyperlink"/>
            <w:rFonts w:ascii="FrankRuehl" w:hAnsi="FrankRuehl" w:cs="FrankRuehl"/>
          </w:rPr>
          <w:t>186</w:t>
        </w:r>
      </w:hyperlink>
      <w:r w:rsidRPr="00E45AEF">
        <w:rPr>
          <w:rFonts w:ascii="FrankRuehl" w:hAnsi="FrankRuehl" w:cs="FrankRuehl"/>
          <w:color w:val="0000FF"/>
          <w:rtl/>
        </w:rPr>
        <w:t xml:space="preserve">, </w:t>
      </w:r>
      <w:hyperlink r:id="rId12" w:history="1">
        <w:r w:rsidRPr="00E45AEF">
          <w:rPr>
            <w:rStyle w:val="Hyperlink"/>
            <w:rFonts w:ascii="FrankRuehl" w:hAnsi="FrankRuehl" w:cs="FrankRuehl"/>
            <w:rtl/>
          </w:rPr>
          <w:t>פרק ח</w:t>
        </w:r>
        <w:r w:rsidRPr="00E45AEF">
          <w:rPr>
            <w:rStyle w:val="Hyperlink"/>
            <w:rFonts w:ascii="FrankRuehl" w:hAnsi="FrankRuehl" w:cs="FrankRuehl"/>
          </w:rPr>
          <w:t>'</w:t>
        </w:r>
      </w:hyperlink>
    </w:p>
    <w:p w14:paraId="4263D52A" w14:textId="77777777" w:rsidR="00F05629" w:rsidRPr="00E45AEF" w:rsidRDefault="00F05629" w:rsidP="00E45AEF">
      <w:pPr>
        <w:suppressLineNumbers/>
        <w:spacing w:after="120" w:line="240" w:lineRule="exact"/>
        <w:ind w:left="283" w:hanging="283"/>
        <w:jc w:val="both"/>
        <w:rPr>
          <w:rFonts w:ascii="FrankRuehl" w:hAnsi="FrankRuehl" w:cs="FrankRuehl"/>
          <w:rtl/>
        </w:rPr>
      </w:pPr>
      <w:bookmarkStart w:id="4" w:name="LawTable_End"/>
      <w:bookmarkEnd w:id="4"/>
    </w:p>
    <w:tbl>
      <w:tblPr>
        <w:bidiVisual/>
        <w:tblW w:w="8820" w:type="dxa"/>
        <w:jc w:val="center"/>
        <w:tblLook w:val="01E0" w:firstRow="1" w:lastRow="1" w:firstColumn="1" w:lastColumn="1" w:noHBand="0" w:noVBand="0"/>
      </w:tblPr>
      <w:tblGrid>
        <w:gridCol w:w="8820"/>
      </w:tblGrid>
      <w:tr w:rsidR="00E15933" w14:paraId="400A1276" w14:textId="77777777" w:rsidTr="00E15933">
        <w:trPr>
          <w:jc w:val="center"/>
        </w:trPr>
        <w:tc>
          <w:tcPr>
            <w:tcW w:w="8820" w:type="dxa"/>
            <w:shd w:val="clear" w:color="auto" w:fill="auto"/>
          </w:tcPr>
          <w:p w14:paraId="0AF58DAB" w14:textId="77777777" w:rsidR="005A01FF" w:rsidRPr="005A01FF" w:rsidRDefault="005A01FF" w:rsidP="005A01FF">
            <w:pPr>
              <w:bidi w:val="0"/>
              <w:jc w:val="center"/>
              <w:rPr>
                <w:rFonts w:ascii="Arial" w:hAnsi="Arial"/>
                <w:b/>
                <w:bCs/>
                <w:sz w:val="28"/>
                <w:szCs w:val="28"/>
                <w:u w:val="single"/>
              </w:rPr>
            </w:pPr>
            <w:bookmarkStart w:id="5" w:name="PsakDin" w:colFirst="0" w:colLast="0"/>
            <w:bookmarkEnd w:id="0"/>
            <w:bookmarkEnd w:id="1"/>
            <w:r w:rsidRPr="005A01FF">
              <w:rPr>
                <w:rFonts w:ascii="Arial" w:hAnsi="Arial"/>
                <w:b/>
                <w:bCs/>
                <w:sz w:val="28"/>
                <w:szCs w:val="28"/>
                <w:u w:val="single"/>
                <w:rtl/>
              </w:rPr>
              <w:t>גזר דין</w:t>
            </w:r>
          </w:p>
          <w:p w14:paraId="094891B2" w14:textId="77777777" w:rsidR="00E15933" w:rsidRPr="005A01FF" w:rsidRDefault="00E15933" w:rsidP="005A01FF">
            <w:pPr>
              <w:bidi w:val="0"/>
              <w:jc w:val="center"/>
              <w:rPr>
                <w:rFonts w:ascii="Arial" w:hAnsi="Arial"/>
                <w:b/>
                <w:bCs/>
                <w:sz w:val="28"/>
                <w:szCs w:val="28"/>
                <w:u w:val="single"/>
              </w:rPr>
            </w:pPr>
          </w:p>
        </w:tc>
      </w:tr>
      <w:bookmarkEnd w:id="5"/>
    </w:tbl>
    <w:p w14:paraId="5D730691" w14:textId="77777777" w:rsidR="00E15933" w:rsidRDefault="00E15933" w:rsidP="00E15933">
      <w:pPr>
        <w:spacing w:line="360" w:lineRule="auto"/>
        <w:jc w:val="both"/>
        <w:rPr>
          <w:rFonts w:ascii="Arial" w:hAnsi="Arial"/>
          <w:rtl/>
        </w:rPr>
      </w:pPr>
    </w:p>
    <w:p w14:paraId="20CFD061" w14:textId="77777777" w:rsidR="00E15933" w:rsidRDefault="00E15933" w:rsidP="00E15933">
      <w:pPr>
        <w:spacing w:line="360" w:lineRule="auto"/>
        <w:rPr>
          <w:rFonts w:ascii="Calibri" w:hAnsi="Calibri"/>
          <w:rtl/>
        </w:rPr>
      </w:pPr>
      <w:bookmarkStart w:id="6" w:name="ABSTRACT_START"/>
      <w:bookmarkEnd w:id="6"/>
      <w:r>
        <w:rPr>
          <w:rFonts w:ascii="Arial" w:hAnsi="Arial" w:hint="cs"/>
          <w:rtl/>
        </w:rPr>
        <w:t xml:space="preserve">הנאשם שלפני נותן את הדין בגין עבירה של אחזקת נשק ותחמושת שלא כדין, בניגוד </w:t>
      </w:r>
      <w:hyperlink r:id="rId13" w:history="1">
        <w:r w:rsidR="00F05629" w:rsidRPr="00F05629">
          <w:rPr>
            <w:rFonts w:ascii="Arial" w:hAnsi="Arial"/>
            <w:color w:val="0000FF"/>
            <w:u w:val="single"/>
            <w:rtl/>
          </w:rPr>
          <w:t>לסעיף 144(א)</w:t>
        </w:r>
      </w:hyperlink>
      <w:r>
        <w:rPr>
          <w:rFonts w:ascii="Arial" w:hAnsi="Arial" w:hint="cs"/>
          <w:rtl/>
        </w:rPr>
        <w:t xml:space="preserve"> רישא וסיפא </w:t>
      </w:r>
      <w:r>
        <w:rPr>
          <w:rFonts w:ascii="Calibri" w:hAnsi="Calibri" w:hint="cs"/>
          <w:rtl/>
        </w:rPr>
        <w:t>ל</w:t>
      </w:r>
      <w:hyperlink r:id="rId14" w:history="1">
        <w:r w:rsidR="005A01FF" w:rsidRPr="005A01FF">
          <w:rPr>
            <w:rFonts w:ascii="Calibri" w:hAnsi="Calibri" w:hint="eastAsia"/>
            <w:color w:val="0000FF"/>
            <w:u w:val="single"/>
            <w:rtl/>
          </w:rPr>
          <w:t>חוק</w:t>
        </w:r>
        <w:r w:rsidR="005A01FF" w:rsidRPr="005A01FF">
          <w:rPr>
            <w:rFonts w:ascii="Calibri" w:hAnsi="Calibri"/>
            <w:color w:val="0000FF"/>
            <w:u w:val="single"/>
            <w:rtl/>
          </w:rPr>
          <w:t xml:space="preserve"> </w:t>
        </w:r>
        <w:r w:rsidR="005A01FF" w:rsidRPr="005A01FF">
          <w:rPr>
            <w:rFonts w:ascii="Calibri" w:hAnsi="Calibri" w:hint="eastAsia"/>
            <w:color w:val="0000FF"/>
            <w:u w:val="single"/>
            <w:rtl/>
          </w:rPr>
          <w:t>העונשין</w:t>
        </w:r>
      </w:hyperlink>
      <w:r w:rsidRPr="00527DA7">
        <w:rPr>
          <w:rFonts w:ascii="Calibri" w:hAnsi="Calibri"/>
          <w:rtl/>
        </w:rPr>
        <w:t xml:space="preserve">, </w:t>
      </w:r>
      <w:r w:rsidRPr="00527DA7">
        <w:rPr>
          <w:rFonts w:ascii="Calibri" w:hAnsi="Calibri" w:hint="eastAsia"/>
          <w:rtl/>
        </w:rPr>
        <w:t>תשל</w:t>
      </w:r>
      <w:r w:rsidRPr="00527DA7">
        <w:rPr>
          <w:rFonts w:ascii="Calibri" w:hAnsi="Calibri"/>
          <w:rtl/>
        </w:rPr>
        <w:t>"</w:t>
      </w:r>
      <w:r w:rsidRPr="00527DA7">
        <w:rPr>
          <w:rFonts w:ascii="Calibri" w:hAnsi="Calibri" w:hint="eastAsia"/>
          <w:rtl/>
        </w:rPr>
        <w:t>ז</w:t>
      </w:r>
      <w:r>
        <w:rPr>
          <w:rFonts w:ascii="Calibri" w:hAnsi="Calibri" w:hint="cs"/>
          <w:rtl/>
        </w:rPr>
        <w:t>-</w:t>
      </w:r>
      <w:r w:rsidRPr="00527DA7">
        <w:rPr>
          <w:rFonts w:ascii="Calibri" w:hAnsi="Calibri"/>
          <w:rtl/>
        </w:rPr>
        <w:t>19</w:t>
      </w:r>
      <w:r>
        <w:rPr>
          <w:rFonts w:ascii="Calibri" w:hAnsi="Calibri"/>
          <w:rtl/>
        </w:rPr>
        <w:t>77</w:t>
      </w:r>
      <w:r>
        <w:rPr>
          <w:rFonts w:ascii="Calibri" w:hAnsi="Calibri" w:hint="cs"/>
          <w:rtl/>
        </w:rPr>
        <w:t>.</w:t>
      </w:r>
    </w:p>
    <w:p w14:paraId="5F79DBB3" w14:textId="77777777" w:rsidR="00E15933" w:rsidRDefault="00E15933" w:rsidP="00E15933">
      <w:pPr>
        <w:spacing w:line="360" w:lineRule="auto"/>
        <w:rPr>
          <w:rFonts w:ascii="Calibri" w:hAnsi="Calibri"/>
          <w:rtl/>
        </w:rPr>
      </w:pPr>
      <w:bookmarkStart w:id="7" w:name="ABSTRACT_END"/>
      <w:bookmarkEnd w:id="7"/>
    </w:p>
    <w:p w14:paraId="60EE4049" w14:textId="77777777" w:rsidR="00E15933" w:rsidRDefault="00E15933" w:rsidP="00E15933">
      <w:pPr>
        <w:spacing w:line="360" w:lineRule="auto"/>
        <w:rPr>
          <w:rFonts w:ascii="Calibri" w:hAnsi="Calibri"/>
          <w:rtl/>
        </w:rPr>
      </w:pPr>
      <w:r>
        <w:rPr>
          <w:rFonts w:ascii="Calibri" w:hAnsi="Calibri" w:hint="cs"/>
          <w:rtl/>
        </w:rPr>
        <w:t xml:space="preserve">בהתאם לעובדות כתב האישום, בהם הודה הנאשם כפי שהן </w:t>
      </w:r>
      <w:r>
        <w:rPr>
          <w:rFonts w:ascii="Calibri" w:hAnsi="Calibri"/>
          <w:rtl/>
        </w:rPr>
        <w:t>–</w:t>
      </w:r>
      <w:r>
        <w:rPr>
          <w:rFonts w:ascii="Calibri" w:hAnsi="Calibri" w:hint="cs"/>
          <w:rtl/>
        </w:rPr>
        <w:t xml:space="preserve"> נתפס, בתאריך 23/05/18, מחזיק רובה סער מסוג "גליל", שמספרו הסידורי נמחק; וכן מחסניות ותחמושת - שלא כדין.</w:t>
      </w:r>
    </w:p>
    <w:p w14:paraId="2F251DB1" w14:textId="77777777" w:rsidR="00E15933" w:rsidRDefault="00E15933" w:rsidP="00E15933">
      <w:pPr>
        <w:spacing w:line="360" w:lineRule="auto"/>
        <w:rPr>
          <w:rFonts w:ascii="Calibri" w:hAnsi="Calibri"/>
          <w:rtl/>
        </w:rPr>
      </w:pPr>
    </w:p>
    <w:p w14:paraId="3DF0DBBA" w14:textId="77777777" w:rsidR="00E15933" w:rsidRDefault="00E15933" w:rsidP="00E15933">
      <w:pPr>
        <w:spacing w:line="360" w:lineRule="auto"/>
        <w:rPr>
          <w:rFonts w:ascii="Calibri" w:hAnsi="Calibri"/>
          <w:rtl/>
        </w:rPr>
      </w:pPr>
      <w:r>
        <w:rPr>
          <w:rFonts w:ascii="Calibri" w:hAnsi="Calibri" w:hint="cs"/>
          <w:rtl/>
        </w:rPr>
        <w:t xml:space="preserve">הודאת הנאשם נמסרה </w:t>
      </w:r>
      <w:r w:rsidRPr="0071677A">
        <w:rPr>
          <w:rFonts w:ascii="Calibri" w:hAnsi="Calibri" w:hint="cs"/>
          <w:u w:val="single"/>
          <w:rtl/>
        </w:rPr>
        <w:t>שלא</w:t>
      </w:r>
      <w:r>
        <w:rPr>
          <w:rFonts w:ascii="Calibri" w:hAnsi="Calibri" w:hint="cs"/>
          <w:rtl/>
        </w:rPr>
        <w:t xml:space="preserve"> במסגרת הסדר טיעון (יצוין כי, בפרוטוקול מיום 28/11/18 נרשם בטעות, כי ההודאה נמסרה במסגרת הסדר טיעון וכן נרשם סעיף עבירה שגוי. בד בבד עם מתן גזר הדין </w:t>
      </w:r>
      <w:r>
        <w:rPr>
          <w:rFonts w:ascii="Calibri" w:hAnsi="Calibri"/>
          <w:rtl/>
        </w:rPr>
        <w:t>–</w:t>
      </w:r>
      <w:r>
        <w:rPr>
          <w:rFonts w:ascii="Calibri" w:hAnsi="Calibri" w:hint="cs"/>
          <w:rtl/>
        </w:rPr>
        <w:t xml:space="preserve"> ניתנה החלטה מתקנת לעניין זה). </w:t>
      </w:r>
    </w:p>
    <w:p w14:paraId="5C2A52E6" w14:textId="77777777" w:rsidR="00E15933" w:rsidRDefault="00E15933" w:rsidP="00E15933">
      <w:pPr>
        <w:spacing w:line="360" w:lineRule="auto"/>
        <w:rPr>
          <w:rFonts w:ascii="Calibri" w:hAnsi="Calibri"/>
          <w:rtl/>
        </w:rPr>
      </w:pPr>
    </w:p>
    <w:p w14:paraId="5EBB23B6" w14:textId="77777777" w:rsidR="00E15933" w:rsidRDefault="00E15933" w:rsidP="00E15933">
      <w:pPr>
        <w:spacing w:line="360" w:lineRule="auto"/>
        <w:rPr>
          <w:rFonts w:ascii="Calibri" w:hAnsi="Calibri"/>
          <w:rtl/>
        </w:rPr>
      </w:pPr>
    </w:p>
    <w:p w14:paraId="4C55D502" w14:textId="77777777" w:rsidR="00E15933" w:rsidRPr="00A827F2" w:rsidRDefault="00E15933" w:rsidP="00E15933">
      <w:pPr>
        <w:spacing w:line="360" w:lineRule="auto"/>
        <w:rPr>
          <w:rFonts w:ascii="Calibri" w:hAnsi="Calibri"/>
          <w:b/>
          <w:bCs/>
          <w:rtl/>
        </w:rPr>
      </w:pPr>
      <w:r w:rsidRPr="00A827F2">
        <w:rPr>
          <w:rFonts w:ascii="Calibri" w:hAnsi="Calibri" w:hint="cs"/>
          <w:b/>
          <w:bCs/>
          <w:rtl/>
        </w:rPr>
        <w:t>ראיות לעונש</w:t>
      </w:r>
    </w:p>
    <w:p w14:paraId="13D98A0B" w14:textId="77777777" w:rsidR="00E15933" w:rsidRDefault="00E15933" w:rsidP="00E15933">
      <w:pPr>
        <w:spacing w:line="360" w:lineRule="auto"/>
        <w:rPr>
          <w:rFonts w:ascii="Calibri" w:hAnsi="Calibri"/>
          <w:rtl/>
        </w:rPr>
      </w:pPr>
    </w:p>
    <w:p w14:paraId="1B917315" w14:textId="77777777" w:rsidR="00E15933" w:rsidRDefault="00E15933" w:rsidP="00E15933">
      <w:pPr>
        <w:spacing w:line="360" w:lineRule="auto"/>
        <w:rPr>
          <w:rtl/>
        </w:rPr>
      </w:pPr>
      <w:r w:rsidRPr="00A827F2">
        <w:rPr>
          <w:rFonts w:hint="cs"/>
          <w:u w:val="single"/>
          <w:rtl/>
        </w:rPr>
        <w:t>התביעה</w:t>
      </w:r>
      <w:r>
        <w:rPr>
          <w:rFonts w:hint="cs"/>
          <w:rtl/>
        </w:rPr>
        <w:t xml:space="preserve"> הגישה, לעניין העונש, את פלט הרשעותיו הקודמות של הנאשם (ת/1), ממנו עולה, כי הורשע, בעבר, בעבירה בתחום הסמים המסוכנים. עוד הוגש פלט הרשעותיו התעבורתיות (ת/2), ממנו עולה, כי הורשע בעבירות שונות, בין היתר, עקיפה תוך חציית קו הפרדה רצוף; עבירות מהירות (כולל מהירות בגינה זומן למשפט תעבורתי ולא ניתן דוח ברירת משפט); נהיגה ללא רשיון רכב בתוקף; נהיגה בניגוד לכיוון התנועה.</w:t>
      </w:r>
    </w:p>
    <w:p w14:paraId="35F8B11D" w14:textId="77777777" w:rsidR="00E15933" w:rsidRDefault="00E15933" w:rsidP="00E15933">
      <w:pPr>
        <w:spacing w:line="360" w:lineRule="auto"/>
        <w:rPr>
          <w:rtl/>
        </w:rPr>
      </w:pPr>
    </w:p>
    <w:p w14:paraId="20AF8020" w14:textId="77777777" w:rsidR="00E15933" w:rsidRDefault="00E15933" w:rsidP="00E15933">
      <w:pPr>
        <w:spacing w:line="360" w:lineRule="auto"/>
        <w:rPr>
          <w:rtl/>
        </w:rPr>
      </w:pPr>
      <w:r>
        <w:rPr>
          <w:rFonts w:hint="cs"/>
          <w:rtl/>
        </w:rPr>
        <w:t>עוד הוגשה, מטעם התביעה, חוות דעת מז"פ בנוגע לנשק שנתפס (ת/3), ממנה עולה, כי כלי הנשק נבדק ונמצא יורה ובכוחו להמית אדם. כן נמצאה התאמה בין כלי נשק זה לבין אירוע, במסגרתו נורה אדם, תושב הישוב כסיפה ונפצע. עוד פורט בחוות הדעת, כי מספרו הסידורי של הנשק - נמחק (למעט ספרה אחת).</w:t>
      </w:r>
    </w:p>
    <w:p w14:paraId="07D31642" w14:textId="77777777" w:rsidR="00E15933" w:rsidRDefault="00E15933" w:rsidP="00E15933">
      <w:pPr>
        <w:spacing w:line="360" w:lineRule="auto"/>
        <w:rPr>
          <w:rtl/>
        </w:rPr>
      </w:pPr>
    </w:p>
    <w:p w14:paraId="48099228" w14:textId="77777777" w:rsidR="00E15933" w:rsidRDefault="00E15933" w:rsidP="00E15933">
      <w:pPr>
        <w:spacing w:line="360" w:lineRule="auto"/>
        <w:rPr>
          <w:rtl/>
        </w:rPr>
      </w:pPr>
      <w:r>
        <w:rPr>
          <w:rFonts w:hint="cs"/>
          <w:rtl/>
        </w:rPr>
        <w:t>עוד הוגשו, מטעם התביעה, תמונות (ת/4), בהן ניתן לראות, כי הנשק הוסלק בתוך מקום ייעודי (סליק), במבנה מגודר באיסכורית, עטוף בניילון ולצדו מספר מחסניות -  גם הן עטופות בניילון.</w:t>
      </w:r>
    </w:p>
    <w:p w14:paraId="3238DA81" w14:textId="77777777" w:rsidR="00E15933" w:rsidRDefault="00E15933" w:rsidP="00E15933">
      <w:pPr>
        <w:spacing w:line="360" w:lineRule="auto"/>
        <w:rPr>
          <w:rtl/>
        </w:rPr>
      </w:pPr>
    </w:p>
    <w:p w14:paraId="4A2355C3" w14:textId="77777777" w:rsidR="00E15933" w:rsidRDefault="00E15933" w:rsidP="00E15933">
      <w:pPr>
        <w:spacing w:line="360" w:lineRule="auto"/>
        <w:rPr>
          <w:rtl/>
        </w:rPr>
      </w:pPr>
      <w:r>
        <w:rPr>
          <w:rFonts w:hint="cs"/>
          <w:rtl/>
        </w:rPr>
        <w:t xml:space="preserve">מטעם </w:t>
      </w:r>
      <w:r w:rsidRPr="00B57060">
        <w:rPr>
          <w:rFonts w:hint="cs"/>
          <w:u w:val="single"/>
          <w:rtl/>
        </w:rPr>
        <w:t>ההגנה</w:t>
      </w:r>
      <w:r w:rsidRPr="0085030B">
        <w:rPr>
          <w:rFonts w:hint="cs"/>
          <w:rtl/>
        </w:rPr>
        <w:t xml:space="preserve">, </w:t>
      </w:r>
      <w:r>
        <w:rPr>
          <w:rFonts w:hint="cs"/>
          <w:rtl/>
        </w:rPr>
        <w:t>הוגשה אמרת הנאשם (נ/1), שם נטען מפיו, כי 'מצא את הנשק כאשר יצא לעשות צרכיו מתחת לאחד העצים'. לדבריו, מחזיק בנשק מזה כשש שנים.</w:t>
      </w:r>
    </w:p>
    <w:p w14:paraId="489DFDF2" w14:textId="77777777" w:rsidR="00E15933" w:rsidRDefault="00E15933" w:rsidP="00E15933">
      <w:pPr>
        <w:spacing w:line="360" w:lineRule="auto"/>
        <w:rPr>
          <w:rtl/>
        </w:rPr>
      </w:pPr>
    </w:p>
    <w:p w14:paraId="7023FA2A" w14:textId="77777777" w:rsidR="00E15933" w:rsidRDefault="00E15933" w:rsidP="00E15933">
      <w:pPr>
        <w:spacing w:line="360" w:lineRule="auto"/>
        <w:rPr>
          <w:rtl/>
        </w:rPr>
      </w:pPr>
      <w:r>
        <w:rPr>
          <w:rFonts w:hint="cs"/>
          <w:rtl/>
        </w:rPr>
        <w:t xml:space="preserve">עוד סיפר הנאשם, כי הנשק הוחזק במבנה המשמש כמטבח, מוסלק מתחת ללוח עץ ("דיקט") שהותקן על הרצפה. המבנה אינו נעול, אם כי לטענת הנאשם, על אף שמתגוררים במקום ילדיו </w:t>
      </w:r>
      <w:r>
        <w:rPr>
          <w:rtl/>
        </w:rPr>
        <w:t>–</w:t>
      </w:r>
      <w:r>
        <w:rPr>
          <w:rFonts w:hint="cs"/>
          <w:rtl/>
        </w:rPr>
        <w:t xml:space="preserve"> חמישה קטינים מגיל שלוש ומחצה עד גיל עשר, הם אינם נכנסים למבנה זה. עוד טען הנאשם, כי משתמש מדי פעם בסם מסוכן סינתטי מסוג "נייס גיא". </w:t>
      </w:r>
    </w:p>
    <w:p w14:paraId="2F410183" w14:textId="77777777" w:rsidR="00E15933" w:rsidRDefault="00E15933" w:rsidP="00E15933">
      <w:pPr>
        <w:spacing w:line="360" w:lineRule="auto"/>
        <w:rPr>
          <w:rtl/>
        </w:rPr>
      </w:pPr>
    </w:p>
    <w:p w14:paraId="6BE3D9ED" w14:textId="77777777" w:rsidR="00E15933" w:rsidRDefault="00E15933" w:rsidP="00E15933">
      <w:pPr>
        <w:spacing w:line="360" w:lineRule="auto"/>
        <w:rPr>
          <w:rtl/>
        </w:rPr>
      </w:pPr>
      <w:r>
        <w:rPr>
          <w:rFonts w:hint="cs"/>
          <w:rtl/>
        </w:rPr>
        <w:t xml:space="preserve">עוד הוגש, מטעם הגנה, דוח סוציאלי מטעם המחלקה לשירותים חברתיים במועצה האזורית בה מתגורר הנאשם. עו"ס המשפחה ציינה, כי רעיית הנאשם מוכרת לה על רקע מצב סוציו-אקונומי נמוך וטיפול במיצוי זכויותיה. הרעיה והילדים מתגוררים בפחון ומתפרנסים מקצבאות המוסד לביטוח לאומי. עם זאת, מסרה, כי הנאשם אינו מתגורר עם בני משפחתו, אלא </w:t>
      </w:r>
      <w:r>
        <w:rPr>
          <w:rtl/>
        </w:rPr>
        <w:t>–</w:t>
      </w:r>
      <w:r>
        <w:rPr>
          <w:rFonts w:hint="cs"/>
          <w:rtl/>
        </w:rPr>
        <w:t xml:space="preserve"> עוד לפני הסתבכותו בפרשה זו </w:t>
      </w:r>
      <w:r>
        <w:rPr>
          <w:rtl/>
        </w:rPr>
        <w:t>–</w:t>
      </w:r>
      <w:r>
        <w:rPr>
          <w:rFonts w:hint="cs"/>
          <w:rtl/>
        </w:rPr>
        <w:t xml:space="preserve"> היה מגיע רק פעם בחודש לראות את ילדיו. הנאשם אף אינו דואג לרווחת המשפחה.</w:t>
      </w:r>
    </w:p>
    <w:p w14:paraId="1F2C430C" w14:textId="77777777" w:rsidR="00E15933" w:rsidRDefault="00E15933" w:rsidP="00E15933">
      <w:pPr>
        <w:spacing w:line="360" w:lineRule="auto"/>
        <w:rPr>
          <w:rtl/>
        </w:rPr>
      </w:pPr>
    </w:p>
    <w:p w14:paraId="0014F735" w14:textId="77777777" w:rsidR="00E15933" w:rsidRDefault="00E15933" w:rsidP="00E15933">
      <w:pPr>
        <w:spacing w:line="360" w:lineRule="auto"/>
        <w:rPr>
          <w:rtl/>
        </w:rPr>
      </w:pPr>
      <w:r>
        <w:rPr>
          <w:rFonts w:hint="cs"/>
          <w:rtl/>
        </w:rPr>
        <w:t xml:space="preserve">ההגנה לא עתרה להפנות את הנאשם להערכת שירות המבחן למבוגרים. </w:t>
      </w:r>
    </w:p>
    <w:p w14:paraId="3F5C698C" w14:textId="77777777" w:rsidR="00E15933" w:rsidRDefault="00E15933" w:rsidP="00E15933">
      <w:pPr>
        <w:spacing w:line="360" w:lineRule="auto"/>
        <w:rPr>
          <w:rtl/>
        </w:rPr>
      </w:pPr>
    </w:p>
    <w:p w14:paraId="5749E9AA" w14:textId="77777777" w:rsidR="00E15933" w:rsidRDefault="00E15933" w:rsidP="00E15933">
      <w:pPr>
        <w:spacing w:line="360" w:lineRule="auto"/>
        <w:rPr>
          <w:rtl/>
        </w:rPr>
      </w:pPr>
    </w:p>
    <w:p w14:paraId="49960303" w14:textId="77777777" w:rsidR="00E15933" w:rsidRPr="00C77153" w:rsidRDefault="00E15933" w:rsidP="00E15933">
      <w:pPr>
        <w:spacing w:line="360" w:lineRule="auto"/>
        <w:rPr>
          <w:b/>
          <w:bCs/>
        </w:rPr>
      </w:pPr>
      <w:r w:rsidRPr="00C77153">
        <w:rPr>
          <w:rFonts w:hint="cs"/>
          <w:b/>
          <w:bCs/>
          <w:rtl/>
        </w:rPr>
        <w:t>טענות הצדדים</w:t>
      </w:r>
    </w:p>
    <w:p w14:paraId="1AFE6548" w14:textId="77777777" w:rsidR="00E15933" w:rsidRDefault="00E15933" w:rsidP="00E15933">
      <w:pPr>
        <w:spacing w:line="360" w:lineRule="auto"/>
        <w:jc w:val="both"/>
        <w:rPr>
          <w:rFonts w:ascii="Arial" w:hAnsi="Arial"/>
          <w:rtl/>
        </w:rPr>
      </w:pPr>
    </w:p>
    <w:p w14:paraId="2C8030CE" w14:textId="77777777" w:rsidR="00E15933" w:rsidRDefault="00E15933" w:rsidP="00E15933">
      <w:pPr>
        <w:spacing w:line="360" w:lineRule="auto"/>
        <w:jc w:val="both"/>
        <w:rPr>
          <w:rFonts w:ascii="Arial" w:hAnsi="Arial"/>
          <w:rtl/>
        </w:rPr>
      </w:pPr>
      <w:r w:rsidRPr="002812AB">
        <w:rPr>
          <w:rFonts w:ascii="Arial" w:hAnsi="Arial" w:hint="cs"/>
          <w:u w:val="single"/>
          <w:rtl/>
        </w:rPr>
        <w:lastRenderedPageBreak/>
        <w:t>התביעה</w:t>
      </w:r>
      <w:r>
        <w:rPr>
          <w:rFonts w:ascii="Arial" w:hAnsi="Arial" w:hint="cs"/>
          <w:rtl/>
        </w:rPr>
        <w:t xml:space="preserve"> הגישה טענותיה לעונש בכתב (ת/ 5) וכן השלימה אותן על-פה. </w:t>
      </w:r>
    </w:p>
    <w:p w14:paraId="4CDD2AC6" w14:textId="77777777" w:rsidR="00E15933" w:rsidRDefault="00E15933" w:rsidP="00E15933">
      <w:pPr>
        <w:spacing w:line="360" w:lineRule="auto"/>
        <w:jc w:val="both"/>
        <w:rPr>
          <w:rFonts w:ascii="Arial" w:hAnsi="Arial"/>
          <w:rtl/>
        </w:rPr>
      </w:pPr>
      <w:r>
        <w:rPr>
          <w:rFonts w:ascii="Arial" w:hAnsi="Arial" w:hint="cs"/>
          <w:rtl/>
        </w:rPr>
        <w:t>התביעה הדגישה פוטנציאל הקטילה וההרס הטמון בהחזקת נשק שלא כדין ואת הסיכון הנשקף לשלום הציבור בשל כך.</w:t>
      </w:r>
    </w:p>
    <w:p w14:paraId="5BBEC2E6" w14:textId="77777777" w:rsidR="00E15933" w:rsidRDefault="00E15933" w:rsidP="00E15933">
      <w:pPr>
        <w:spacing w:line="360" w:lineRule="auto"/>
        <w:jc w:val="both"/>
        <w:rPr>
          <w:rFonts w:ascii="Arial" w:hAnsi="Arial"/>
          <w:rtl/>
        </w:rPr>
      </w:pPr>
    </w:p>
    <w:p w14:paraId="4047CAA5" w14:textId="77777777" w:rsidR="00E15933" w:rsidRDefault="00E15933" w:rsidP="00E15933">
      <w:pPr>
        <w:spacing w:line="360" w:lineRule="auto"/>
        <w:jc w:val="both"/>
        <w:rPr>
          <w:rFonts w:ascii="Arial" w:hAnsi="Arial"/>
          <w:rtl/>
        </w:rPr>
      </w:pPr>
      <w:r>
        <w:rPr>
          <w:rFonts w:ascii="Arial" w:hAnsi="Arial" w:hint="cs"/>
          <w:rtl/>
        </w:rPr>
        <w:t>התביעה עתרה למתחם ענישה, שינוע בין מאסר בפועל למשך שנתיים למחצה לבין 4 שנים, בצירוף רכיבי ענישה נוספים של מאסר מותנה וקנס.</w:t>
      </w:r>
    </w:p>
    <w:p w14:paraId="1D35F4A9" w14:textId="77777777" w:rsidR="00E15933" w:rsidRDefault="00E15933" w:rsidP="00E15933">
      <w:pPr>
        <w:spacing w:line="360" w:lineRule="auto"/>
        <w:jc w:val="both"/>
        <w:rPr>
          <w:rFonts w:ascii="Arial" w:hAnsi="Arial"/>
          <w:rtl/>
        </w:rPr>
      </w:pPr>
    </w:p>
    <w:p w14:paraId="39F7AD45" w14:textId="77777777" w:rsidR="00E15933" w:rsidRDefault="00E15933" w:rsidP="00E15933">
      <w:pPr>
        <w:spacing w:line="360" w:lineRule="auto"/>
        <w:jc w:val="both"/>
        <w:rPr>
          <w:rFonts w:ascii="Arial" w:hAnsi="Arial"/>
          <w:rtl/>
        </w:rPr>
      </w:pPr>
      <w:r>
        <w:rPr>
          <w:rFonts w:ascii="Arial" w:hAnsi="Arial" w:hint="cs"/>
          <w:rtl/>
        </w:rPr>
        <w:t xml:space="preserve">התביעה עותרת להשית על הנאשם עונש על הצד הבינוני </w:t>
      </w:r>
      <w:r>
        <w:rPr>
          <w:rFonts w:ascii="Arial" w:hAnsi="Arial"/>
          <w:rtl/>
        </w:rPr>
        <w:t>–</w:t>
      </w:r>
      <w:r>
        <w:rPr>
          <w:rFonts w:ascii="Arial" w:hAnsi="Arial" w:hint="cs"/>
          <w:rtl/>
        </w:rPr>
        <w:t xml:space="preserve"> גבוה של המתחם. זאת, הן לנוכח עברו הפלילי; הן לנוכח העובדה, כי המדובר בנשק שהוחזק בצירוף תחמושת ומחסניות, מוכן לשימוש; הן לאור העובדה, כי נסיבות החזקת הנשק מלמדות על כך, שעבר בין ידיהם של פורעי חוק.</w:t>
      </w:r>
    </w:p>
    <w:p w14:paraId="6DBEFA8B" w14:textId="77777777" w:rsidR="00E15933" w:rsidRDefault="00E15933" w:rsidP="00E15933">
      <w:pPr>
        <w:spacing w:line="360" w:lineRule="auto"/>
        <w:jc w:val="both"/>
        <w:rPr>
          <w:rFonts w:ascii="Arial" w:hAnsi="Arial"/>
          <w:rtl/>
        </w:rPr>
      </w:pPr>
    </w:p>
    <w:p w14:paraId="529E9577" w14:textId="77777777" w:rsidR="00E15933" w:rsidRDefault="00E15933" w:rsidP="00E15933">
      <w:pPr>
        <w:spacing w:line="360" w:lineRule="auto"/>
        <w:jc w:val="both"/>
        <w:rPr>
          <w:rFonts w:ascii="Arial" w:hAnsi="Arial"/>
          <w:rtl/>
        </w:rPr>
      </w:pPr>
      <w:r w:rsidRPr="002812AB">
        <w:rPr>
          <w:rFonts w:ascii="Arial" w:hAnsi="Arial" w:hint="cs"/>
          <w:u w:val="single"/>
          <w:rtl/>
        </w:rPr>
        <w:t>ההגנה</w:t>
      </w:r>
      <w:r>
        <w:rPr>
          <w:rFonts w:ascii="Arial" w:hAnsi="Arial" w:hint="cs"/>
          <w:rtl/>
        </w:rPr>
        <w:t xml:space="preserve"> טענה, כי מתחם הענישה אליו טענה התביעה </w:t>
      </w:r>
      <w:r>
        <w:rPr>
          <w:rFonts w:ascii="Arial" w:hAnsi="Arial"/>
          <w:rtl/>
        </w:rPr>
        <w:t>–</w:t>
      </w:r>
      <w:r>
        <w:rPr>
          <w:rFonts w:ascii="Arial" w:hAnsi="Arial" w:hint="cs"/>
          <w:rtl/>
        </w:rPr>
        <w:t xml:space="preserve"> מופרז ואינו תואם את פסיקת בתי המשפט. </w:t>
      </w:r>
    </w:p>
    <w:p w14:paraId="28D8D085" w14:textId="77777777" w:rsidR="00E15933" w:rsidRDefault="00E15933" w:rsidP="00E15933">
      <w:pPr>
        <w:spacing w:line="360" w:lineRule="auto"/>
        <w:jc w:val="both"/>
        <w:rPr>
          <w:rFonts w:ascii="Arial" w:hAnsi="Arial"/>
          <w:rtl/>
        </w:rPr>
      </w:pPr>
    </w:p>
    <w:p w14:paraId="20C45370" w14:textId="77777777" w:rsidR="00E15933" w:rsidRDefault="00E15933" w:rsidP="00E15933">
      <w:pPr>
        <w:spacing w:line="360" w:lineRule="auto"/>
        <w:jc w:val="both"/>
        <w:rPr>
          <w:rFonts w:ascii="Arial" w:hAnsi="Arial"/>
          <w:rtl/>
        </w:rPr>
      </w:pPr>
      <w:r>
        <w:rPr>
          <w:rFonts w:ascii="Arial" w:hAnsi="Arial" w:hint="cs"/>
          <w:rtl/>
        </w:rPr>
        <w:t>לטענת ההגנה, אין ראיה על כך שהנאשם קשור לאירוע הקודם בו, נערך שימוש בנשק בירי על אדם.</w:t>
      </w:r>
    </w:p>
    <w:p w14:paraId="26C1B05A" w14:textId="77777777" w:rsidR="00E15933" w:rsidRDefault="00E15933" w:rsidP="00E15933">
      <w:pPr>
        <w:spacing w:line="360" w:lineRule="auto"/>
        <w:jc w:val="both"/>
        <w:rPr>
          <w:rFonts w:ascii="Arial" w:hAnsi="Arial"/>
          <w:rtl/>
        </w:rPr>
      </w:pPr>
    </w:p>
    <w:p w14:paraId="6F973D2A" w14:textId="77777777" w:rsidR="00E15933" w:rsidRDefault="00E15933" w:rsidP="00E15933">
      <w:pPr>
        <w:spacing w:line="360" w:lineRule="auto"/>
        <w:jc w:val="both"/>
        <w:rPr>
          <w:rFonts w:ascii="Arial" w:hAnsi="Arial"/>
          <w:rtl/>
        </w:rPr>
      </w:pPr>
      <w:r>
        <w:rPr>
          <w:rFonts w:ascii="Arial" w:hAnsi="Arial" w:hint="cs"/>
          <w:rtl/>
        </w:rPr>
        <w:t>לטענת ההגנה, עברו הפלילי של הנאשם אינו מכביד.</w:t>
      </w:r>
    </w:p>
    <w:p w14:paraId="1812779C" w14:textId="77777777" w:rsidR="00E15933" w:rsidRDefault="00E15933" w:rsidP="00E15933">
      <w:pPr>
        <w:spacing w:line="360" w:lineRule="auto"/>
        <w:jc w:val="both"/>
        <w:rPr>
          <w:rFonts w:ascii="Arial" w:hAnsi="Arial"/>
          <w:rtl/>
        </w:rPr>
      </w:pPr>
    </w:p>
    <w:p w14:paraId="17835F2F" w14:textId="77777777" w:rsidR="00E15933" w:rsidRDefault="00E15933" w:rsidP="00E15933">
      <w:pPr>
        <w:spacing w:line="360" w:lineRule="auto"/>
        <w:jc w:val="both"/>
        <w:rPr>
          <w:rFonts w:ascii="Arial" w:hAnsi="Arial"/>
          <w:rtl/>
        </w:rPr>
      </w:pPr>
      <w:r>
        <w:rPr>
          <w:rFonts w:ascii="Arial" w:hAnsi="Arial" w:hint="cs"/>
          <w:rtl/>
        </w:rPr>
        <w:t>עוד ביקשה ההגנה, כי בית המשפט ייקח בחשבון נסיבותיו האישיות של הנאשם, לרבות כך, שאיבד שניים מילדיו בשריפה וכן את הודאתו באשמה.</w:t>
      </w:r>
    </w:p>
    <w:p w14:paraId="25E75ACD" w14:textId="77777777" w:rsidR="00E15933" w:rsidRDefault="00E15933" w:rsidP="00E15933">
      <w:pPr>
        <w:spacing w:line="360" w:lineRule="auto"/>
        <w:jc w:val="both"/>
        <w:rPr>
          <w:rFonts w:ascii="Arial" w:hAnsi="Arial"/>
          <w:rtl/>
        </w:rPr>
      </w:pPr>
    </w:p>
    <w:p w14:paraId="37934450" w14:textId="77777777" w:rsidR="00E15933" w:rsidRDefault="00E15933" w:rsidP="00E15933">
      <w:pPr>
        <w:spacing w:line="360" w:lineRule="auto"/>
        <w:jc w:val="both"/>
        <w:rPr>
          <w:rFonts w:ascii="Arial" w:hAnsi="Arial"/>
          <w:rtl/>
        </w:rPr>
      </w:pPr>
      <w:r w:rsidRPr="002812AB">
        <w:rPr>
          <w:rFonts w:ascii="Arial" w:hAnsi="Arial" w:hint="cs"/>
          <w:u w:val="single"/>
          <w:rtl/>
        </w:rPr>
        <w:t>בדברו האחרון</w:t>
      </w:r>
      <w:r>
        <w:rPr>
          <w:rFonts w:ascii="Arial" w:hAnsi="Arial" w:hint="cs"/>
          <w:rtl/>
        </w:rPr>
        <w:t xml:space="preserve"> </w:t>
      </w:r>
      <w:r>
        <w:rPr>
          <w:rFonts w:ascii="Arial" w:hAnsi="Arial"/>
          <w:rtl/>
        </w:rPr>
        <w:t>–</w:t>
      </w:r>
      <w:r>
        <w:rPr>
          <w:rFonts w:ascii="Arial" w:hAnsi="Arial" w:hint="cs"/>
          <w:rtl/>
        </w:rPr>
        <w:t xml:space="preserve"> הצר הנאשם על כך, שלא מסר את הנשק למשטרה וטען, כי לא התכוון לעשות עמו דבר. </w:t>
      </w:r>
    </w:p>
    <w:p w14:paraId="27B082BC" w14:textId="77777777" w:rsidR="00E15933" w:rsidRDefault="00E15933" w:rsidP="00E15933">
      <w:pPr>
        <w:spacing w:line="360" w:lineRule="auto"/>
        <w:jc w:val="both"/>
        <w:rPr>
          <w:rFonts w:ascii="Arial" w:hAnsi="Arial"/>
          <w:rtl/>
        </w:rPr>
      </w:pPr>
    </w:p>
    <w:p w14:paraId="39943FB0" w14:textId="77777777" w:rsidR="00E15933" w:rsidRDefault="00E15933" w:rsidP="00E15933">
      <w:pPr>
        <w:spacing w:line="360" w:lineRule="auto"/>
        <w:jc w:val="both"/>
        <w:rPr>
          <w:rFonts w:ascii="Arial" w:hAnsi="Arial"/>
          <w:rtl/>
        </w:rPr>
      </w:pPr>
    </w:p>
    <w:p w14:paraId="075C112B" w14:textId="77777777" w:rsidR="00E15933" w:rsidRPr="0017114B" w:rsidRDefault="00E15933" w:rsidP="00E15933">
      <w:pPr>
        <w:spacing w:line="360" w:lineRule="auto"/>
        <w:jc w:val="both"/>
        <w:rPr>
          <w:rFonts w:ascii="Arial" w:hAnsi="Arial"/>
          <w:b/>
          <w:bCs/>
          <w:rtl/>
        </w:rPr>
      </w:pPr>
      <w:r w:rsidRPr="0017114B">
        <w:rPr>
          <w:rFonts w:ascii="Arial" w:hAnsi="Arial" w:hint="cs"/>
          <w:b/>
          <w:bCs/>
          <w:rtl/>
        </w:rPr>
        <w:t xml:space="preserve">דיון והכרעה </w:t>
      </w:r>
    </w:p>
    <w:p w14:paraId="720B4402" w14:textId="77777777" w:rsidR="00E15933" w:rsidRDefault="00E15933" w:rsidP="00E15933">
      <w:pPr>
        <w:spacing w:line="360" w:lineRule="auto"/>
        <w:jc w:val="both"/>
        <w:rPr>
          <w:rFonts w:ascii="Arial" w:hAnsi="Arial"/>
          <w:rtl/>
        </w:rPr>
      </w:pPr>
    </w:p>
    <w:p w14:paraId="353CF311" w14:textId="77777777" w:rsidR="00E15933" w:rsidRDefault="00E15933" w:rsidP="00E15933">
      <w:pPr>
        <w:spacing w:line="360" w:lineRule="auto"/>
        <w:jc w:val="both"/>
      </w:pPr>
      <w:r>
        <w:rPr>
          <w:rFonts w:hint="cs"/>
          <w:rtl/>
        </w:rPr>
        <w:t>אין צורך להכביר מילים על פוטנציאל הסיכון הנובע מהחזקת נשק חם קטלני, שלא כדין.</w:t>
      </w:r>
    </w:p>
    <w:p w14:paraId="7E45B434" w14:textId="77777777" w:rsidR="00E15933" w:rsidRDefault="00E15933" w:rsidP="00E15933">
      <w:pPr>
        <w:spacing w:line="360" w:lineRule="auto"/>
        <w:jc w:val="both"/>
        <w:rPr>
          <w:rFonts w:ascii="Arial" w:hAnsi="Arial" w:cs="Arial"/>
        </w:rPr>
      </w:pPr>
    </w:p>
    <w:p w14:paraId="531F37B5" w14:textId="77777777" w:rsidR="00E15933" w:rsidRDefault="00E15933" w:rsidP="00E15933">
      <w:pPr>
        <w:spacing w:line="360" w:lineRule="auto"/>
        <w:jc w:val="both"/>
        <w:rPr>
          <w:rFonts w:ascii="Arial" w:hAnsi="Arial" w:cs="Arial"/>
          <w:rtl/>
        </w:rPr>
      </w:pPr>
      <w:r>
        <w:rPr>
          <w:rFonts w:hint="cs"/>
          <w:rtl/>
        </w:rPr>
        <w:t>כלי הנשק עלול למצוא דרכו לפעילות שלילית, אם פלילית ואם נגד בטחון המדינה.</w:t>
      </w:r>
    </w:p>
    <w:p w14:paraId="6FA90EAA" w14:textId="77777777" w:rsidR="00E15933" w:rsidRDefault="00E15933" w:rsidP="00E15933">
      <w:pPr>
        <w:spacing w:line="360" w:lineRule="auto"/>
        <w:jc w:val="both"/>
        <w:rPr>
          <w:rFonts w:ascii="Arial" w:hAnsi="Arial" w:cs="Arial"/>
        </w:rPr>
      </w:pPr>
    </w:p>
    <w:p w14:paraId="43A48FE3" w14:textId="77777777" w:rsidR="00E15933" w:rsidRDefault="00E15933" w:rsidP="00E15933">
      <w:pPr>
        <w:spacing w:line="360" w:lineRule="auto"/>
        <w:jc w:val="both"/>
        <w:rPr>
          <w:rFonts w:ascii="Arial" w:hAnsi="Arial" w:cs="Arial"/>
        </w:rPr>
      </w:pPr>
      <w:r>
        <w:rPr>
          <w:rFonts w:hint="cs"/>
          <w:rtl/>
        </w:rPr>
        <w:t>החזקת נשק ותחמושת על ידי מי שלא נבדק, לא נמצא מתאים ולא הוכשר לכך, בתנאים שאינם מבטיחים בידודו של הנשק מהסביבה (כיום מי שמחזיק נשק ברשיון נדרש לאפסנו בכספת מאובטחת, מאחורי שני מנעולים), עלולה להביא לסיכון שלום הציבור, גם אם אין ראיות שהוחזק לצורך פעילות שלילית, כמפורט לעיל.</w:t>
      </w:r>
    </w:p>
    <w:p w14:paraId="1B30C252" w14:textId="77777777" w:rsidR="00E15933" w:rsidRDefault="00E15933" w:rsidP="00E15933">
      <w:pPr>
        <w:spacing w:line="360" w:lineRule="auto"/>
        <w:jc w:val="both"/>
      </w:pPr>
    </w:p>
    <w:p w14:paraId="389B88E0" w14:textId="77777777" w:rsidR="00E15933" w:rsidRDefault="00E15933" w:rsidP="00E15933">
      <w:pPr>
        <w:spacing w:line="360" w:lineRule="auto"/>
        <w:jc w:val="both"/>
      </w:pPr>
      <w:r>
        <w:rPr>
          <w:rFonts w:hint="cs"/>
          <w:rtl/>
        </w:rPr>
        <w:t>בנוסף, החזקת נשק כאמור עלולה להביא לפגיעה בשלטון החוק ובנושאי שלטון החוק, המבצעים את תפקידם.</w:t>
      </w:r>
    </w:p>
    <w:p w14:paraId="41DEBEFC" w14:textId="77777777" w:rsidR="00E15933" w:rsidRDefault="00E15933" w:rsidP="00E15933">
      <w:pPr>
        <w:spacing w:line="360" w:lineRule="auto"/>
        <w:jc w:val="both"/>
        <w:rPr>
          <w:rtl/>
        </w:rPr>
      </w:pPr>
    </w:p>
    <w:p w14:paraId="19519993" w14:textId="77777777" w:rsidR="00E15933" w:rsidRDefault="00E15933" w:rsidP="00E15933">
      <w:pPr>
        <w:spacing w:line="360" w:lineRule="auto"/>
        <w:jc w:val="both"/>
        <w:rPr>
          <w:rtl/>
        </w:rPr>
      </w:pPr>
      <w:r>
        <w:rPr>
          <w:rFonts w:hint="cs"/>
          <w:rtl/>
        </w:rPr>
        <w:t xml:space="preserve">בפסק הדין </w:t>
      </w:r>
      <w:hyperlink r:id="rId15" w:history="1">
        <w:r w:rsidR="005A01FF" w:rsidRPr="005A01FF">
          <w:rPr>
            <w:color w:val="0000FF"/>
            <w:u w:val="single"/>
            <w:rtl/>
          </w:rPr>
          <w:t>ע.פ. 3288/14</w:t>
        </w:r>
      </w:hyperlink>
      <w:r>
        <w:rPr>
          <w:rFonts w:hint="cs"/>
          <w:rtl/>
        </w:rPr>
        <w:t xml:space="preserve"> </w:t>
      </w:r>
      <w:r>
        <w:rPr>
          <w:rFonts w:hint="cs"/>
          <w:b/>
          <w:bCs/>
          <w:rtl/>
        </w:rPr>
        <w:t>מדינת ישראל נ' קריספל</w:t>
      </w:r>
      <w:r>
        <w:rPr>
          <w:rFonts w:hint="cs"/>
          <w:rtl/>
        </w:rPr>
        <w:t xml:space="preserve"> (פורסם במאגרים), נאמר: </w:t>
      </w:r>
    </w:p>
    <w:p w14:paraId="6A7D4F93" w14:textId="77777777" w:rsidR="00E15933" w:rsidRDefault="00E15933" w:rsidP="00E15933">
      <w:pPr>
        <w:spacing w:line="360" w:lineRule="auto"/>
        <w:jc w:val="both"/>
        <w:rPr>
          <w:rtl/>
        </w:rPr>
      </w:pPr>
    </w:p>
    <w:p w14:paraId="6462BCED" w14:textId="77777777" w:rsidR="00E15933" w:rsidRDefault="00E15933" w:rsidP="00E15933">
      <w:pPr>
        <w:spacing w:line="360" w:lineRule="auto"/>
        <w:jc w:val="both"/>
        <w:rPr>
          <w:rFonts w:cs="Aharoni"/>
          <w:rtl/>
        </w:rPr>
      </w:pPr>
      <w:r>
        <w:rPr>
          <w:rFonts w:cs="Aharoni" w:hint="cs"/>
          <w:rtl/>
        </w:rPr>
        <w:t>בשל פוטנציאל ההרס הטמון בכלי נשק, הכולל גם אפשרות לפגיעה עיוורת באנשים מן הישוב, מתפקידו של בית המשפט להרתיע אף מפני עבירת החזקת נשק שלא כדין. זאת, כדי לבלום את שרשרת העבירות בשלב ראשוני.</w:t>
      </w:r>
    </w:p>
    <w:p w14:paraId="3AF6B9F9" w14:textId="77777777" w:rsidR="00E15933" w:rsidRDefault="00E15933" w:rsidP="00E15933">
      <w:pPr>
        <w:spacing w:line="360" w:lineRule="auto"/>
        <w:jc w:val="both"/>
        <w:rPr>
          <w:rtl/>
        </w:rPr>
      </w:pPr>
    </w:p>
    <w:p w14:paraId="2649522F" w14:textId="77777777" w:rsidR="00E15933" w:rsidRDefault="00E15933" w:rsidP="00E15933">
      <w:pPr>
        <w:spacing w:line="360" w:lineRule="auto"/>
        <w:jc w:val="both"/>
        <w:rPr>
          <w:rtl/>
        </w:rPr>
      </w:pPr>
      <w:r>
        <w:rPr>
          <w:rFonts w:hint="cs"/>
          <w:rtl/>
        </w:rPr>
        <w:t xml:space="preserve">בפסק הדין </w:t>
      </w:r>
      <w:hyperlink r:id="rId16" w:history="1">
        <w:r w:rsidR="005A01FF" w:rsidRPr="005A01FF">
          <w:rPr>
            <w:color w:val="0000FF"/>
            <w:u w:val="single"/>
            <w:rtl/>
          </w:rPr>
          <w:t>ע.פ. 4945/13</w:t>
        </w:r>
      </w:hyperlink>
      <w:r>
        <w:rPr>
          <w:rFonts w:hint="cs"/>
          <w:rtl/>
        </w:rPr>
        <w:t xml:space="preserve"> </w:t>
      </w:r>
      <w:r>
        <w:rPr>
          <w:rFonts w:hint="cs"/>
          <w:b/>
          <w:bCs/>
          <w:rtl/>
        </w:rPr>
        <w:t>סלימאן, נ' מדינת ישראל</w:t>
      </w:r>
      <w:r>
        <w:rPr>
          <w:rFonts w:hint="cs"/>
          <w:rtl/>
        </w:rPr>
        <w:t xml:space="preserve"> (פורסם במאגרים), נאמר:</w:t>
      </w:r>
    </w:p>
    <w:p w14:paraId="65E2AEE9" w14:textId="77777777" w:rsidR="00E15933" w:rsidRDefault="00E15933" w:rsidP="00E15933">
      <w:pPr>
        <w:spacing w:line="360" w:lineRule="auto"/>
        <w:jc w:val="both"/>
        <w:rPr>
          <w:rtl/>
        </w:rPr>
      </w:pPr>
    </w:p>
    <w:p w14:paraId="445D18AE" w14:textId="77777777" w:rsidR="00E15933" w:rsidRDefault="00E15933" w:rsidP="00E15933">
      <w:pPr>
        <w:spacing w:line="360" w:lineRule="auto"/>
        <w:jc w:val="both"/>
        <w:rPr>
          <w:rFonts w:cs="Aharoni"/>
          <w:rtl/>
        </w:rPr>
      </w:pPr>
      <w:r>
        <w:rPr>
          <w:rFonts w:cs="Aharoni" w:hint="cs"/>
          <w:rtl/>
        </w:rPr>
        <w:t>... התגלגלותם של כלי נשק מיד ליד ללא פיקוח עלולה להוביל להגעתם בדרך לא דרך לגורמים פליליים ועוינים. אין לדעת מה יעלה בגורלם של</w:t>
      </w:r>
      <w:r w:rsidR="005A01FF">
        <w:rPr>
          <w:rFonts w:cs="Aharoni" w:hint="cs"/>
          <w:rtl/>
        </w:rPr>
        <w:t xml:space="preserve"> </w:t>
      </w:r>
      <w:r>
        <w:rPr>
          <w:rFonts w:cs="Aharoni" w:hint="cs"/>
          <w:rtl/>
        </w:rPr>
        <w:t xml:space="preserve"> ולאלו תוצאות הרסניות יובילו. ודוק: הסיכון שנשקף לשלום הציבור צריך להילקח בחשבון על ידי כל מי שמחזיק בידו נשק שלא כדין, </w:t>
      </w:r>
      <w:r>
        <w:rPr>
          <w:rFonts w:cs="Aharoni" w:hint="cs"/>
          <w:u w:val="single"/>
          <w:rtl/>
        </w:rPr>
        <w:t>גם אם אינו מחזיק בו למטרת ביצוען של עבירות אחרות</w:t>
      </w:r>
      <w:r>
        <w:rPr>
          <w:rFonts w:cs="Aharoni" w:hint="cs"/>
          <w:rtl/>
        </w:rPr>
        <w:t>.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4288A49A" w14:textId="77777777" w:rsidR="00E15933" w:rsidRDefault="00E15933" w:rsidP="00E15933">
      <w:pPr>
        <w:spacing w:line="360" w:lineRule="auto"/>
        <w:jc w:val="both"/>
        <w:rPr>
          <w:rtl/>
        </w:rPr>
      </w:pPr>
      <w:r>
        <w:rPr>
          <w:rFonts w:hint="cs"/>
          <w:rtl/>
        </w:rPr>
        <w:t>[ההדגשה אינה במקור].</w:t>
      </w:r>
    </w:p>
    <w:p w14:paraId="0F1F762C" w14:textId="77777777" w:rsidR="00E15933" w:rsidRDefault="00E15933" w:rsidP="00E15933">
      <w:pPr>
        <w:spacing w:line="360" w:lineRule="auto"/>
        <w:jc w:val="both"/>
        <w:rPr>
          <w:rtl/>
        </w:rPr>
      </w:pPr>
    </w:p>
    <w:p w14:paraId="450541BD" w14:textId="77777777" w:rsidR="00E15933" w:rsidRDefault="00E15933" w:rsidP="00E15933">
      <w:pPr>
        <w:spacing w:line="360" w:lineRule="auto"/>
        <w:jc w:val="both"/>
        <w:rPr>
          <w:rtl/>
        </w:rPr>
      </w:pPr>
      <w:r>
        <w:rPr>
          <w:rFonts w:hint="cs"/>
          <w:rtl/>
        </w:rPr>
        <w:t xml:space="preserve">בשורה של פסקי דין נקבע, כי </w:t>
      </w:r>
      <w:r>
        <w:rPr>
          <w:rFonts w:hint="cs"/>
          <w:u w:val="single"/>
          <w:rtl/>
        </w:rPr>
        <w:t>חומרת הסיכון הנשקף מעבירות אלה, מחייבת השתת עונשי מאסר בפועל בגין עבירות אלה וזאת גם כאשר המדובר, לכאורה, במי שמנהל אורח חיים נורמטיבי ואין לחובתו הרשעות קודמות</w:t>
      </w:r>
      <w:r>
        <w:rPr>
          <w:rFonts w:hint="cs"/>
          <w:rtl/>
        </w:rPr>
        <w:t xml:space="preserve">. ראו </w:t>
      </w:r>
      <w:hyperlink r:id="rId17" w:history="1">
        <w:r w:rsidR="005A01FF" w:rsidRPr="005A01FF">
          <w:rPr>
            <w:color w:val="0000FF"/>
            <w:u w:val="single"/>
            <w:rtl/>
          </w:rPr>
          <w:t>רע"פ 2718/04</w:t>
        </w:r>
      </w:hyperlink>
      <w:r>
        <w:rPr>
          <w:rFonts w:hint="cs"/>
          <w:rtl/>
        </w:rPr>
        <w:t xml:space="preserve"> </w:t>
      </w:r>
      <w:r>
        <w:rPr>
          <w:rFonts w:hint="cs"/>
          <w:b/>
          <w:bCs/>
          <w:rtl/>
        </w:rPr>
        <w:t>אבו דאחל נ' מדינת ישראל</w:t>
      </w:r>
      <w:r>
        <w:rPr>
          <w:rFonts w:hint="cs"/>
          <w:rtl/>
        </w:rPr>
        <w:t xml:space="preserve"> (פורסם במאגרים):</w:t>
      </w:r>
    </w:p>
    <w:p w14:paraId="75B7BBA2" w14:textId="77777777" w:rsidR="00E15933" w:rsidRDefault="00E15933" w:rsidP="00E15933">
      <w:pPr>
        <w:spacing w:line="360" w:lineRule="auto"/>
        <w:jc w:val="both"/>
        <w:rPr>
          <w:rtl/>
        </w:rPr>
      </w:pPr>
    </w:p>
    <w:p w14:paraId="24A63D19" w14:textId="77777777" w:rsidR="00E15933" w:rsidRDefault="00E15933" w:rsidP="00E15933">
      <w:pPr>
        <w:spacing w:line="360" w:lineRule="auto"/>
        <w:jc w:val="both"/>
        <w:rPr>
          <w:rFonts w:cs="Aharoni"/>
          <w:rtl/>
        </w:rPr>
      </w:pPr>
      <w:r>
        <w:rPr>
          <w:rFonts w:cs="Aharoni" w:hint="cs"/>
          <w:rtl/>
        </w:rPr>
        <w:t>יוער כי 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1882BCAE" w14:textId="77777777" w:rsidR="00E15933" w:rsidRDefault="00E15933" w:rsidP="00E15933">
      <w:pPr>
        <w:spacing w:line="360" w:lineRule="auto"/>
        <w:jc w:val="both"/>
        <w:rPr>
          <w:rtl/>
        </w:rPr>
      </w:pPr>
    </w:p>
    <w:p w14:paraId="6A8D1575" w14:textId="77777777" w:rsidR="00E15933" w:rsidRDefault="00E15933" w:rsidP="00E15933">
      <w:pPr>
        <w:spacing w:line="360" w:lineRule="auto"/>
        <w:jc w:val="both"/>
        <w:rPr>
          <w:rtl/>
        </w:rPr>
      </w:pPr>
      <w:r>
        <w:rPr>
          <w:rFonts w:hint="cs"/>
          <w:rtl/>
        </w:rPr>
        <w:t xml:space="preserve">עוד ראו </w:t>
      </w:r>
      <w:hyperlink r:id="rId18" w:history="1">
        <w:r w:rsidR="005A01FF" w:rsidRPr="005A01FF">
          <w:rPr>
            <w:color w:val="0000FF"/>
            <w:u w:val="single"/>
            <w:rtl/>
          </w:rPr>
          <w:t>ע.פ. 5220/09</w:t>
        </w:r>
      </w:hyperlink>
      <w:r>
        <w:rPr>
          <w:rFonts w:hint="cs"/>
          <w:rtl/>
        </w:rPr>
        <w:t xml:space="preserve"> </w:t>
      </w:r>
      <w:r>
        <w:rPr>
          <w:rFonts w:hint="cs"/>
          <w:b/>
          <w:bCs/>
          <w:rtl/>
        </w:rPr>
        <w:t xml:space="preserve">עוואודה נ' מדינת ישראל </w:t>
      </w:r>
      <w:r>
        <w:rPr>
          <w:rFonts w:hint="cs"/>
          <w:rtl/>
        </w:rPr>
        <w:t>(פורסם במאגרים):</w:t>
      </w:r>
    </w:p>
    <w:p w14:paraId="417D16D3" w14:textId="77777777" w:rsidR="00E15933" w:rsidRDefault="00E15933" w:rsidP="00E15933">
      <w:pPr>
        <w:spacing w:line="360" w:lineRule="auto"/>
        <w:jc w:val="both"/>
        <w:rPr>
          <w:rtl/>
        </w:rPr>
      </w:pPr>
    </w:p>
    <w:p w14:paraId="76E17703" w14:textId="77777777" w:rsidR="00E15933" w:rsidRDefault="00E15933" w:rsidP="00E15933">
      <w:pPr>
        <w:spacing w:line="360" w:lineRule="auto"/>
        <w:jc w:val="both"/>
        <w:rPr>
          <w:rtl/>
        </w:rPr>
      </w:pPr>
      <w:r>
        <w:rPr>
          <w:rFonts w:cs="Aharoni" w:hint="cs"/>
          <w:rtl/>
        </w:rPr>
        <w:t xml:space="preserve">אשר על כן משכבר נקבע הכלל לפיו </w:t>
      </w:r>
      <w:r>
        <w:rPr>
          <w:rFonts w:cs="Aharoni" w:hint="cs"/>
          <w:u w:val="single"/>
          <w:rtl/>
        </w:rPr>
        <w:t>ככלל יש לאסור את המבצעים עבירה זו, גם אם מדובר בעבירה ראשונה</w:t>
      </w:r>
      <w:r>
        <w:rPr>
          <w:rFonts w:cs="Aharoni" w:hint="cs"/>
          <w:rtl/>
        </w:rPr>
        <w:t>, מאחורי סורג ובריח, ואילו אורך התקופה כלול בנסיבות הספציפיות של העושה והמעשה.</w:t>
      </w:r>
    </w:p>
    <w:p w14:paraId="429FB08A" w14:textId="77777777" w:rsidR="00E15933" w:rsidRDefault="00E15933" w:rsidP="00E15933">
      <w:pPr>
        <w:spacing w:line="360" w:lineRule="auto"/>
        <w:jc w:val="both"/>
        <w:rPr>
          <w:rtl/>
        </w:rPr>
      </w:pPr>
    </w:p>
    <w:p w14:paraId="0344811E" w14:textId="77777777" w:rsidR="00E15933" w:rsidRDefault="00E15933" w:rsidP="00E15933">
      <w:pPr>
        <w:spacing w:line="360" w:lineRule="auto"/>
        <w:jc w:val="both"/>
        <w:rPr>
          <w:rtl/>
        </w:rPr>
      </w:pPr>
      <w:r>
        <w:rPr>
          <w:rFonts w:hint="cs"/>
          <w:rtl/>
        </w:rPr>
        <w:t>[ההדגשה אינה במקור].</w:t>
      </w:r>
    </w:p>
    <w:p w14:paraId="761A0D59" w14:textId="77777777" w:rsidR="00E15933" w:rsidRDefault="00E15933" w:rsidP="00E15933">
      <w:pPr>
        <w:spacing w:line="360" w:lineRule="auto"/>
        <w:jc w:val="both"/>
        <w:rPr>
          <w:rtl/>
        </w:rPr>
      </w:pPr>
    </w:p>
    <w:p w14:paraId="607F0B0A" w14:textId="77777777" w:rsidR="00E15933" w:rsidRDefault="00E15933" w:rsidP="00E15933">
      <w:pPr>
        <w:spacing w:line="360" w:lineRule="auto"/>
        <w:jc w:val="both"/>
        <w:rPr>
          <w:rtl/>
        </w:rPr>
      </w:pPr>
      <w:r>
        <w:rPr>
          <w:rFonts w:hint="cs"/>
          <w:rtl/>
        </w:rPr>
        <w:t>על אחת כמה וכמה, כאשר קיימות הרשעות קודמות ואינדיקציה לשימוש פלילי שנעשה, בעבר, בנשק.</w:t>
      </w:r>
    </w:p>
    <w:p w14:paraId="04D76B35" w14:textId="77777777" w:rsidR="00E15933" w:rsidRDefault="00E15933" w:rsidP="00E15933">
      <w:pPr>
        <w:spacing w:line="360" w:lineRule="auto"/>
        <w:jc w:val="both"/>
        <w:rPr>
          <w:rtl/>
        </w:rPr>
      </w:pPr>
    </w:p>
    <w:p w14:paraId="57388B4C" w14:textId="77777777" w:rsidR="00E15933" w:rsidRDefault="00E15933" w:rsidP="00E15933">
      <w:pPr>
        <w:spacing w:line="360" w:lineRule="auto"/>
        <w:jc w:val="both"/>
        <w:rPr>
          <w:rtl/>
        </w:rPr>
      </w:pPr>
      <w:r>
        <w:rPr>
          <w:rFonts w:hint="cs"/>
          <w:rtl/>
        </w:rPr>
        <w:t xml:space="preserve">אשר למתחם הענישה, בפסק הדין </w:t>
      </w:r>
      <w:hyperlink r:id="rId19" w:history="1">
        <w:r w:rsidR="005A01FF" w:rsidRPr="005A01FF">
          <w:rPr>
            <w:color w:val="0000FF"/>
            <w:u w:val="single"/>
            <w:rtl/>
          </w:rPr>
          <w:t>עפ"ג 23419-01-17</w:t>
        </w:r>
      </w:hyperlink>
      <w:r>
        <w:rPr>
          <w:rFonts w:hint="cs"/>
          <w:b/>
          <w:bCs/>
          <w:rtl/>
        </w:rPr>
        <w:t xml:space="preserve"> מדינת ישראל נ' זניד ואח'</w:t>
      </w:r>
      <w:r>
        <w:rPr>
          <w:rFonts w:hint="cs"/>
          <w:rtl/>
        </w:rPr>
        <w:t xml:space="preserve"> (פורסם במאגרים), נדון ערעור המדינה בעניינם של שני משיבים, האחד - נתפס מחזיק אקדח בקוטר 9 מ"מ ביחד עם מחסנית ובה 17</w:t>
      </w:r>
      <w:r w:rsidR="005A01FF">
        <w:rPr>
          <w:rFonts w:hint="cs"/>
          <w:rtl/>
        </w:rPr>
        <w:t xml:space="preserve"> </w:t>
      </w:r>
      <w:r>
        <w:rPr>
          <w:rFonts w:hint="cs"/>
          <w:rtl/>
        </w:rPr>
        <w:t xml:space="preserve"> כדורים; וכן רובה סער מאולתר דמוי </w:t>
      </w:r>
      <w:r>
        <w:rPr>
          <w:rFonts w:ascii="Arial" w:hAnsi="Arial" w:cs="Arial"/>
        </w:rPr>
        <w:t>M16</w:t>
      </w:r>
      <w:r>
        <w:rPr>
          <w:rFonts w:hint="cs"/>
          <w:rtl/>
        </w:rPr>
        <w:t xml:space="preserve"> עם מחסנית ובה 28 כדורים; השני - נתפס מחזיק בשני אקדחים, גם כן בצירוף תחמושת. בית משפט קמא קבע מתחם ענישה שינוע בין 13 עד 30 חדשי מאסר בפועל בנוגע למשיב שהחזיק את שני האקדחים ומתחם שינוע בין 16 עד 36 חדשי מאסר בפועל בנוגע למשיב שהחזיק אקדח ורובה סער מאולתר. </w:t>
      </w:r>
    </w:p>
    <w:p w14:paraId="2F44C18B" w14:textId="77777777" w:rsidR="00E15933" w:rsidRDefault="00E15933" w:rsidP="00E15933">
      <w:pPr>
        <w:spacing w:line="360" w:lineRule="auto"/>
        <w:jc w:val="both"/>
        <w:rPr>
          <w:rtl/>
        </w:rPr>
      </w:pPr>
    </w:p>
    <w:p w14:paraId="7BC1D0A7" w14:textId="77777777" w:rsidR="00E15933" w:rsidRDefault="00E15933" w:rsidP="00E15933">
      <w:pPr>
        <w:spacing w:line="360" w:lineRule="auto"/>
        <w:jc w:val="both"/>
        <w:rPr>
          <w:rtl/>
        </w:rPr>
      </w:pPr>
      <w:r>
        <w:rPr>
          <w:rFonts w:hint="cs"/>
          <w:rtl/>
        </w:rPr>
        <w:t xml:space="preserve">ערעור המדינה התקבל בהסכמת הצדדים, תוך שהוחמרו עונשי המאסר שהושתו על המשיבים ל-26 ו-31 חדשי מאסר בפועל (בהתאמה). בית המשפט המחוזי, בשבתו כבית משפט לערעורים פליליים, אף מצא לציין, כי </w:t>
      </w:r>
      <w:r>
        <w:rPr>
          <w:rFonts w:hint="cs"/>
          <w:u w:val="single"/>
          <w:rtl/>
        </w:rPr>
        <w:t>המתחמים שנקבעו על ידי בית משפט השלום נמוכים יתר על המידה</w:t>
      </w:r>
      <w:r>
        <w:rPr>
          <w:rFonts w:hint="cs"/>
          <w:rtl/>
        </w:rPr>
        <w:t xml:space="preserve">. </w:t>
      </w:r>
    </w:p>
    <w:p w14:paraId="556E8ABB" w14:textId="77777777" w:rsidR="00E15933" w:rsidRDefault="00E15933" w:rsidP="00E15933">
      <w:pPr>
        <w:spacing w:line="360" w:lineRule="auto"/>
        <w:jc w:val="both"/>
        <w:rPr>
          <w:rtl/>
        </w:rPr>
      </w:pPr>
    </w:p>
    <w:p w14:paraId="0CCD0FB6" w14:textId="77777777" w:rsidR="00E15933" w:rsidRDefault="00E15933" w:rsidP="00E15933">
      <w:pPr>
        <w:spacing w:line="360" w:lineRule="auto"/>
        <w:jc w:val="both"/>
        <w:rPr>
          <w:rtl/>
        </w:rPr>
      </w:pPr>
      <w:r>
        <w:rPr>
          <w:rFonts w:hint="cs"/>
          <w:rtl/>
        </w:rPr>
        <w:t xml:space="preserve">בעקבות החלטת בית המשפט המחוזי בערעור זה, במקרה נוסף שנדון בסמוך לאחר מכן, קבע בית משפט השלום מתחם ענישה שינוע בין 13 עד 36 חדשי מאסר בפועל בגין החזקת כלי נשק מאולתר </w:t>
      </w:r>
      <w:r>
        <w:rPr>
          <w:rFonts w:hint="cs"/>
          <w:u w:val="single"/>
          <w:rtl/>
        </w:rPr>
        <w:t>אחד</w:t>
      </w:r>
      <w:r>
        <w:rPr>
          <w:rFonts w:hint="cs"/>
          <w:rtl/>
        </w:rPr>
        <w:t xml:space="preserve"> מסוג תת מקלע בצירוף מחסנית ובה 10 כדורים. ראו </w:t>
      </w:r>
      <w:hyperlink r:id="rId20" w:history="1">
        <w:r w:rsidR="005A01FF" w:rsidRPr="005A01FF">
          <w:rPr>
            <w:color w:val="0000FF"/>
            <w:u w:val="single"/>
            <w:rtl/>
          </w:rPr>
          <w:t>ת.פ 7544-11-16</w:t>
        </w:r>
      </w:hyperlink>
      <w:r>
        <w:rPr>
          <w:rFonts w:hint="cs"/>
          <w:rtl/>
        </w:rPr>
        <w:t xml:space="preserve"> </w:t>
      </w:r>
      <w:r>
        <w:rPr>
          <w:rFonts w:hint="cs"/>
          <w:b/>
          <w:bCs/>
          <w:rtl/>
        </w:rPr>
        <w:t xml:space="preserve">מדינת ישראל נ' אלאסד </w:t>
      </w:r>
      <w:r>
        <w:rPr>
          <w:rFonts w:hint="cs"/>
          <w:rtl/>
        </w:rPr>
        <w:t xml:space="preserve">(פורסם במאגרים). באותו מקרה, הושת על הנאשם, בעל עבר פלילי שאינו מכביד, עונש מאסר בפועל בן 21 חדשים. ערעור שהוגש על גזר הדין – נדחה; ואף נקבע על ידי בית המשפט המחוזי, בשבתו כבית משפט לערעורים פליליים, כי העונש עומד במתחם ענישה ראוי. ראו </w:t>
      </w:r>
      <w:hyperlink r:id="rId21" w:history="1">
        <w:r w:rsidR="005A01FF" w:rsidRPr="005A01FF">
          <w:rPr>
            <w:color w:val="0000FF"/>
            <w:u w:val="single"/>
            <w:rtl/>
          </w:rPr>
          <w:t>עפ"ג 22885-05-17</w:t>
        </w:r>
      </w:hyperlink>
      <w:r>
        <w:rPr>
          <w:rFonts w:hint="cs"/>
          <w:rtl/>
        </w:rPr>
        <w:t xml:space="preserve"> </w:t>
      </w:r>
      <w:r>
        <w:rPr>
          <w:rFonts w:hint="cs"/>
          <w:b/>
          <w:bCs/>
          <w:rtl/>
        </w:rPr>
        <w:t>אלאסד נ' מדינת ישראל</w:t>
      </w:r>
      <w:r>
        <w:rPr>
          <w:rFonts w:hint="cs"/>
          <w:rtl/>
        </w:rPr>
        <w:t xml:space="preserve"> (פורסם במאגרים).</w:t>
      </w:r>
    </w:p>
    <w:p w14:paraId="31E0828C" w14:textId="77777777" w:rsidR="00E15933" w:rsidRDefault="00E15933" w:rsidP="00E15933">
      <w:pPr>
        <w:spacing w:line="360" w:lineRule="auto"/>
        <w:jc w:val="both"/>
        <w:rPr>
          <w:rtl/>
        </w:rPr>
      </w:pPr>
    </w:p>
    <w:p w14:paraId="0CFD0F00" w14:textId="77777777" w:rsidR="00E15933" w:rsidRDefault="00E15933" w:rsidP="00E15933">
      <w:pPr>
        <w:spacing w:line="360" w:lineRule="auto"/>
        <w:jc w:val="both"/>
        <w:rPr>
          <w:rtl/>
        </w:rPr>
      </w:pPr>
      <w:r>
        <w:rPr>
          <w:rFonts w:hint="cs"/>
          <w:rtl/>
        </w:rPr>
        <w:t xml:space="preserve">בפסק הדין </w:t>
      </w:r>
      <w:hyperlink r:id="rId22" w:history="1">
        <w:r w:rsidR="005A01FF" w:rsidRPr="005A01FF">
          <w:rPr>
            <w:color w:val="0000FF"/>
            <w:u w:val="single"/>
            <w:rtl/>
          </w:rPr>
          <w:t>ע.פ. 4945/13</w:t>
        </w:r>
      </w:hyperlink>
      <w:r>
        <w:rPr>
          <w:rFonts w:hint="cs"/>
          <w:rtl/>
        </w:rPr>
        <w:t xml:space="preserve"> </w:t>
      </w:r>
      <w:r>
        <w:rPr>
          <w:rFonts w:hint="cs"/>
          <w:b/>
          <w:bCs/>
          <w:rtl/>
        </w:rPr>
        <w:t>מדינת ישראל נ' סלימאן</w:t>
      </w:r>
      <w:r>
        <w:rPr>
          <w:rFonts w:hint="cs"/>
          <w:rtl/>
        </w:rPr>
        <w:t xml:space="preserve"> (פורסם במאגרים), אושר מתחם ענישה שינוע בין שנה ועד שלוש שנות מאסר, בגין החזקת כלי נשק</w:t>
      </w:r>
      <w:r w:rsidR="005A01FF">
        <w:rPr>
          <w:rFonts w:hint="cs"/>
          <w:rtl/>
        </w:rPr>
        <w:t xml:space="preserve"> </w:t>
      </w:r>
      <w:r>
        <w:rPr>
          <w:rFonts w:hint="cs"/>
          <w:rtl/>
        </w:rPr>
        <w:t xml:space="preserve"> בודד מסוג קרל גוסטב וכן מחסנית וכדורים. אף באותו מקרה, המדובר היה בצעיר, אשר ניהל אורח חיים נורמטיבי, כולל לימודים אקדמאיים בפקולטה לאדריכלות, ללא עבר פלילי. גם באותו מקרה, המליץ שירות המבחן להסתפק בעונש מאסר בפועל לריצוי בדרך של עבודות שירות. </w:t>
      </w:r>
    </w:p>
    <w:p w14:paraId="63353A2E" w14:textId="77777777" w:rsidR="00E15933" w:rsidRDefault="00E15933" w:rsidP="00E15933">
      <w:pPr>
        <w:spacing w:line="360" w:lineRule="auto"/>
        <w:jc w:val="both"/>
        <w:rPr>
          <w:rtl/>
        </w:rPr>
      </w:pPr>
    </w:p>
    <w:p w14:paraId="0C05E5FC" w14:textId="77777777" w:rsidR="00E15933" w:rsidRDefault="00E15933" w:rsidP="00E15933">
      <w:pPr>
        <w:spacing w:line="360" w:lineRule="auto"/>
        <w:jc w:val="both"/>
        <w:rPr>
          <w:rtl/>
        </w:rPr>
      </w:pPr>
      <w:r>
        <w:rPr>
          <w:rFonts w:hint="cs"/>
          <w:rtl/>
        </w:rPr>
        <w:t xml:space="preserve">בית המשפט העליון ציין, כי ראוי לקבוע עונשים מרתיעים בגין עבירות אלה והעמיד המתחם שם בין 12 ועד 36 חדשי מאסר בפועל. אמנם, באותו מקרה הורשע המשיב גם בעבירה חמורה יותר, של נשיאת נשק, בניגוד </w:t>
      </w:r>
      <w:hyperlink r:id="rId23" w:history="1">
        <w:r w:rsidR="00F05629" w:rsidRPr="00F05629">
          <w:rPr>
            <w:color w:val="0000FF"/>
            <w:u w:val="single"/>
            <w:rtl/>
          </w:rPr>
          <w:t>לסעיף 144(ב)</w:t>
        </w:r>
      </w:hyperlink>
      <w:r>
        <w:rPr>
          <w:rFonts w:hint="cs"/>
          <w:rtl/>
        </w:rPr>
        <w:t xml:space="preserve"> ל</w:t>
      </w:r>
      <w:hyperlink r:id="rId24" w:history="1">
        <w:r w:rsidR="005A01FF" w:rsidRPr="005A01FF">
          <w:rPr>
            <w:color w:val="0000FF"/>
            <w:u w:val="single"/>
            <w:rtl/>
          </w:rPr>
          <w:t>חוק העונשין</w:t>
        </w:r>
      </w:hyperlink>
      <w:r>
        <w:rPr>
          <w:rFonts w:hint="cs"/>
          <w:rtl/>
        </w:rPr>
        <w:t>, תשל"ז-1977.</w:t>
      </w:r>
    </w:p>
    <w:p w14:paraId="59549DE8" w14:textId="77777777" w:rsidR="00E15933" w:rsidRDefault="00E15933" w:rsidP="00E15933">
      <w:pPr>
        <w:spacing w:line="360" w:lineRule="auto"/>
        <w:jc w:val="both"/>
        <w:rPr>
          <w:rtl/>
        </w:rPr>
      </w:pPr>
    </w:p>
    <w:p w14:paraId="1E3AB150" w14:textId="77777777" w:rsidR="00E15933" w:rsidRDefault="00E15933" w:rsidP="00E15933">
      <w:pPr>
        <w:spacing w:line="360" w:lineRule="auto"/>
        <w:jc w:val="both"/>
        <w:rPr>
          <w:rtl/>
        </w:rPr>
      </w:pPr>
      <w:r>
        <w:rPr>
          <w:rFonts w:hint="cs"/>
          <w:rtl/>
        </w:rPr>
        <w:t xml:space="preserve">לפני כשנה ומחצה, ניתן, בבית משפט זה, גזר דין, </w:t>
      </w:r>
      <w:hyperlink r:id="rId25" w:history="1">
        <w:r w:rsidR="005A01FF" w:rsidRPr="005A01FF">
          <w:rPr>
            <w:color w:val="0000FF"/>
            <w:u w:val="single"/>
            <w:rtl/>
          </w:rPr>
          <w:t>ת.פ. 32560-12-16</w:t>
        </w:r>
      </w:hyperlink>
      <w:r>
        <w:rPr>
          <w:rFonts w:hint="cs"/>
          <w:rtl/>
        </w:rPr>
        <w:t xml:space="preserve"> </w:t>
      </w:r>
      <w:r>
        <w:rPr>
          <w:rFonts w:hint="cs"/>
          <w:b/>
          <w:bCs/>
          <w:rtl/>
        </w:rPr>
        <w:t>מדינת ישראל נ' אלסאריעה (</w:t>
      </w:r>
      <w:r>
        <w:rPr>
          <w:rFonts w:hint="cs"/>
          <w:rtl/>
        </w:rPr>
        <w:t>פורסם במאגרים). שם, נדון נאשם בגין עבירה של נסיון להחזקת אקדח מסוג ברטה (העבירה תוקנה לנסיון, במסגרת הסדר טעון, בשל כך שהנשק לא היה תקין), וכן תת מקלע מאולתר, כשכלי הנשק הוחזקו בביתו של הנאשם שם, לעונש מאסר בן 20 חדשים בפועל. זאת, במסגרת מתחם כולל שנע בין 18 עד 42 חדשי מאסר.</w:t>
      </w:r>
    </w:p>
    <w:p w14:paraId="4CB11058" w14:textId="77777777" w:rsidR="00E15933" w:rsidRDefault="00E15933" w:rsidP="00E15933">
      <w:pPr>
        <w:spacing w:line="360" w:lineRule="auto"/>
        <w:jc w:val="both"/>
        <w:rPr>
          <w:rtl/>
        </w:rPr>
      </w:pPr>
    </w:p>
    <w:p w14:paraId="3FCCE858" w14:textId="77777777" w:rsidR="00E15933" w:rsidRDefault="00E15933" w:rsidP="00E15933">
      <w:pPr>
        <w:spacing w:line="360" w:lineRule="auto"/>
        <w:jc w:val="both"/>
        <w:rPr>
          <w:b/>
          <w:bCs/>
          <w:u w:val="single"/>
          <w:rtl/>
        </w:rPr>
      </w:pPr>
      <w:r>
        <w:rPr>
          <w:rFonts w:hint="cs"/>
          <w:b/>
          <w:bCs/>
          <w:u w:val="single"/>
          <w:rtl/>
        </w:rPr>
        <w:t>בשבתו כבית משפט לערעורים פליליים, דחה בית המשפט המחוזי, הרכב אב"ד כב' הנשיאה ר' יפה-כץ, ערעור ההגנה על חומרת העונש, תוך שמצא, כי חרף העדר אינדיקציה על שימוש פלילי או אחר המתוכן בנשק, ועל אף נסיבותיו האישיות של המערער שם (צעיר ללא עבר פלילי) – הרי הנסיבות האישיות ואינטרס השיקום, נדחים מפני האינטרס הציבורי של מיגור עבירות מסוג זה.</w:t>
      </w:r>
    </w:p>
    <w:p w14:paraId="32FA52C8" w14:textId="77777777" w:rsidR="00E15933" w:rsidRDefault="00E15933" w:rsidP="00E15933">
      <w:pPr>
        <w:spacing w:line="360" w:lineRule="auto"/>
        <w:jc w:val="both"/>
        <w:rPr>
          <w:b/>
          <w:bCs/>
          <w:u w:val="single"/>
          <w:rtl/>
        </w:rPr>
      </w:pPr>
    </w:p>
    <w:p w14:paraId="4846A231" w14:textId="77777777" w:rsidR="00E15933" w:rsidRDefault="00E15933" w:rsidP="00E15933">
      <w:pPr>
        <w:spacing w:line="360" w:lineRule="auto"/>
        <w:jc w:val="both"/>
        <w:rPr>
          <w:rtl/>
        </w:rPr>
      </w:pPr>
      <w:r>
        <w:rPr>
          <w:rFonts w:hint="cs"/>
          <w:rtl/>
        </w:rPr>
        <w:t xml:space="preserve">לאחרונה, פורסמה הנחיית פרקליט המדינה מס' </w:t>
      </w:r>
      <w:r w:rsidR="005A01FF">
        <w:rPr>
          <w:rFonts w:hint="cs"/>
          <w:rtl/>
        </w:rPr>
        <w:t xml:space="preserve"> </w:t>
      </w:r>
      <w:r>
        <w:rPr>
          <w:rFonts w:hint="cs"/>
          <w:rtl/>
        </w:rPr>
        <w:t>9.16 (מיום ג' אב תשע"ו – 07/08/16) בנוגע למדיניות הענישה בעבירות נשק, במסגרתה הונחתה התביעה הכללית לפעול לכיוון החמרת הענישה בעבירות אלה, לנוכח הסיכון הרב הנשקף מהן והאינטרס הציבורי במיגורן. התביעה הכללית הונחתה לדרוש מאסר בפועל לתקופה ממשית, גם כאשר המדובר בעבירה ראשונה. מבחינת מדרג החומרה, הוצבה החזקה של רובה סער או תת מקלע – ברמה אחת לפני הרמה החמורה ביותר ואילו אחזקת נשק קצר - אקדח - ברמה נמוכה יותר. לנוכח הפסיקה, שפורטה באותה הנחיה, הונחתה התביעה הכללית לטעון למתחם שינוע בין שנתיים עד ארבע שנות מאסר בפועל בגין כל עבירה בודדת של החזקת רובה או תת מקלע; בין שנה לשלוש שנים בגין אחזקת נשק קצר מסוג אקדח; 6 חדשי מאסר בפועל, לריצוי בדרך של עבודות שירות, עד 6 חדשי מאסר בפועל ממש בגין אחזקת תחמושת.</w:t>
      </w:r>
    </w:p>
    <w:p w14:paraId="58C8FBFB" w14:textId="77777777" w:rsidR="00E15933" w:rsidRDefault="00E15933" w:rsidP="00E15933">
      <w:pPr>
        <w:spacing w:line="360" w:lineRule="auto"/>
        <w:jc w:val="both"/>
        <w:rPr>
          <w:rtl/>
        </w:rPr>
      </w:pPr>
    </w:p>
    <w:p w14:paraId="31779F48" w14:textId="77777777" w:rsidR="00E15933" w:rsidRDefault="00E15933" w:rsidP="00E15933">
      <w:pPr>
        <w:spacing w:line="360" w:lineRule="auto"/>
        <w:jc w:val="both"/>
        <w:rPr>
          <w:rtl/>
        </w:rPr>
      </w:pPr>
      <w:r>
        <w:rPr>
          <w:rFonts w:hint="cs"/>
          <w:rtl/>
        </w:rPr>
        <w:t xml:space="preserve">הצורך בהחמרת הענישה נומק במספר הרב של העבירות, אם פליליות ואם כאלה נגד בטחון המדינה, שנעברו לאחרונה, באמצעות כלי נשק, ואף הביאו, לעיתים מזומנות, לפגיעה באזרחים בלתי מעורבים. לשם המחשה, כפי המפורט בנתונים שהובאו במסגרת ההנחיה, בשנת 2013, אירעו בישראל 563 אירועים של פיגועים </w:t>
      </w:r>
      <w:r>
        <w:rPr>
          <w:rFonts w:hint="cs"/>
          <w:u w:val="single"/>
          <w:rtl/>
        </w:rPr>
        <w:t>פליליים</w:t>
      </w:r>
      <w:r>
        <w:rPr>
          <w:rFonts w:hint="cs"/>
          <w:rtl/>
        </w:rPr>
        <w:t xml:space="preserve"> באמצעות נשק חם. זאת, מבלי לקחת בחשבון פיגועים על רקע בטחוני או עבירות שנאה.</w:t>
      </w:r>
    </w:p>
    <w:p w14:paraId="5526517D" w14:textId="77777777" w:rsidR="00E15933" w:rsidRDefault="00E15933" w:rsidP="00E15933">
      <w:pPr>
        <w:spacing w:line="360" w:lineRule="auto"/>
        <w:jc w:val="both"/>
        <w:rPr>
          <w:rtl/>
        </w:rPr>
      </w:pPr>
    </w:p>
    <w:p w14:paraId="3A111B6D" w14:textId="77777777" w:rsidR="00E15933" w:rsidRDefault="00E15933" w:rsidP="00E15933">
      <w:pPr>
        <w:spacing w:line="360" w:lineRule="auto"/>
        <w:jc w:val="both"/>
        <w:rPr>
          <w:rtl/>
        </w:rPr>
      </w:pPr>
      <w:r>
        <w:rPr>
          <w:rFonts w:hint="cs"/>
          <w:rtl/>
        </w:rPr>
        <w:t xml:space="preserve">לאור כל האמור, מוצא בית המשפט לקבוע מתחמי ענישה כדלקמן: </w:t>
      </w:r>
    </w:p>
    <w:p w14:paraId="3D55F778" w14:textId="77777777" w:rsidR="00E15933" w:rsidRDefault="00E15933" w:rsidP="00E15933">
      <w:pPr>
        <w:spacing w:line="360" w:lineRule="auto"/>
        <w:jc w:val="both"/>
        <w:rPr>
          <w:rFonts w:ascii="Arial" w:hAnsi="Arial" w:cs="Arial"/>
          <w:rtl/>
        </w:rPr>
      </w:pPr>
    </w:p>
    <w:p w14:paraId="26038C63" w14:textId="77777777" w:rsidR="00E15933" w:rsidRDefault="00E15933" w:rsidP="00E15933">
      <w:pPr>
        <w:numPr>
          <w:ilvl w:val="0"/>
          <w:numId w:val="1"/>
        </w:numPr>
        <w:spacing w:line="360" w:lineRule="auto"/>
        <w:jc w:val="both"/>
        <w:rPr>
          <w:rtl/>
        </w:rPr>
      </w:pPr>
      <w:r>
        <w:rPr>
          <w:rFonts w:hint="cs"/>
          <w:rtl/>
        </w:rPr>
        <w:t>בכל הנוגע לאחזקת נשק אוטומטי מסוג רובה סער – בין שנה ומחצה ועד שלוש שנות מאסר בפועל;</w:t>
      </w:r>
    </w:p>
    <w:p w14:paraId="712D8AFA" w14:textId="77777777" w:rsidR="00E15933" w:rsidRDefault="00E15933" w:rsidP="00E15933">
      <w:pPr>
        <w:numPr>
          <w:ilvl w:val="0"/>
          <w:numId w:val="1"/>
        </w:numPr>
        <w:spacing w:line="360" w:lineRule="auto"/>
        <w:jc w:val="both"/>
        <w:rPr>
          <w:rtl/>
        </w:rPr>
      </w:pPr>
      <w:r>
        <w:rPr>
          <w:rFonts w:hint="cs"/>
          <w:rtl/>
        </w:rPr>
        <w:t>בכל הנוגע לאחזקת תחמושת בכמות של קליעים בודדים או עשרות קליעים – עד 6 חדשי מאסר בפועל.</w:t>
      </w:r>
    </w:p>
    <w:p w14:paraId="7B3990ED" w14:textId="77777777" w:rsidR="00E15933" w:rsidRPr="00E15933" w:rsidRDefault="00E15933" w:rsidP="00E15933">
      <w:pPr>
        <w:spacing w:line="360" w:lineRule="auto"/>
        <w:jc w:val="both"/>
        <w:rPr>
          <w:rFonts w:eastAsia="Calibri"/>
          <w:rtl/>
        </w:rPr>
      </w:pPr>
    </w:p>
    <w:p w14:paraId="6A79DAE4" w14:textId="77777777" w:rsidR="00E15933" w:rsidRPr="00E15933" w:rsidRDefault="00E15933" w:rsidP="00E15933">
      <w:pPr>
        <w:spacing w:line="360" w:lineRule="auto"/>
        <w:jc w:val="both"/>
        <w:rPr>
          <w:rFonts w:eastAsia="Calibri"/>
          <w:rtl/>
        </w:rPr>
      </w:pPr>
      <w:r w:rsidRPr="00E15933">
        <w:rPr>
          <w:rFonts w:eastAsia="Calibri" w:hint="cs"/>
          <w:rtl/>
        </w:rPr>
        <w:t xml:space="preserve">מתחמים אלה נפסקו, לאחרונה, במספר גזרי דין שניתנו בנסיבות דומות. ראו </w:t>
      </w:r>
      <w:hyperlink r:id="rId26" w:history="1">
        <w:r w:rsidR="005A01FF" w:rsidRPr="005A01FF">
          <w:rPr>
            <w:rFonts w:eastAsia="Calibri"/>
            <w:color w:val="0000FF"/>
            <w:u w:val="single"/>
            <w:rtl/>
          </w:rPr>
          <w:t>ת.פ. 30406-04-16</w:t>
        </w:r>
      </w:hyperlink>
      <w:r w:rsidRPr="00E15933">
        <w:rPr>
          <w:rFonts w:eastAsia="Calibri" w:hint="cs"/>
          <w:rtl/>
        </w:rPr>
        <w:t xml:space="preserve"> </w:t>
      </w:r>
      <w:r w:rsidRPr="00E15933">
        <w:rPr>
          <w:rFonts w:eastAsia="Calibri" w:hint="cs"/>
          <w:b/>
          <w:bCs/>
          <w:rtl/>
        </w:rPr>
        <w:t xml:space="preserve">מדינת ישראל נ' אבו עאמר; </w:t>
      </w:r>
      <w:hyperlink r:id="rId27" w:history="1">
        <w:r w:rsidR="005A01FF" w:rsidRPr="005A01FF">
          <w:rPr>
            <w:rFonts w:eastAsia="Calibri"/>
            <w:color w:val="0000FF"/>
            <w:u w:val="single"/>
            <w:rtl/>
          </w:rPr>
          <w:t>ת.פ. 65912-01-18</w:t>
        </w:r>
      </w:hyperlink>
      <w:r w:rsidRPr="00E15933">
        <w:rPr>
          <w:rFonts w:eastAsia="Calibri" w:hint="cs"/>
          <w:b/>
          <w:bCs/>
          <w:rtl/>
        </w:rPr>
        <w:t xml:space="preserve"> מדינת ישראל נ' אבו מדעם ואח' </w:t>
      </w:r>
      <w:r w:rsidRPr="00E15933">
        <w:rPr>
          <w:rFonts w:eastAsia="Calibri" w:hint="cs"/>
          <w:rtl/>
        </w:rPr>
        <w:t>(גזרי הדין פורסמו במאגרים).</w:t>
      </w:r>
    </w:p>
    <w:p w14:paraId="5FCF5456" w14:textId="77777777" w:rsidR="00E15933" w:rsidRPr="00E15933" w:rsidRDefault="00E15933" w:rsidP="00E15933">
      <w:pPr>
        <w:spacing w:line="360" w:lineRule="auto"/>
        <w:jc w:val="both"/>
        <w:rPr>
          <w:rFonts w:eastAsia="Calibri"/>
        </w:rPr>
      </w:pPr>
    </w:p>
    <w:p w14:paraId="2FE35C95" w14:textId="77777777" w:rsidR="00E15933" w:rsidRDefault="00E15933" w:rsidP="00E15933">
      <w:pPr>
        <w:spacing w:line="360" w:lineRule="auto"/>
        <w:jc w:val="both"/>
        <w:rPr>
          <w:rtl/>
        </w:rPr>
      </w:pPr>
      <w:r>
        <w:rPr>
          <w:rFonts w:hint="cs"/>
          <w:rtl/>
        </w:rPr>
        <w:t>אשר למתחם הענישה הכולל בתיק זה, יועמד, בין 20 עד 40 חודשי מאסר בפועל.</w:t>
      </w:r>
    </w:p>
    <w:p w14:paraId="406384D7" w14:textId="77777777" w:rsidR="00E15933" w:rsidRDefault="00E15933" w:rsidP="00E15933">
      <w:pPr>
        <w:spacing w:line="360" w:lineRule="auto"/>
        <w:jc w:val="both"/>
        <w:rPr>
          <w:rtl/>
        </w:rPr>
      </w:pPr>
    </w:p>
    <w:p w14:paraId="44EBF53C" w14:textId="77777777" w:rsidR="00E15933" w:rsidRDefault="00E15933" w:rsidP="00E15933">
      <w:pPr>
        <w:spacing w:line="360" w:lineRule="auto"/>
        <w:jc w:val="both"/>
        <w:rPr>
          <w:rtl/>
        </w:rPr>
      </w:pPr>
    </w:p>
    <w:p w14:paraId="2B2BE36D" w14:textId="77777777" w:rsidR="00E15933" w:rsidRDefault="00E15933" w:rsidP="00E15933">
      <w:pPr>
        <w:spacing w:line="360" w:lineRule="auto"/>
        <w:jc w:val="both"/>
        <w:rPr>
          <w:b/>
          <w:bCs/>
          <w:rtl/>
        </w:rPr>
      </w:pPr>
      <w:r>
        <w:rPr>
          <w:rFonts w:hint="cs"/>
          <w:b/>
          <w:bCs/>
          <w:rtl/>
        </w:rPr>
        <w:t xml:space="preserve">קביעת הענישה הספציפית במסגרת המתחם: </w:t>
      </w:r>
    </w:p>
    <w:p w14:paraId="4DC0A443" w14:textId="77777777" w:rsidR="00E15933" w:rsidRDefault="00E15933" w:rsidP="00E15933">
      <w:pPr>
        <w:spacing w:line="360" w:lineRule="auto"/>
        <w:jc w:val="both"/>
        <w:rPr>
          <w:rtl/>
        </w:rPr>
      </w:pPr>
    </w:p>
    <w:p w14:paraId="726A8C1B" w14:textId="77777777" w:rsidR="00E15933" w:rsidRDefault="00E15933" w:rsidP="00E15933">
      <w:pPr>
        <w:spacing w:line="360" w:lineRule="auto"/>
        <w:jc w:val="both"/>
        <w:rPr>
          <w:rtl/>
        </w:rPr>
      </w:pPr>
      <w:r>
        <w:rPr>
          <w:rFonts w:hint="cs"/>
          <w:rtl/>
        </w:rPr>
        <w:t xml:space="preserve">הנאשם החזיק רובה סער שהוצא מצה"ל בדרך לא ידועה, בצירוף מחסניות ותחמושת, במצב תקין ומוכן לשימוש. </w:t>
      </w:r>
    </w:p>
    <w:p w14:paraId="7C8DEBFB" w14:textId="77777777" w:rsidR="00E15933" w:rsidRDefault="00E15933" w:rsidP="00E15933">
      <w:pPr>
        <w:spacing w:line="360" w:lineRule="auto"/>
        <w:jc w:val="both"/>
        <w:rPr>
          <w:rtl/>
        </w:rPr>
      </w:pPr>
    </w:p>
    <w:p w14:paraId="6BA2E5E8" w14:textId="77777777" w:rsidR="00E15933" w:rsidRDefault="00E15933" w:rsidP="00E15933">
      <w:pPr>
        <w:spacing w:line="360" w:lineRule="auto"/>
        <w:jc w:val="both"/>
        <w:rPr>
          <w:rtl/>
        </w:rPr>
      </w:pPr>
      <w:r>
        <w:rPr>
          <w:rFonts w:hint="cs"/>
          <w:rtl/>
        </w:rPr>
        <w:t xml:space="preserve">הנשק הוחזק במבנה פתוח, והגם שהוסלק מתחת ללוח עץ שהותקן על הרצפה </w:t>
      </w:r>
      <w:r>
        <w:rPr>
          <w:rtl/>
        </w:rPr>
        <w:t>–</w:t>
      </w:r>
      <w:r>
        <w:rPr>
          <w:rFonts w:hint="cs"/>
          <w:rtl/>
        </w:rPr>
        <w:t xml:space="preserve"> עולה מהאמרה שמסר בחקירה (נ/1), כי המדובר באזור מגורי משפחת הנאשם, שם מסתובבים גם ילדיו הקטנים. לא קשה לשער את פוטנציאל הסיכון, אם מי מהילדים היה שם ידו על נשק זה.</w:t>
      </w:r>
    </w:p>
    <w:p w14:paraId="635ADA82" w14:textId="77777777" w:rsidR="00E15933" w:rsidRDefault="00E15933" w:rsidP="00E15933">
      <w:pPr>
        <w:spacing w:line="360" w:lineRule="auto"/>
        <w:jc w:val="both"/>
        <w:rPr>
          <w:rtl/>
        </w:rPr>
      </w:pPr>
    </w:p>
    <w:p w14:paraId="2F7D965A" w14:textId="77777777" w:rsidR="00E15933" w:rsidRDefault="00E15933" w:rsidP="00E15933">
      <w:pPr>
        <w:spacing w:line="360" w:lineRule="auto"/>
        <w:jc w:val="both"/>
        <w:rPr>
          <w:rtl/>
        </w:rPr>
      </w:pPr>
      <w:r>
        <w:rPr>
          <w:rFonts w:hint="cs"/>
          <w:rtl/>
        </w:rPr>
        <w:t xml:space="preserve">רובה הסער הוחזק במצב בו טושטש מספרו הסידורי. </w:t>
      </w:r>
    </w:p>
    <w:p w14:paraId="7FFDCE76" w14:textId="77777777" w:rsidR="00E15933" w:rsidRDefault="00E15933" w:rsidP="00E15933">
      <w:pPr>
        <w:spacing w:line="360" w:lineRule="auto"/>
        <w:jc w:val="both"/>
        <w:rPr>
          <w:rtl/>
        </w:rPr>
      </w:pPr>
    </w:p>
    <w:p w14:paraId="46E687EB" w14:textId="77777777" w:rsidR="00E15933" w:rsidRDefault="00E15933" w:rsidP="00E15933">
      <w:pPr>
        <w:spacing w:line="360" w:lineRule="auto"/>
        <w:jc w:val="both"/>
        <w:rPr>
          <w:rtl/>
        </w:rPr>
      </w:pPr>
      <w:r>
        <w:rPr>
          <w:rFonts w:hint="cs"/>
          <w:rtl/>
        </w:rPr>
        <w:t xml:space="preserve">כפי שעולה מדוח המעבדה ת/3 </w:t>
      </w:r>
      <w:r>
        <w:rPr>
          <w:rtl/>
        </w:rPr>
        <w:t>–</w:t>
      </w:r>
      <w:r>
        <w:rPr>
          <w:rFonts w:hint="cs"/>
          <w:rtl/>
        </w:rPr>
        <w:t xml:space="preserve"> שהוגש בהסכמת הצדדים </w:t>
      </w:r>
      <w:r>
        <w:rPr>
          <w:rtl/>
        </w:rPr>
        <w:t>–</w:t>
      </w:r>
      <w:r>
        <w:rPr>
          <w:rFonts w:hint="cs"/>
          <w:rtl/>
        </w:rPr>
        <w:t xml:space="preserve"> היה נשק זה מעורב באירוע פלילי חמור, במסגרתו נורה אדם, באזור מגוריו של הנאשם. אמנם, צודקת ההגנה, כי לא ניתן לייחס אירוע זה לנאשם. אך יש ממש בדברי התביעה, כי הן ממחיקת המספר הסידורי והן מהאירוע המתואר ניתן להבין, כי נשק זה מצא דרכו לידיהם של פורעי חוק ולא רק למטרה הגנתית או לעת מצוא. </w:t>
      </w:r>
    </w:p>
    <w:p w14:paraId="14F91060" w14:textId="77777777" w:rsidR="00E15933" w:rsidRDefault="00E15933" w:rsidP="00E15933">
      <w:pPr>
        <w:spacing w:line="360" w:lineRule="auto"/>
        <w:jc w:val="both"/>
        <w:rPr>
          <w:rtl/>
        </w:rPr>
      </w:pPr>
    </w:p>
    <w:p w14:paraId="31F5E9B9" w14:textId="77777777" w:rsidR="00E15933" w:rsidRDefault="00E15933" w:rsidP="00E15933">
      <w:pPr>
        <w:spacing w:line="360" w:lineRule="auto"/>
        <w:jc w:val="both"/>
        <w:rPr>
          <w:rtl/>
        </w:rPr>
      </w:pPr>
      <w:r>
        <w:rPr>
          <w:rFonts w:hint="cs"/>
          <w:rtl/>
        </w:rPr>
        <w:t xml:space="preserve">לחובת הנאשם עבר פלילי (אם כי לא בעבירות דומות) וכן עבר תעבורתי המלמד על אופן התייחסותו להוראות החוק ולשלומם של עוברי הדרך. </w:t>
      </w:r>
    </w:p>
    <w:p w14:paraId="4214368C" w14:textId="77777777" w:rsidR="00E15933" w:rsidRDefault="00E15933" w:rsidP="00E15933">
      <w:pPr>
        <w:spacing w:line="360" w:lineRule="auto"/>
        <w:jc w:val="both"/>
        <w:rPr>
          <w:rtl/>
        </w:rPr>
      </w:pPr>
    </w:p>
    <w:p w14:paraId="1C7D789F" w14:textId="77777777" w:rsidR="00E15933" w:rsidRDefault="00E15933" w:rsidP="00E15933">
      <w:pPr>
        <w:spacing w:line="360" w:lineRule="auto"/>
        <w:jc w:val="both"/>
        <w:rPr>
          <w:rtl/>
        </w:rPr>
      </w:pPr>
      <w:r>
        <w:rPr>
          <w:rFonts w:hint="cs"/>
          <w:rtl/>
        </w:rPr>
        <w:t>הטענה, כי כלי הנשק נמצא באקראי תחת עץ – מבלי להתייחס לשאלת הסתברותה, אינה מעלה ואינה מורידה, שכן אין צורך להכביר מילים, על סכנת הפגיעה באזרחים חפים מפשע, כתוצאה משימוש בכלי הנשק, אשר, לדברי הנאשם עצמו באמרתו נ/1, הוחזק על ידו שנים רבות. עצמתה של סכנה זו אינה משתנה לפי הדרך בה הושג כלי הנשק.</w:t>
      </w:r>
    </w:p>
    <w:p w14:paraId="1489247C" w14:textId="77777777" w:rsidR="00E15933" w:rsidRDefault="00E15933" w:rsidP="00E15933">
      <w:pPr>
        <w:spacing w:line="360" w:lineRule="auto"/>
        <w:jc w:val="both"/>
        <w:rPr>
          <w:rtl/>
        </w:rPr>
      </w:pPr>
    </w:p>
    <w:p w14:paraId="6C496FC7" w14:textId="77777777" w:rsidR="00E15933" w:rsidRDefault="00E15933" w:rsidP="00E15933">
      <w:pPr>
        <w:spacing w:line="360" w:lineRule="auto"/>
        <w:jc w:val="both"/>
        <w:rPr>
          <w:rtl/>
        </w:rPr>
      </w:pPr>
      <w:r>
        <w:rPr>
          <w:rFonts w:hint="cs"/>
          <w:rtl/>
        </w:rPr>
        <w:t xml:space="preserve">שיקול נוסף שיבוא לחומרה הוא העובדה, כי קיימות אינדיקציות </w:t>
      </w:r>
      <w:r>
        <w:rPr>
          <w:rtl/>
        </w:rPr>
        <w:t>–</w:t>
      </w:r>
      <w:r>
        <w:rPr>
          <w:rFonts w:hint="cs"/>
          <w:rtl/>
        </w:rPr>
        <w:t xml:space="preserve"> הן מדברי הנאשם והן מעברו הפלילי </w:t>
      </w:r>
      <w:r>
        <w:rPr>
          <w:rtl/>
        </w:rPr>
        <w:t>–</w:t>
      </w:r>
      <w:r>
        <w:rPr>
          <w:rFonts w:hint="cs"/>
          <w:rtl/>
        </w:rPr>
        <w:t xml:space="preserve"> לשימוש בסמים מסוכנים ובחמרים משני תודעה. הנגישות לנשק חם אוטומטי בנסיבות כאלה </w:t>
      </w:r>
      <w:r>
        <w:rPr>
          <w:rtl/>
        </w:rPr>
        <w:t>–</w:t>
      </w:r>
      <w:r>
        <w:rPr>
          <w:rFonts w:hint="cs"/>
          <w:rtl/>
        </w:rPr>
        <w:t xml:space="preserve"> מסוכנת עוד יותר.</w:t>
      </w:r>
    </w:p>
    <w:p w14:paraId="5852111D" w14:textId="77777777" w:rsidR="00E15933" w:rsidRDefault="00E15933" w:rsidP="00E15933">
      <w:pPr>
        <w:spacing w:line="360" w:lineRule="auto"/>
        <w:jc w:val="both"/>
        <w:rPr>
          <w:rtl/>
        </w:rPr>
      </w:pPr>
    </w:p>
    <w:p w14:paraId="5F676E0F" w14:textId="77777777" w:rsidR="00E15933" w:rsidRDefault="00E15933" w:rsidP="00E15933">
      <w:pPr>
        <w:spacing w:line="360" w:lineRule="auto"/>
        <w:jc w:val="both"/>
        <w:rPr>
          <w:rtl/>
        </w:rPr>
      </w:pPr>
      <w:r>
        <w:rPr>
          <w:rFonts w:hint="cs"/>
          <w:rtl/>
        </w:rPr>
        <w:t>לזכות הנאשם, ייקח בית המשפט בחשבון הודאתו באשמה; התקופה בה שוהה במעצר; העדר  ראיות על כוונה לשימוש שלילי, פלילי או אחר, בנשק שנתפס.</w:t>
      </w:r>
    </w:p>
    <w:p w14:paraId="1DF61E34" w14:textId="77777777" w:rsidR="00E15933" w:rsidRDefault="00E15933" w:rsidP="00E15933">
      <w:pPr>
        <w:spacing w:line="360" w:lineRule="auto"/>
        <w:jc w:val="both"/>
        <w:rPr>
          <w:rtl/>
        </w:rPr>
      </w:pPr>
    </w:p>
    <w:p w14:paraId="05F161D3" w14:textId="77777777" w:rsidR="00E15933" w:rsidRDefault="00E15933" w:rsidP="00E15933">
      <w:pPr>
        <w:spacing w:line="360" w:lineRule="auto"/>
        <w:jc w:val="both"/>
        <w:rPr>
          <w:rtl/>
        </w:rPr>
      </w:pPr>
      <w:r>
        <w:rPr>
          <w:rFonts w:hint="cs"/>
          <w:rtl/>
        </w:rPr>
        <w:t>איזון השיקולים השונים מצביע לכיוון ענישה על הצד הבינוני של מתחם הענישה (אם גם לא במרכז המתחם ממש).</w:t>
      </w:r>
    </w:p>
    <w:p w14:paraId="18428038" w14:textId="77777777" w:rsidR="00E15933" w:rsidRDefault="00E15933" w:rsidP="00E15933">
      <w:pPr>
        <w:spacing w:line="360" w:lineRule="auto"/>
        <w:jc w:val="both"/>
        <w:rPr>
          <w:rtl/>
        </w:rPr>
      </w:pPr>
    </w:p>
    <w:p w14:paraId="4A3DB065" w14:textId="77777777" w:rsidR="00E15933" w:rsidRDefault="00E15933" w:rsidP="00E15933">
      <w:pPr>
        <w:spacing w:line="360" w:lineRule="auto"/>
        <w:jc w:val="both"/>
        <w:rPr>
          <w:rFonts w:ascii="Arial" w:hAnsi="Arial" w:cs="Arial"/>
        </w:rPr>
      </w:pPr>
      <w:r>
        <w:rPr>
          <w:rFonts w:hint="cs"/>
          <w:rtl/>
        </w:rPr>
        <w:t xml:space="preserve">אשר לנסיבותיו האישיות של הנאשם </w:t>
      </w:r>
      <w:r>
        <w:rPr>
          <w:rtl/>
        </w:rPr>
        <w:t>–</w:t>
      </w:r>
      <w:r>
        <w:rPr>
          <w:rFonts w:hint="cs"/>
          <w:rtl/>
        </w:rPr>
        <w:t xml:space="preserve"> הגם שעולה מהדוח הסוציאלי נ/2, כי המשפחה חוותה טרגדיה </w:t>
      </w:r>
      <w:r>
        <w:rPr>
          <w:rtl/>
        </w:rPr>
        <w:t>–</w:t>
      </w:r>
      <w:r>
        <w:rPr>
          <w:rFonts w:hint="cs"/>
          <w:rtl/>
        </w:rPr>
        <w:t xml:space="preserve"> הרי בד בבד עולה מדברי עו"ס המשפחה, כי הנאשם אינו מגלה עניין במשפחתו ואינו דואג לצרכיה ולרווחתה. </w:t>
      </w:r>
    </w:p>
    <w:p w14:paraId="3BA4FA8B" w14:textId="77777777" w:rsidR="00E15933" w:rsidRDefault="00E15933" w:rsidP="00E15933">
      <w:pPr>
        <w:spacing w:line="360" w:lineRule="auto"/>
        <w:jc w:val="both"/>
      </w:pPr>
    </w:p>
    <w:p w14:paraId="432C76E5" w14:textId="77777777" w:rsidR="00E15933" w:rsidRDefault="00E15933" w:rsidP="00E15933">
      <w:pPr>
        <w:spacing w:line="360" w:lineRule="auto"/>
        <w:jc w:val="both"/>
      </w:pPr>
      <w:r>
        <w:rPr>
          <w:rFonts w:hint="cs"/>
          <w:rtl/>
        </w:rPr>
        <w:t xml:space="preserve">לנוכח כך שהמדובר בכלי הנשק שלו שווי כלכלי לא מבוטל, מוצא בית המשפט להשית עיצום כספי מסוג קנס. בפרשת </w:t>
      </w:r>
      <w:r>
        <w:rPr>
          <w:rFonts w:hint="cs"/>
          <w:b/>
          <w:bCs/>
          <w:rtl/>
        </w:rPr>
        <w:t>אלסראעיה</w:t>
      </w:r>
      <w:r>
        <w:rPr>
          <w:rFonts w:hint="cs"/>
          <w:rtl/>
        </w:rPr>
        <w:t xml:space="preserve"> דלעיל, הושת עיצום כספי מסוג קנס בסך 12,000 ₪,</w:t>
      </w:r>
      <w:r w:rsidR="005A01FF">
        <w:rPr>
          <w:rFonts w:hint="cs"/>
          <w:rtl/>
        </w:rPr>
        <w:t xml:space="preserve"> </w:t>
      </w:r>
      <w:r>
        <w:rPr>
          <w:rFonts w:hint="cs"/>
          <w:rtl/>
        </w:rPr>
        <w:t xml:space="preserve"> ובית המשפט המחוזי לא מצא עילה להתערב בכך. יצוין, כי שם המדובר היה באחזקת תת מקלע אחד מאולתר ואקדח פגום, כך שבמקרה דנן,</w:t>
      </w:r>
      <w:r w:rsidR="005A01FF">
        <w:rPr>
          <w:rFonts w:hint="cs"/>
          <w:rtl/>
        </w:rPr>
        <w:t xml:space="preserve"> </w:t>
      </w:r>
      <w:r>
        <w:rPr>
          <w:rFonts w:hint="cs"/>
          <w:rtl/>
        </w:rPr>
        <w:t xml:space="preserve"> יושת עיצום, בהתאמה, בהתאם לסוג הנשק ולתחמושת בהם החזיק הנאשם.</w:t>
      </w:r>
    </w:p>
    <w:p w14:paraId="1BDA0536" w14:textId="77777777" w:rsidR="00E15933" w:rsidRDefault="00E15933" w:rsidP="00E15933">
      <w:pPr>
        <w:spacing w:line="360" w:lineRule="auto"/>
        <w:jc w:val="both"/>
        <w:rPr>
          <w:rtl/>
        </w:rPr>
      </w:pPr>
    </w:p>
    <w:p w14:paraId="1606B02D" w14:textId="77777777" w:rsidR="00E15933" w:rsidRDefault="00E15933" w:rsidP="00E15933">
      <w:pPr>
        <w:spacing w:line="360" w:lineRule="auto"/>
        <w:jc w:val="both"/>
        <w:rPr>
          <w:rtl/>
        </w:rPr>
      </w:pPr>
      <w:r>
        <w:rPr>
          <w:rFonts w:hint="cs"/>
          <w:rtl/>
        </w:rPr>
        <w:t>משלא הובררו עד תום מניעי הנאשם להחזקת כלי הנשק – מוצא בית המשפט גם להשית מאסר מותנה מרתיע.</w:t>
      </w:r>
    </w:p>
    <w:p w14:paraId="19A173BC" w14:textId="77777777" w:rsidR="00E15933" w:rsidRDefault="00E15933" w:rsidP="00E15933">
      <w:pPr>
        <w:spacing w:line="360" w:lineRule="auto"/>
        <w:jc w:val="both"/>
        <w:rPr>
          <w:rtl/>
        </w:rPr>
      </w:pPr>
    </w:p>
    <w:p w14:paraId="61E1AE6A" w14:textId="77777777" w:rsidR="00E15933" w:rsidRDefault="00E15933" w:rsidP="00E15933">
      <w:pPr>
        <w:spacing w:line="360" w:lineRule="auto"/>
        <w:jc w:val="both"/>
        <w:rPr>
          <w:rtl/>
        </w:rPr>
      </w:pPr>
      <w:r>
        <w:rPr>
          <w:rFonts w:hint="cs"/>
          <w:rtl/>
        </w:rPr>
        <w:t xml:space="preserve">לאחר שבית המשפט שמע את טענות הצדדים (ועיין בטענות התביעה בכתב); עיין במוצגים שהוגשו; עיין בדוח הסוציאלי; עיין בפסיקה שהוגשה; שמע דברו האחרון של הנאשם </w:t>
      </w:r>
      <w:r>
        <w:rPr>
          <w:rtl/>
        </w:rPr>
        <w:t>–</w:t>
      </w:r>
      <w:r>
        <w:rPr>
          <w:rFonts w:hint="cs"/>
          <w:rtl/>
        </w:rPr>
        <w:t xml:space="preserve"> דן את הנאשם לעונשים כדלקמן:</w:t>
      </w:r>
    </w:p>
    <w:p w14:paraId="29ECFE69" w14:textId="77777777" w:rsidR="00E15933" w:rsidRDefault="00E15933" w:rsidP="00E15933">
      <w:pPr>
        <w:spacing w:line="360" w:lineRule="auto"/>
        <w:jc w:val="both"/>
        <w:rPr>
          <w:rtl/>
        </w:rPr>
      </w:pPr>
    </w:p>
    <w:p w14:paraId="03E8DD30" w14:textId="77777777" w:rsidR="00E15933" w:rsidRDefault="00E15933" w:rsidP="00E15933">
      <w:pPr>
        <w:numPr>
          <w:ilvl w:val="0"/>
          <w:numId w:val="2"/>
        </w:numPr>
        <w:spacing w:line="360" w:lineRule="auto"/>
        <w:jc w:val="both"/>
        <w:rPr>
          <w:rtl/>
        </w:rPr>
      </w:pPr>
      <w:r>
        <w:rPr>
          <w:rFonts w:hint="cs"/>
          <w:rtl/>
        </w:rPr>
        <w:t>28 חודשי מאסר בפועל, בניכוי ימי מעצרו, בהתאם לרישומי שב"ס;</w:t>
      </w:r>
    </w:p>
    <w:p w14:paraId="177A2227" w14:textId="77777777" w:rsidR="00E15933" w:rsidRDefault="00E15933" w:rsidP="00E15933">
      <w:pPr>
        <w:spacing w:line="360" w:lineRule="auto"/>
        <w:jc w:val="both"/>
        <w:rPr>
          <w:rtl/>
        </w:rPr>
      </w:pPr>
    </w:p>
    <w:p w14:paraId="437CEFFC" w14:textId="77777777" w:rsidR="00E15933" w:rsidRDefault="00E15933" w:rsidP="00E15933">
      <w:pPr>
        <w:numPr>
          <w:ilvl w:val="0"/>
          <w:numId w:val="2"/>
        </w:numPr>
        <w:spacing w:line="360" w:lineRule="auto"/>
        <w:jc w:val="both"/>
        <w:rPr>
          <w:rtl/>
        </w:rPr>
      </w:pPr>
      <w:r>
        <w:rPr>
          <w:rFonts w:hint="cs"/>
          <w:rtl/>
        </w:rPr>
        <w:t>12 חדשי מאסר על תנאי למשך 3 שנים מיום שחרורו של הנאשם ממאסרו, שהנאשם לא יעבור עבירה בניגוד ל</w:t>
      </w:r>
      <w:hyperlink r:id="rId28" w:history="1">
        <w:r w:rsidR="005A01FF" w:rsidRPr="005A01FF">
          <w:rPr>
            <w:color w:val="0000FF"/>
            <w:u w:val="single"/>
            <w:rtl/>
          </w:rPr>
          <w:t>חוק העונשין</w:t>
        </w:r>
      </w:hyperlink>
      <w:r>
        <w:rPr>
          <w:rFonts w:hint="cs"/>
          <w:rtl/>
        </w:rPr>
        <w:t xml:space="preserve">, תשל"ז-1977, </w:t>
      </w:r>
      <w:hyperlink r:id="rId29" w:history="1">
        <w:r w:rsidR="00F05629" w:rsidRPr="00F05629">
          <w:rPr>
            <w:color w:val="0000FF"/>
            <w:u w:val="single"/>
            <w:rtl/>
          </w:rPr>
          <w:t>פרק ח' סימן</w:t>
        </w:r>
      </w:hyperlink>
      <w:r>
        <w:rPr>
          <w:rFonts w:hint="cs"/>
          <w:rtl/>
        </w:rPr>
        <w:t xml:space="preserve"> א', למעט עבירה בניגוד </w:t>
      </w:r>
      <w:hyperlink r:id="rId30" w:history="1">
        <w:r w:rsidR="00F05629" w:rsidRPr="00F05629">
          <w:rPr>
            <w:color w:val="0000FF"/>
            <w:u w:val="single"/>
            <w:rtl/>
          </w:rPr>
          <w:t>לסעיף 144(א)</w:t>
        </w:r>
      </w:hyperlink>
      <w:r>
        <w:rPr>
          <w:rFonts w:hint="cs"/>
          <w:rtl/>
        </w:rPr>
        <w:t xml:space="preserve"> סיפא לאותו חוק;</w:t>
      </w:r>
    </w:p>
    <w:p w14:paraId="2B0F6AC5" w14:textId="77777777" w:rsidR="00E15933" w:rsidRDefault="00E15933" w:rsidP="00E15933">
      <w:pPr>
        <w:spacing w:line="360" w:lineRule="auto"/>
        <w:jc w:val="both"/>
        <w:rPr>
          <w:rtl/>
        </w:rPr>
      </w:pPr>
    </w:p>
    <w:p w14:paraId="097FC157" w14:textId="77777777" w:rsidR="00E15933" w:rsidRDefault="00E15933" w:rsidP="00E15933">
      <w:pPr>
        <w:numPr>
          <w:ilvl w:val="0"/>
          <w:numId w:val="2"/>
        </w:numPr>
        <w:spacing w:line="360" w:lineRule="auto"/>
        <w:jc w:val="both"/>
        <w:rPr>
          <w:rtl/>
        </w:rPr>
      </w:pPr>
      <w:r>
        <w:rPr>
          <w:rFonts w:hint="cs"/>
          <w:rtl/>
        </w:rPr>
        <w:t>6 חדשי מאסר על תנאי למשך 3 שנים מיום שחרורו של הנאשם ממאסרו, שהנאשם לא יעבור עבירה בניגוד ל</w:t>
      </w:r>
      <w:hyperlink r:id="rId31" w:history="1">
        <w:r w:rsidR="005A01FF" w:rsidRPr="005A01FF">
          <w:rPr>
            <w:color w:val="0000FF"/>
            <w:u w:val="single"/>
            <w:rtl/>
          </w:rPr>
          <w:t>חוק העונשין</w:t>
        </w:r>
      </w:hyperlink>
      <w:r>
        <w:rPr>
          <w:rFonts w:hint="cs"/>
          <w:rtl/>
        </w:rPr>
        <w:t xml:space="preserve">, תשל"ז-1977, </w:t>
      </w:r>
      <w:hyperlink r:id="rId32" w:history="1">
        <w:r w:rsidR="00F05629" w:rsidRPr="00F05629">
          <w:rPr>
            <w:color w:val="0000FF"/>
            <w:u w:val="single"/>
            <w:rtl/>
          </w:rPr>
          <w:t>סעיף 144(א)</w:t>
        </w:r>
      </w:hyperlink>
      <w:r>
        <w:rPr>
          <w:rFonts w:hint="cs"/>
          <w:rtl/>
        </w:rPr>
        <w:t xml:space="preserve"> סיפא או </w:t>
      </w:r>
      <w:hyperlink r:id="rId33" w:history="1">
        <w:r w:rsidR="00F05629" w:rsidRPr="00F05629">
          <w:rPr>
            <w:color w:val="0000FF"/>
            <w:u w:val="single"/>
            <w:rtl/>
          </w:rPr>
          <w:t>סעיף 186</w:t>
        </w:r>
      </w:hyperlink>
      <w:r>
        <w:rPr>
          <w:rFonts w:hint="cs"/>
          <w:rtl/>
        </w:rPr>
        <w:t>;</w:t>
      </w:r>
    </w:p>
    <w:p w14:paraId="0528DBCF" w14:textId="77777777" w:rsidR="00E15933" w:rsidRDefault="00E15933" w:rsidP="00E15933">
      <w:pPr>
        <w:spacing w:line="360" w:lineRule="auto"/>
        <w:jc w:val="both"/>
        <w:rPr>
          <w:rtl/>
        </w:rPr>
      </w:pPr>
    </w:p>
    <w:p w14:paraId="0B854654" w14:textId="77777777" w:rsidR="00E15933" w:rsidRDefault="00E15933" w:rsidP="00E15933">
      <w:pPr>
        <w:numPr>
          <w:ilvl w:val="0"/>
          <w:numId w:val="2"/>
        </w:numPr>
        <w:spacing w:line="360" w:lineRule="auto"/>
        <w:jc w:val="both"/>
        <w:rPr>
          <w:rtl/>
        </w:rPr>
      </w:pPr>
      <w:r>
        <w:rPr>
          <w:rFonts w:hint="cs"/>
          <w:rtl/>
        </w:rPr>
        <w:t>קנס בסך 10,000 ₪ או 90 ימי מאסר תמורתו. הקנס ישולם עד ליום 30.06.2019.</w:t>
      </w:r>
    </w:p>
    <w:p w14:paraId="12E7CBDA" w14:textId="77777777" w:rsidR="00E15933" w:rsidRDefault="00E15933" w:rsidP="00E15933">
      <w:pPr>
        <w:spacing w:line="360" w:lineRule="auto"/>
        <w:jc w:val="both"/>
        <w:rPr>
          <w:rtl/>
        </w:rPr>
      </w:pPr>
    </w:p>
    <w:p w14:paraId="61841AAC" w14:textId="77777777" w:rsidR="00E15933" w:rsidRDefault="00E15933" w:rsidP="00E15933">
      <w:pPr>
        <w:spacing w:line="360" w:lineRule="auto"/>
        <w:jc w:val="both"/>
        <w:rPr>
          <w:rtl/>
        </w:rPr>
      </w:pPr>
      <w:r>
        <w:rPr>
          <w:rFonts w:hint="cs"/>
          <w:rtl/>
        </w:rPr>
        <w:t xml:space="preserve">ככל שלא תוגש בקשה אחרת מטעם מי מהצדדים בתוך 45 ימים, יחולטו/יושמדו המוצגים בתיק החקירה, לרבות כלי הנשק והתחמושת נושא כתב האישום, על פי שיקול דעת המאשימה. </w:t>
      </w:r>
    </w:p>
    <w:p w14:paraId="24002655" w14:textId="77777777" w:rsidR="00E15933" w:rsidRDefault="00E15933" w:rsidP="00E15933">
      <w:pPr>
        <w:spacing w:line="360" w:lineRule="auto"/>
        <w:jc w:val="both"/>
        <w:rPr>
          <w:rFonts w:ascii="Arial" w:hAnsi="Arial"/>
          <w:rtl/>
        </w:rPr>
      </w:pPr>
    </w:p>
    <w:p w14:paraId="34CB494C" w14:textId="77777777" w:rsidR="00E15933" w:rsidRDefault="005A01FF" w:rsidP="00E15933">
      <w:pPr>
        <w:spacing w:line="360" w:lineRule="auto"/>
        <w:jc w:val="both"/>
        <w:rPr>
          <w:rFonts w:ascii="Arial" w:hAnsi="Arial"/>
          <w:rtl/>
        </w:rPr>
      </w:pPr>
      <w:r w:rsidRPr="005A01FF">
        <w:rPr>
          <w:rFonts w:ascii="Arial" w:hAnsi="Arial"/>
          <w:color w:val="FFFFFF"/>
          <w:sz w:val="2"/>
          <w:szCs w:val="2"/>
          <w:rtl/>
        </w:rPr>
        <w:t>5129371</w:t>
      </w:r>
      <w:r>
        <w:rPr>
          <w:rFonts w:ascii="Arial" w:hAnsi="Arial"/>
          <w:rtl/>
        </w:rPr>
        <w:t xml:space="preserve">ניתנה היום, ד' אדר ב' תשע"ט, 11 מרץ 2019, במעמד התובעת עו"ד אסיל אמון-קאסם והנאשם </w:t>
      </w:r>
      <w:r w:rsidR="00E15933">
        <w:rPr>
          <w:rFonts w:ascii="Arial" w:hAnsi="Arial" w:hint="cs"/>
          <w:rtl/>
        </w:rPr>
        <w:t>(הובא על ידי שב"ס). הסניגור שוחרר מהתייצבות</w:t>
      </w:r>
      <w:r w:rsidR="00E15933">
        <w:rPr>
          <w:rFonts w:ascii="Arial" w:hAnsi="Arial"/>
          <w:rtl/>
        </w:rPr>
        <w:t>.</w:t>
      </w:r>
    </w:p>
    <w:p w14:paraId="75C7A7D9" w14:textId="77777777" w:rsidR="00E15933" w:rsidRPr="005A01FF" w:rsidRDefault="005A01FF" w:rsidP="00E15933">
      <w:pPr>
        <w:spacing w:line="360" w:lineRule="auto"/>
        <w:jc w:val="both"/>
        <w:rPr>
          <w:rFonts w:ascii="Arial" w:hAnsi="Arial"/>
          <w:color w:val="FFFFFF"/>
          <w:sz w:val="2"/>
          <w:szCs w:val="2"/>
          <w:rtl/>
        </w:rPr>
      </w:pPr>
      <w:r w:rsidRPr="005A01FF">
        <w:rPr>
          <w:rFonts w:ascii="Arial" w:hAnsi="Arial"/>
          <w:color w:val="FFFFFF"/>
          <w:sz w:val="2"/>
          <w:szCs w:val="2"/>
          <w:rtl/>
        </w:rPr>
        <w:t>54678313</w:t>
      </w:r>
    </w:p>
    <w:p w14:paraId="077F155D" w14:textId="77777777" w:rsidR="00E15933" w:rsidRDefault="00E15933" w:rsidP="00E15933">
      <w:pPr>
        <w:spacing w:line="360" w:lineRule="auto"/>
        <w:jc w:val="both"/>
        <w:rPr>
          <w:rFonts w:ascii="Arial" w:hAnsi="Arial"/>
          <w:rtl/>
        </w:rPr>
      </w:pPr>
      <w:r>
        <w:rPr>
          <w:rFonts w:ascii="Arial" w:hAnsi="Arial" w:hint="cs"/>
          <w:rtl/>
        </w:rPr>
        <w:t>המזכירות תשלח עותק גזר הדין לסניגור.</w:t>
      </w:r>
    </w:p>
    <w:p w14:paraId="3163490F" w14:textId="77777777" w:rsidR="00E15933" w:rsidRDefault="00E15933" w:rsidP="00E15933">
      <w:pPr>
        <w:spacing w:line="360" w:lineRule="auto"/>
        <w:jc w:val="both"/>
        <w:rPr>
          <w:rFonts w:ascii="Arial" w:hAnsi="Arial"/>
          <w:rtl/>
        </w:rPr>
      </w:pPr>
    </w:p>
    <w:p w14:paraId="48F687BC" w14:textId="77777777" w:rsidR="00E15933" w:rsidRDefault="00E15933" w:rsidP="00E15933">
      <w:pPr>
        <w:spacing w:line="360" w:lineRule="auto"/>
        <w:ind w:left="3600" w:firstLine="720"/>
        <w:jc w:val="center"/>
      </w:pPr>
      <w:r>
        <w:rPr>
          <w:rtl/>
        </w:rPr>
        <w:t xml:space="preserve">     </w:t>
      </w:r>
    </w:p>
    <w:p w14:paraId="34C2157C" w14:textId="77777777" w:rsidR="00E15933" w:rsidRPr="00F05629" w:rsidRDefault="00F05629" w:rsidP="00E15933">
      <w:pPr>
        <w:spacing w:line="360" w:lineRule="auto"/>
        <w:ind w:left="3600" w:firstLine="720"/>
        <w:jc w:val="center"/>
        <w:rPr>
          <w:rFonts w:ascii="Arial" w:hAnsi="Arial"/>
          <w:color w:val="FFFFFF"/>
          <w:sz w:val="2"/>
          <w:szCs w:val="2"/>
          <w:rtl/>
        </w:rPr>
      </w:pPr>
      <w:r w:rsidRPr="00F05629">
        <w:rPr>
          <w:rFonts w:ascii="Arial" w:hAnsi="Arial"/>
          <w:color w:val="FFFFFF"/>
          <w:sz w:val="2"/>
          <w:szCs w:val="2"/>
          <w:rtl/>
        </w:rPr>
        <w:t>5129371</w:t>
      </w:r>
    </w:p>
    <w:p w14:paraId="14BEF5E4" w14:textId="77777777" w:rsidR="005A01FF" w:rsidRDefault="005A01FF" w:rsidP="005A01FF">
      <w:pPr>
        <w:rPr>
          <w:rtl/>
        </w:rPr>
      </w:pPr>
    </w:p>
    <w:p w14:paraId="7CEBD602" w14:textId="77777777" w:rsidR="005A01FF" w:rsidRDefault="005A01FF" w:rsidP="005A01FF">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7E7E150A" w14:textId="77777777" w:rsidR="00F05629" w:rsidRPr="00F05629" w:rsidRDefault="00F05629" w:rsidP="00F05629">
      <w:pPr>
        <w:keepNext/>
        <w:rPr>
          <w:rFonts w:ascii="David" w:hAnsi="David" w:hint="cs"/>
          <w:color w:val="000000"/>
          <w:sz w:val="22"/>
          <w:szCs w:val="22"/>
          <w:rtl/>
        </w:rPr>
      </w:pPr>
    </w:p>
    <w:p w14:paraId="45FA2CD3" w14:textId="77777777" w:rsidR="00F05629" w:rsidRPr="00F05629" w:rsidRDefault="00F05629" w:rsidP="00F05629">
      <w:pPr>
        <w:keepNext/>
        <w:rPr>
          <w:rFonts w:ascii="David" w:hAnsi="David"/>
          <w:color w:val="000000"/>
          <w:sz w:val="22"/>
          <w:szCs w:val="22"/>
          <w:rtl/>
        </w:rPr>
      </w:pPr>
      <w:r w:rsidRPr="00F05629">
        <w:rPr>
          <w:rFonts w:ascii="David" w:hAnsi="David"/>
          <w:color w:val="000000"/>
          <w:sz w:val="22"/>
          <w:szCs w:val="22"/>
          <w:rtl/>
        </w:rPr>
        <w:t>רון סולקין 54678313-/</w:t>
      </w:r>
    </w:p>
    <w:p w14:paraId="29966ECC" w14:textId="77777777" w:rsidR="005A01FF" w:rsidRPr="005A01FF" w:rsidRDefault="00F05629" w:rsidP="00F05629">
      <w:pPr>
        <w:rPr>
          <w:rFonts w:hint="cs"/>
          <w:color w:val="0000FF"/>
          <w:u w:val="single"/>
        </w:rPr>
      </w:pPr>
      <w:r w:rsidRPr="00F05629">
        <w:rPr>
          <w:color w:val="000000"/>
          <w:u w:val="single"/>
          <w:rtl/>
        </w:rPr>
        <w:t>נוסח מסמך זה כפוף לשינויי ניסוח ועריכה</w:t>
      </w:r>
      <w:r w:rsidR="009D51C3">
        <w:rPr>
          <w:rFonts w:hint="cs"/>
          <w:color w:val="0000FF"/>
          <w:u w:val="single"/>
          <w:rtl/>
        </w:rPr>
        <w:t xml:space="preserve">          </w:t>
      </w:r>
    </w:p>
    <w:sectPr w:rsidR="005A01FF" w:rsidRPr="005A01FF" w:rsidSect="00F05629">
      <w:headerReference w:type="even" r:id="rId35"/>
      <w:headerReference w:type="default" r:id="rId36"/>
      <w:footerReference w:type="even" r:id="rId37"/>
      <w:footerReference w:type="default" r:id="rId38"/>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7BCCF" w14:textId="77777777" w:rsidR="00884AA4" w:rsidRDefault="00884AA4" w:rsidP="009913EF">
      <w:r>
        <w:separator/>
      </w:r>
    </w:p>
  </w:endnote>
  <w:endnote w:type="continuationSeparator" w:id="0">
    <w:p w14:paraId="0E2E1F09" w14:textId="77777777" w:rsidR="00884AA4" w:rsidRDefault="00884AA4" w:rsidP="00991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F26EE" w14:textId="77777777" w:rsidR="00F05629" w:rsidRDefault="00F05629" w:rsidP="00F0562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AA546AF" w14:textId="77777777" w:rsidR="005A01FF" w:rsidRPr="00F05629" w:rsidRDefault="00F05629" w:rsidP="00F05629">
    <w:pPr>
      <w:pStyle w:val="a5"/>
      <w:pBdr>
        <w:top w:val="single" w:sz="4" w:space="1" w:color="auto"/>
        <w:between w:val="single" w:sz="4" w:space="0" w:color="auto"/>
      </w:pBdr>
      <w:spacing w:after="60"/>
      <w:jc w:val="center"/>
      <w:rPr>
        <w:rFonts w:ascii="FrankRuehl" w:hAnsi="FrankRuehl" w:cs="FrankRuehl"/>
        <w:color w:val="000000"/>
      </w:rPr>
    </w:pPr>
    <w:r w:rsidRPr="00F0562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5E747" w14:textId="77777777" w:rsidR="00F05629" w:rsidRDefault="00F05629" w:rsidP="00F05629">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0C1AA0">
      <w:rPr>
        <w:rStyle w:val="a8"/>
        <w:rFonts w:ascii="FrankRuehl" w:hAnsi="FrankRuehl" w:cs="FrankRuehl"/>
        <w:noProof/>
        <w:rtl/>
      </w:rPr>
      <w:t>1</w:t>
    </w:r>
    <w:r>
      <w:rPr>
        <w:rStyle w:val="a8"/>
        <w:rFonts w:ascii="FrankRuehl" w:hAnsi="FrankRuehl" w:cs="FrankRuehl"/>
        <w:rtl/>
      </w:rPr>
      <w:fldChar w:fldCharType="end"/>
    </w:r>
  </w:p>
  <w:p w14:paraId="35F66FAD" w14:textId="77777777" w:rsidR="00F97EED" w:rsidRPr="00F05629" w:rsidRDefault="00F05629" w:rsidP="00F05629">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F05629">
      <w:rPr>
        <w:rStyle w:val="a8"/>
        <w:rFonts w:ascii="FrankRuehl" w:hAnsi="FrankRuehl" w:cs="FrankRuehl" w:hint="cs"/>
        <w:color w:val="000000"/>
      </w:rPr>
      <w:pict w14:anchorId="71474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19A1D" w14:textId="77777777" w:rsidR="00884AA4" w:rsidRDefault="00884AA4" w:rsidP="009913EF">
      <w:r>
        <w:separator/>
      </w:r>
    </w:p>
  </w:footnote>
  <w:footnote w:type="continuationSeparator" w:id="0">
    <w:p w14:paraId="44082B85" w14:textId="77777777" w:rsidR="00884AA4" w:rsidRDefault="00884AA4" w:rsidP="009913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E400C" w14:textId="77777777" w:rsidR="005A01FF" w:rsidRPr="00F05629" w:rsidRDefault="00F05629" w:rsidP="00F056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11098-06-18</w:t>
    </w:r>
    <w:r>
      <w:rPr>
        <w:rFonts w:ascii="David" w:hAnsi="David"/>
        <w:color w:val="000000"/>
        <w:sz w:val="22"/>
        <w:szCs w:val="22"/>
        <w:rtl/>
      </w:rPr>
      <w:tab/>
      <w:t xml:space="preserve"> מדינת ישראל נ' סאלח אלקורעאן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3B89E" w14:textId="77777777" w:rsidR="005A01FF" w:rsidRPr="00F05629" w:rsidRDefault="00F05629" w:rsidP="00F0562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11098-06-18</w:t>
    </w:r>
    <w:r>
      <w:rPr>
        <w:rFonts w:ascii="David" w:hAnsi="David"/>
        <w:color w:val="000000"/>
        <w:sz w:val="22"/>
        <w:szCs w:val="22"/>
        <w:rtl/>
      </w:rPr>
      <w:tab/>
      <w:t xml:space="preserve"> מדינת ישראל נ' סאלח אלקורעאן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36B51"/>
    <w:multiLevelType w:val="hybridMultilevel"/>
    <w:tmpl w:val="AA5E652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BC91F5A"/>
    <w:multiLevelType w:val="hybridMultilevel"/>
    <w:tmpl w:val="D3E0B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45864285">
    <w:abstractNumId w:val="1"/>
  </w:num>
  <w:num w:numId="2" w16cid:durableId="9381023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15933"/>
    <w:rsid w:val="000C1AA0"/>
    <w:rsid w:val="000C5857"/>
    <w:rsid w:val="001B5A3B"/>
    <w:rsid w:val="00217394"/>
    <w:rsid w:val="005A01FF"/>
    <w:rsid w:val="00884AA4"/>
    <w:rsid w:val="009913EF"/>
    <w:rsid w:val="009D51C3"/>
    <w:rsid w:val="00AC5313"/>
    <w:rsid w:val="00B25D11"/>
    <w:rsid w:val="00E15933"/>
    <w:rsid w:val="00E45AEF"/>
    <w:rsid w:val="00EE059F"/>
    <w:rsid w:val="00F05629"/>
    <w:rsid w:val="00F97E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CFA5C44"/>
  <w15:chartTrackingRefBased/>
  <w15:docId w15:val="{005E4982-433A-4A0B-8013-1E0DFBFB7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1593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15933"/>
    <w:pPr>
      <w:tabs>
        <w:tab w:val="center" w:pos="4153"/>
        <w:tab w:val="right" w:pos="8306"/>
      </w:tabs>
    </w:pPr>
  </w:style>
  <w:style w:type="character" w:customStyle="1" w:styleId="a4">
    <w:name w:val="כותרת עליונה תו"/>
    <w:link w:val="a3"/>
    <w:rsid w:val="00E15933"/>
    <w:rPr>
      <w:rFonts w:ascii="Times New Roman" w:eastAsia="Times New Roman" w:hAnsi="Times New Roman" w:cs="David"/>
      <w:sz w:val="24"/>
      <w:szCs w:val="24"/>
    </w:rPr>
  </w:style>
  <w:style w:type="paragraph" w:styleId="a5">
    <w:name w:val="footer"/>
    <w:basedOn w:val="a"/>
    <w:link w:val="a6"/>
    <w:rsid w:val="00E15933"/>
    <w:pPr>
      <w:tabs>
        <w:tab w:val="center" w:pos="4153"/>
        <w:tab w:val="right" w:pos="8306"/>
      </w:tabs>
    </w:pPr>
  </w:style>
  <w:style w:type="character" w:customStyle="1" w:styleId="a6">
    <w:name w:val="כותרת תחתונה תו"/>
    <w:link w:val="a5"/>
    <w:rsid w:val="00E15933"/>
    <w:rPr>
      <w:rFonts w:ascii="Times New Roman" w:eastAsia="Times New Roman" w:hAnsi="Times New Roman" w:cs="David"/>
      <w:sz w:val="24"/>
      <w:szCs w:val="24"/>
    </w:rPr>
  </w:style>
  <w:style w:type="table" w:styleId="a7">
    <w:name w:val="Table Grid"/>
    <w:basedOn w:val="a1"/>
    <w:rsid w:val="00E159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15933"/>
    <w:rPr>
      <w:noProof w:val="0"/>
    </w:rPr>
  </w:style>
  <w:style w:type="character" w:styleId="a9">
    <w:name w:val="line number"/>
    <w:rsid w:val="00E15933"/>
  </w:style>
  <w:style w:type="character" w:styleId="Hyperlink">
    <w:name w:val="Hyperlink"/>
    <w:rsid w:val="005A01F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1303448" TargetMode="External"/><Relationship Id="rId39" Type="http://schemas.openxmlformats.org/officeDocument/2006/relationships/fontTable" Target="fontTable.xml"/><Relationship Id="rId21" Type="http://schemas.openxmlformats.org/officeDocument/2006/relationships/hyperlink" Target="http://www.nevo.co.il/case/22607175"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case/24278714" TargetMode="External"/><Relationship Id="rId12" Type="http://schemas.openxmlformats.org/officeDocument/2006/relationships/hyperlink" Target="http://www.nevo.co.il/law/70301/hCaS" TargetMode="External"/><Relationship Id="rId17" Type="http://schemas.openxmlformats.org/officeDocument/2006/relationships/hyperlink" Target="http://www.nevo.co.il/case/5852404" TargetMode="External"/><Relationship Id="rId25" Type="http://schemas.openxmlformats.org/officeDocument/2006/relationships/hyperlink" Target="http://www.nevo.co.il/case/21778276" TargetMode="External"/><Relationship Id="rId33" Type="http://schemas.openxmlformats.org/officeDocument/2006/relationships/hyperlink" Target="http://www.nevo.co.il/law/70301/186"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7791493" TargetMode="External"/><Relationship Id="rId20" Type="http://schemas.openxmlformats.org/officeDocument/2006/relationships/hyperlink" Target="http://www.nevo.co.il/case/22001830" TargetMode="External"/><Relationship Id="rId29" Type="http://schemas.openxmlformats.org/officeDocument/2006/relationships/hyperlink" Target="http://www.nevo.co.il/law/70301/hC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86"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16913730"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 TargetMode="External"/><Relationship Id="rId36"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22112345"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3588441" TargetMode="External"/><Relationship Id="rId30" Type="http://schemas.openxmlformats.org/officeDocument/2006/relationships/hyperlink" Target="http://www.nevo.co.il/law/70301/144.a" TargetMode="External"/><Relationship Id="rId35" Type="http://schemas.openxmlformats.org/officeDocument/2006/relationships/header" Target="header1.xml"/><Relationship Id="rId8" Type="http://schemas.openxmlformats.org/officeDocument/2006/relationships/hyperlink" Target="http://www.nevo.co.il/law/70301"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2464</Words>
  <Characters>12325</Characters>
  <Application>Microsoft Office Word</Application>
  <DocSecurity>0</DocSecurity>
  <Lines>102</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14760</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7143524</vt:i4>
      </vt:variant>
      <vt:variant>
        <vt:i4>78</vt:i4>
      </vt:variant>
      <vt:variant>
        <vt:i4>0</vt:i4>
      </vt:variant>
      <vt:variant>
        <vt:i4>5</vt:i4>
      </vt:variant>
      <vt:variant>
        <vt:lpwstr>http://www.nevo.co.il/law/70301/186</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7995492</vt:i4>
      </vt:variant>
      <vt:variant>
        <vt:i4>72</vt:i4>
      </vt:variant>
      <vt:variant>
        <vt:i4>0</vt:i4>
      </vt:variant>
      <vt:variant>
        <vt:i4>5</vt:i4>
      </vt:variant>
      <vt:variant>
        <vt:lpwstr>http://www.nevo.co.il/law/70301</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4522076</vt:i4>
      </vt:variant>
      <vt:variant>
        <vt:i4>66</vt:i4>
      </vt:variant>
      <vt:variant>
        <vt:i4>0</vt:i4>
      </vt:variant>
      <vt:variant>
        <vt:i4>5</vt:i4>
      </vt:variant>
      <vt:variant>
        <vt:lpwstr>http://www.nevo.co.il/law/70301/hCaS</vt:lpwstr>
      </vt:variant>
      <vt:variant>
        <vt:lpwstr/>
      </vt:variant>
      <vt:variant>
        <vt:i4>7995492</vt:i4>
      </vt:variant>
      <vt:variant>
        <vt:i4>63</vt:i4>
      </vt:variant>
      <vt:variant>
        <vt:i4>0</vt:i4>
      </vt:variant>
      <vt:variant>
        <vt:i4>5</vt:i4>
      </vt:variant>
      <vt:variant>
        <vt:lpwstr>http://www.nevo.co.il/law/70301</vt:lpwstr>
      </vt:variant>
      <vt:variant>
        <vt:lpwstr/>
      </vt:variant>
      <vt:variant>
        <vt:i4>3866747</vt:i4>
      </vt:variant>
      <vt:variant>
        <vt:i4>60</vt:i4>
      </vt:variant>
      <vt:variant>
        <vt:i4>0</vt:i4>
      </vt:variant>
      <vt:variant>
        <vt:i4>5</vt:i4>
      </vt:variant>
      <vt:variant>
        <vt:lpwstr>http://www.nevo.co.il/case/23588441</vt:lpwstr>
      </vt:variant>
      <vt:variant>
        <vt:lpwstr/>
      </vt:variant>
      <vt:variant>
        <vt:i4>3539057</vt:i4>
      </vt:variant>
      <vt:variant>
        <vt:i4>57</vt:i4>
      </vt:variant>
      <vt:variant>
        <vt:i4>0</vt:i4>
      </vt:variant>
      <vt:variant>
        <vt:i4>5</vt:i4>
      </vt:variant>
      <vt:variant>
        <vt:lpwstr>http://www.nevo.co.il/case/21303448</vt:lpwstr>
      </vt:variant>
      <vt:variant>
        <vt:lpwstr/>
      </vt:variant>
      <vt:variant>
        <vt:i4>3801200</vt:i4>
      </vt:variant>
      <vt:variant>
        <vt:i4>54</vt:i4>
      </vt:variant>
      <vt:variant>
        <vt:i4>0</vt:i4>
      </vt:variant>
      <vt:variant>
        <vt:i4>5</vt:i4>
      </vt:variant>
      <vt:variant>
        <vt:lpwstr>http://www.nevo.co.il/case/21778276</vt:lpwstr>
      </vt:variant>
      <vt:variant>
        <vt:lpwstr/>
      </vt:variant>
      <vt:variant>
        <vt:i4>7995492</vt:i4>
      </vt:variant>
      <vt:variant>
        <vt:i4>51</vt:i4>
      </vt:variant>
      <vt:variant>
        <vt:i4>0</vt:i4>
      </vt:variant>
      <vt:variant>
        <vt:i4>5</vt:i4>
      </vt:variant>
      <vt:variant>
        <vt:lpwstr>http://www.nevo.co.il/law/70301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3407991</vt:i4>
      </vt:variant>
      <vt:variant>
        <vt:i4>42</vt:i4>
      </vt:variant>
      <vt:variant>
        <vt:i4>0</vt:i4>
      </vt:variant>
      <vt:variant>
        <vt:i4>5</vt:i4>
      </vt:variant>
      <vt:variant>
        <vt:lpwstr>http://www.nevo.co.il/case/22607175</vt:lpwstr>
      </vt:variant>
      <vt:variant>
        <vt:lpwstr/>
      </vt:variant>
      <vt:variant>
        <vt:i4>3145854</vt:i4>
      </vt:variant>
      <vt:variant>
        <vt:i4>39</vt:i4>
      </vt:variant>
      <vt:variant>
        <vt:i4>0</vt:i4>
      </vt:variant>
      <vt:variant>
        <vt:i4>5</vt:i4>
      </vt:variant>
      <vt:variant>
        <vt:lpwstr>http://www.nevo.co.il/case/22001830</vt:lpwstr>
      </vt:variant>
      <vt:variant>
        <vt:lpwstr/>
      </vt:variant>
      <vt:variant>
        <vt:i4>3473524</vt:i4>
      </vt:variant>
      <vt:variant>
        <vt:i4>36</vt:i4>
      </vt:variant>
      <vt:variant>
        <vt:i4>0</vt:i4>
      </vt:variant>
      <vt:variant>
        <vt:i4>5</vt:i4>
      </vt:variant>
      <vt:variant>
        <vt:lpwstr>http://www.nevo.co.il/case/22112345</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3145854</vt:i4>
      </vt:variant>
      <vt:variant>
        <vt:i4>30</vt:i4>
      </vt:variant>
      <vt:variant>
        <vt:i4>0</vt:i4>
      </vt:variant>
      <vt:variant>
        <vt:i4>5</vt:i4>
      </vt:variant>
      <vt:variant>
        <vt:lpwstr>http://www.nevo.co.il/case/5852404</vt:lpwstr>
      </vt:variant>
      <vt:variant>
        <vt:lpwstr/>
      </vt:variant>
      <vt:variant>
        <vt:i4>3735675</vt:i4>
      </vt:variant>
      <vt:variant>
        <vt:i4>27</vt:i4>
      </vt:variant>
      <vt:variant>
        <vt:i4>0</vt:i4>
      </vt:variant>
      <vt:variant>
        <vt:i4>5</vt:i4>
      </vt:variant>
      <vt:variant>
        <vt:lpwstr>http://www.nevo.co.il/case/7791493</vt:lpwstr>
      </vt:variant>
      <vt:variant>
        <vt:lpwstr/>
      </vt:variant>
      <vt:variant>
        <vt:i4>3670132</vt:i4>
      </vt:variant>
      <vt:variant>
        <vt:i4>24</vt:i4>
      </vt:variant>
      <vt:variant>
        <vt:i4>0</vt:i4>
      </vt:variant>
      <vt:variant>
        <vt:i4>5</vt:i4>
      </vt:variant>
      <vt:variant>
        <vt:lpwstr>http://www.nevo.co.il/case/16913730</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4522076</vt:i4>
      </vt:variant>
      <vt:variant>
        <vt:i4>15</vt:i4>
      </vt:variant>
      <vt:variant>
        <vt:i4>0</vt:i4>
      </vt:variant>
      <vt:variant>
        <vt:i4>5</vt:i4>
      </vt:variant>
      <vt:variant>
        <vt:lpwstr>http://www.nevo.co.il/law/70301/hCaS</vt:lpwstr>
      </vt:variant>
      <vt:variant>
        <vt:lpwstr/>
      </vt:variant>
      <vt:variant>
        <vt:i4>7143524</vt:i4>
      </vt:variant>
      <vt:variant>
        <vt:i4>12</vt:i4>
      </vt:variant>
      <vt:variant>
        <vt:i4>0</vt:i4>
      </vt:variant>
      <vt:variant>
        <vt:i4>5</vt:i4>
      </vt:variant>
      <vt:variant>
        <vt:lpwstr>http://www.nevo.co.il/law/70301/186</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ariant>
        <vt:i4>3735664</vt:i4>
      </vt:variant>
      <vt:variant>
        <vt:i4>0</vt:i4>
      </vt:variant>
      <vt:variant>
        <vt:i4>0</vt:i4>
      </vt:variant>
      <vt:variant>
        <vt:i4>5</vt:i4>
      </vt:variant>
      <vt:variant>
        <vt:lpwstr>http://www.nevo.co.il/case/24278714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2025-01-19T17:40:00Z</dcterms:created>
  <dcterms:modified xsi:type="dcterms:W3CDTF">2025-01-19T17:40:00Z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11098</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סאלח אלקורעאן</vt:lpwstr>
  </property>
  <property fmtid="{D5CDD505-2E9C-101B-9397-08002B2CF9AE}" pid="10" name="LAWYER">
    <vt:lpwstr>יוסף טייב;אייל אוחיון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20190311</vt:lpwstr>
  </property>
  <property fmtid="{D5CDD505-2E9C-101B-9397-08002B2CF9AE}" pid="14" name="TYPE_N_DATE">
    <vt:lpwstr>38020190311</vt:lpwstr>
  </property>
  <property fmtid="{D5CDD505-2E9C-101B-9397-08002B2CF9AE}" pid="15" name="WORDNUMPAGES">
    <vt:lpwstr>9</vt:lpwstr>
  </property>
  <property fmtid="{D5CDD505-2E9C-101B-9397-08002B2CF9AE}" pid="16" name="TYPE_ABS_DATE">
    <vt:lpwstr>380020190311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24278714;16913730;7791493:2;5852404;6000182;22112345;22001830;22607175;21778276;21303448;23588441</vt:lpwstr>
  </property>
  <property fmtid="{D5CDD505-2E9C-101B-9397-08002B2CF9AE}" pid="36" name="LAWLISTTMP1">
    <vt:lpwstr>70301/144.a:3;144.b;hCaS;186</vt:lpwstr>
  </property>
</Properties>
</file>