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64257" w:rsidRPr="00D64257" w14:paraId="7A9143FE" w14:textId="77777777" w:rsidTr="00CC4136">
        <w:trPr>
          <w:trHeight w:hRule="exact" w:val="704"/>
          <w:jc w:val="center"/>
        </w:trPr>
        <w:tc>
          <w:tcPr>
            <w:tcW w:w="8721" w:type="dxa"/>
            <w:gridSpan w:val="2"/>
          </w:tcPr>
          <w:p w14:paraId="1B28DD39" w14:textId="77777777" w:rsidR="00D64257" w:rsidRPr="00D64257" w:rsidRDefault="00D64257" w:rsidP="00CC4136">
            <w:pPr>
              <w:pStyle w:val="a3"/>
              <w:jc w:val="center"/>
              <w:rPr>
                <w:rFonts w:ascii="Tahoma" w:hAnsi="Tahoma" w:cs="Tahoma"/>
                <w:b/>
                <w:bCs/>
                <w:noProof w:val="0"/>
                <w:color w:val="000080"/>
                <w:rtl/>
              </w:rPr>
            </w:pPr>
            <w:r w:rsidRPr="00D64257">
              <w:rPr>
                <w:rFonts w:ascii="Tahoma" w:hAnsi="Tahoma" w:cs="Tahoma"/>
                <w:b/>
                <w:bCs/>
                <w:noProof w:val="0"/>
                <w:color w:val="000080"/>
                <w:rtl/>
              </w:rPr>
              <w:t>בית משפט לנוער בבית משפט השלום בחדרה</w:t>
            </w:r>
          </w:p>
          <w:p w14:paraId="09BB895C" w14:textId="77777777" w:rsidR="00D64257" w:rsidRPr="00D64257" w:rsidRDefault="00D64257" w:rsidP="00CC4136">
            <w:pPr>
              <w:pStyle w:val="a3"/>
              <w:jc w:val="center"/>
              <w:rPr>
                <w:rFonts w:ascii="Tahoma" w:hAnsi="Tahoma" w:cs="Tahoma"/>
                <w:noProof w:val="0"/>
                <w:color w:val="000080"/>
                <w:rtl/>
              </w:rPr>
            </w:pPr>
          </w:p>
        </w:tc>
      </w:tr>
      <w:tr w:rsidR="00D64257" w:rsidRPr="00D64257" w14:paraId="2B6FBA83" w14:textId="77777777" w:rsidTr="00CC4136">
        <w:trPr>
          <w:trHeight w:val="337"/>
          <w:jc w:val="center"/>
        </w:trPr>
        <w:tc>
          <w:tcPr>
            <w:tcW w:w="5047" w:type="dxa"/>
          </w:tcPr>
          <w:p w14:paraId="31EA629B" w14:textId="77777777" w:rsidR="00D64257" w:rsidRPr="00D64257" w:rsidRDefault="00D64257" w:rsidP="00CC4136">
            <w:pPr>
              <w:rPr>
                <w:b/>
                <w:bCs/>
                <w:noProof w:val="0"/>
                <w:sz w:val="26"/>
                <w:szCs w:val="26"/>
                <w:rtl/>
              </w:rPr>
            </w:pPr>
          </w:p>
        </w:tc>
        <w:tc>
          <w:tcPr>
            <w:tcW w:w="3674" w:type="dxa"/>
          </w:tcPr>
          <w:p w14:paraId="07D5AD8D" w14:textId="77777777" w:rsidR="00D64257" w:rsidRPr="00D64257" w:rsidRDefault="00D64257" w:rsidP="00CC4136">
            <w:pPr>
              <w:pStyle w:val="a3"/>
              <w:jc w:val="right"/>
              <w:rPr>
                <w:b/>
                <w:bCs/>
                <w:noProof w:val="0"/>
                <w:sz w:val="26"/>
                <w:szCs w:val="26"/>
                <w:rtl/>
              </w:rPr>
            </w:pPr>
          </w:p>
        </w:tc>
      </w:tr>
      <w:tr w:rsidR="00D64257" w:rsidRPr="00D64257" w14:paraId="4AB3FEEF" w14:textId="77777777" w:rsidTr="00CC4136">
        <w:trPr>
          <w:trHeight w:val="337"/>
          <w:jc w:val="center"/>
        </w:trPr>
        <w:tc>
          <w:tcPr>
            <w:tcW w:w="8721" w:type="dxa"/>
            <w:gridSpan w:val="2"/>
          </w:tcPr>
          <w:p w14:paraId="78530795" w14:textId="77777777" w:rsidR="00D64257" w:rsidRPr="00D64257" w:rsidRDefault="00D64257" w:rsidP="00CC4136">
            <w:pPr>
              <w:rPr>
                <w:b/>
                <w:bCs/>
                <w:noProof w:val="0"/>
                <w:sz w:val="26"/>
                <w:szCs w:val="26"/>
                <w:rtl/>
              </w:rPr>
            </w:pPr>
            <w:r w:rsidRPr="00D64257">
              <w:rPr>
                <w:b/>
                <w:bCs/>
                <w:noProof w:val="0"/>
                <w:sz w:val="26"/>
                <w:szCs w:val="26"/>
                <w:rtl/>
              </w:rPr>
              <w:t>ת"פ 30285-11-18 מדינת ישראל נ' פלוני(קטין)</w:t>
            </w:r>
          </w:p>
          <w:p w14:paraId="2456D0B9" w14:textId="77777777" w:rsidR="00D64257" w:rsidRPr="00D64257" w:rsidRDefault="00D64257" w:rsidP="00CC4136">
            <w:pPr>
              <w:rPr>
                <w:noProof w:val="0"/>
                <w:rtl/>
              </w:rPr>
            </w:pPr>
          </w:p>
          <w:p w14:paraId="31920AC5" w14:textId="77777777" w:rsidR="00D64257" w:rsidRPr="00D64257" w:rsidRDefault="00D64257" w:rsidP="00CC4136">
            <w:pPr>
              <w:rPr>
                <w:noProof w:val="0"/>
                <w:rtl/>
              </w:rPr>
            </w:pPr>
            <w:r w:rsidRPr="00D64257">
              <w:rPr>
                <w:noProof w:val="0"/>
                <w:sz w:val="20"/>
                <w:szCs w:val="20"/>
                <w:rtl/>
              </w:rPr>
              <w:t>תיק חיצוני</w:t>
            </w:r>
            <w:r w:rsidRPr="00D64257">
              <w:rPr>
                <w:noProof w:val="0"/>
                <w:rtl/>
              </w:rPr>
              <w:t xml:space="preserve">: </w:t>
            </w:r>
            <w:r w:rsidRPr="00D64257">
              <w:rPr>
                <w:sz w:val="20"/>
                <w:szCs w:val="20"/>
              </w:rPr>
              <w:t>365986/2018</w:t>
            </w:r>
          </w:p>
        </w:tc>
      </w:tr>
    </w:tbl>
    <w:p w14:paraId="7647E8B8" w14:textId="77777777" w:rsidR="00D64257" w:rsidRPr="00D64257" w:rsidRDefault="00D64257" w:rsidP="00D64257">
      <w:pPr>
        <w:pStyle w:val="a3"/>
        <w:rPr>
          <w:noProof w:val="0"/>
          <w:rtl/>
        </w:rPr>
      </w:pPr>
      <w:r w:rsidRPr="00D64257">
        <w:rPr>
          <w:noProof w:val="0"/>
          <w:rtl/>
        </w:rPr>
        <w:t xml:space="preserve"> </w:t>
      </w:r>
    </w:p>
    <w:p w14:paraId="3FB7C923" w14:textId="77777777" w:rsidR="0089638E" w:rsidRPr="00D64257" w:rsidRDefault="0089638E" w:rsidP="006D3B31">
      <w:pPr>
        <w:suppressLineNumbers/>
        <w:rPr>
          <w:noProof w:val="0"/>
          <w:rtl/>
        </w:rPr>
      </w:pPr>
    </w:p>
    <w:tbl>
      <w:tblPr>
        <w:bidiVisual/>
        <w:tblW w:w="8820" w:type="dxa"/>
        <w:jc w:val="center"/>
        <w:tblLook w:val="01E0" w:firstRow="1" w:lastRow="1" w:firstColumn="1" w:lastColumn="1" w:noHBand="0" w:noVBand="0"/>
      </w:tblPr>
      <w:tblGrid>
        <w:gridCol w:w="743"/>
        <w:gridCol w:w="2506"/>
        <w:gridCol w:w="5571"/>
      </w:tblGrid>
      <w:tr w:rsidR="0089638E" w:rsidRPr="00D64257" w14:paraId="3E8B0260" w14:textId="77777777" w:rsidTr="00BD2483">
        <w:trPr>
          <w:jc w:val="center"/>
        </w:trPr>
        <w:tc>
          <w:tcPr>
            <w:tcW w:w="743" w:type="dxa"/>
          </w:tcPr>
          <w:p w14:paraId="08AC2BF2" w14:textId="77777777" w:rsidR="0089638E" w:rsidRPr="00D64257" w:rsidRDefault="0089638E" w:rsidP="00BD2483">
            <w:pPr>
              <w:jc w:val="both"/>
              <w:rPr>
                <w:rFonts w:ascii="Arial" w:hAnsi="Arial"/>
                <w:b/>
                <w:bCs/>
                <w:sz w:val="28"/>
                <w:szCs w:val="28"/>
              </w:rPr>
            </w:pPr>
            <w:r w:rsidRPr="00D64257">
              <w:rPr>
                <w:rFonts w:ascii="Arial" w:hAnsi="Arial"/>
                <w:b/>
                <w:bCs/>
                <w:noProof w:val="0"/>
                <w:sz w:val="28"/>
                <w:szCs w:val="28"/>
                <w:rtl/>
              </w:rPr>
              <w:t xml:space="preserve">בפני </w:t>
            </w:r>
          </w:p>
        </w:tc>
        <w:tc>
          <w:tcPr>
            <w:tcW w:w="8077" w:type="dxa"/>
            <w:gridSpan w:val="2"/>
          </w:tcPr>
          <w:p w14:paraId="501E896D" w14:textId="77777777" w:rsidR="0089638E" w:rsidRPr="00D64257" w:rsidRDefault="0089638E" w:rsidP="00D25D53">
            <w:pPr>
              <w:rPr>
                <w:rFonts w:ascii="Arial" w:hAnsi="Arial"/>
                <w:b/>
                <w:bCs/>
                <w:sz w:val="28"/>
                <w:szCs w:val="28"/>
                <w:highlight w:val="yellow"/>
              </w:rPr>
            </w:pPr>
            <w:r w:rsidRPr="00D64257">
              <w:rPr>
                <w:rFonts w:ascii="Arial" w:hAnsi="Arial"/>
                <w:b/>
                <w:bCs/>
                <w:noProof w:val="0"/>
                <w:sz w:val="28"/>
                <w:szCs w:val="28"/>
                <w:rtl/>
              </w:rPr>
              <w:t>כב' סגנית הנשיאה, השופטת ליזי פרוינד</w:t>
            </w:r>
          </w:p>
        </w:tc>
      </w:tr>
      <w:tr w:rsidR="0089638E" w:rsidRPr="00D64257" w14:paraId="6C35872E" w14:textId="77777777" w:rsidTr="00BD2483">
        <w:trPr>
          <w:jc w:val="center"/>
        </w:trPr>
        <w:tc>
          <w:tcPr>
            <w:tcW w:w="3249" w:type="dxa"/>
            <w:gridSpan w:val="2"/>
          </w:tcPr>
          <w:p w14:paraId="75E6E64D" w14:textId="77777777" w:rsidR="0089638E" w:rsidRPr="00D64257" w:rsidRDefault="0089638E" w:rsidP="00BD2483">
            <w:pPr>
              <w:bidi w:val="0"/>
              <w:jc w:val="right"/>
              <w:rPr>
                <w:rFonts w:ascii="Arial" w:hAnsi="Arial"/>
                <w:b/>
                <w:bCs/>
                <w:noProof w:val="0"/>
                <w:sz w:val="26"/>
                <w:szCs w:val="26"/>
              </w:rPr>
            </w:pPr>
            <w:bookmarkStart w:id="0" w:name="FirstAppellant"/>
          </w:p>
          <w:p w14:paraId="361E187A" w14:textId="77777777" w:rsidR="0089638E" w:rsidRPr="00D64257" w:rsidRDefault="0089638E" w:rsidP="00BD2483">
            <w:pPr>
              <w:bidi w:val="0"/>
              <w:jc w:val="right"/>
              <w:rPr>
                <w:rFonts w:ascii="Arial" w:hAnsi="Arial"/>
                <w:b/>
                <w:bCs/>
                <w:noProof w:val="0"/>
                <w:sz w:val="26"/>
                <w:szCs w:val="26"/>
                <w:rtl/>
              </w:rPr>
            </w:pPr>
            <w:r w:rsidRPr="00D64257">
              <w:rPr>
                <w:rFonts w:ascii="Arial" w:hAnsi="Arial"/>
                <w:b/>
                <w:bCs/>
                <w:noProof w:val="0"/>
                <w:sz w:val="26"/>
                <w:szCs w:val="26"/>
                <w:rtl/>
              </w:rPr>
              <w:t>מאשימה</w:t>
            </w:r>
          </w:p>
        </w:tc>
        <w:tc>
          <w:tcPr>
            <w:tcW w:w="5571" w:type="dxa"/>
          </w:tcPr>
          <w:p w14:paraId="3B9DC794" w14:textId="77777777" w:rsidR="0089638E" w:rsidRPr="00D64257" w:rsidRDefault="0089638E">
            <w:pPr>
              <w:rPr>
                <w:rFonts w:ascii="Arial" w:hAnsi="Arial"/>
                <w:b/>
                <w:bCs/>
                <w:noProof w:val="0"/>
                <w:sz w:val="26"/>
                <w:szCs w:val="26"/>
                <w:rtl/>
              </w:rPr>
            </w:pPr>
          </w:p>
          <w:p w14:paraId="2EFE48A4" w14:textId="77777777" w:rsidR="0089638E" w:rsidRPr="00D64257" w:rsidRDefault="0089638E">
            <w:pPr>
              <w:rPr>
                <w:b/>
                <w:bCs/>
                <w:noProof w:val="0"/>
                <w:sz w:val="26"/>
                <w:szCs w:val="26"/>
              </w:rPr>
            </w:pPr>
            <w:r w:rsidRPr="00D64257">
              <w:rPr>
                <w:rFonts w:ascii="Arial" w:hAnsi="Arial"/>
                <w:b/>
                <w:bCs/>
                <w:noProof w:val="0"/>
                <w:sz w:val="26"/>
                <w:szCs w:val="26"/>
                <w:rtl/>
              </w:rPr>
              <w:t>מדינת ישראל</w:t>
            </w:r>
          </w:p>
        </w:tc>
      </w:tr>
      <w:bookmarkEnd w:id="0"/>
      <w:tr w:rsidR="0089638E" w:rsidRPr="00D64257" w14:paraId="06B17FF3" w14:textId="77777777" w:rsidTr="00BD2483">
        <w:trPr>
          <w:jc w:val="center"/>
        </w:trPr>
        <w:tc>
          <w:tcPr>
            <w:tcW w:w="8820" w:type="dxa"/>
            <w:gridSpan w:val="3"/>
          </w:tcPr>
          <w:p w14:paraId="5C8FD41D" w14:textId="77777777" w:rsidR="0089638E" w:rsidRPr="00D64257" w:rsidRDefault="0089638E">
            <w:pPr>
              <w:rPr>
                <w:rFonts w:ascii="Arial" w:hAnsi="Arial"/>
                <w:b/>
                <w:bCs/>
                <w:noProof w:val="0"/>
                <w:sz w:val="26"/>
                <w:szCs w:val="26"/>
                <w:rtl/>
              </w:rPr>
            </w:pPr>
          </w:p>
          <w:p w14:paraId="14C945AA" w14:textId="77777777" w:rsidR="0089638E" w:rsidRPr="00D64257" w:rsidRDefault="0089638E" w:rsidP="00BD2483">
            <w:pPr>
              <w:jc w:val="center"/>
              <w:rPr>
                <w:rFonts w:ascii="Arial" w:hAnsi="Arial"/>
                <w:b/>
                <w:bCs/>
                <w:noProof w:val="0"/>
                <w:sz w:val="26"/>
                <w:szCs w:val="26"/>
                <w:rtl/>
              </w:rPr>
            </w:pPr>
            <w:r w:rsidRPr="00D64257">
              <w:rPr>
                <w:rFonts w:ascii="Arial" w:hAnsi="Arial"/>
                <w:b/>
                <w:bCs/>
                <w:noProof w:val="0"/>
                <w:sz w:val="26"/>
                <w:szCs w:val="26"/>
                <w:rtl/>
              </w:rPr>
              <w:t>נגד</w:t>
            </w:r>
          </w:p>
          <w:p w14:paraId="0882382B" w14:textId="77777777" w:rsidR="0089638E" w:rsidRPr="00D64257" w:rsidRDefault="0089638E">
            <w:pPr>
              <w:rPr>
                <w:rFonts w:ascii="Arial" w:hAnsi="Arial"/>
                <w:b/>
                <w:bCs/>
                <w:noProof w:val="0"/>
                <w:sz w:val="26"/>
                <w:szCs w:val="26"/>
              </w:rPr>
            </w:pPr>
          </w:p>
        </w:tc>
      </w:tr>
      <w:tr w:rsidR="0089638E" w:rsidRPr="00D64257" w14:paraId="06B70F99" w14:textId="77777777" w:rsidTr="00BD2483">
        <w:trPr>
          <w:jc w:val="center"/>
        </w:trPr>
        <w:tc>
          <w:tcPr>
            <w:tcW w:w="3249" w:type="dxa"/>
            <w:gridSpan w:val="2"/>
          </w:tcPr>
          <w:p w14:paraId="628634D6" w14:textId="77777777" w:rsidR="0089638E" w:rsidRPr="00D64257" w:rsidRDefault="0089638E">
            <w:pPr>
              <w:rPr>
                <w:rFonts w:ascii="Arial" w:hAnsi="Arial"/>
                <w:b/>
                <w:bCs/>
                <w:noProof w:val="0"/>
                <w:sz w:val="26"/>
                <w:szCs w:val="26"/>
                <w:rtl/>
              </w:rPr>
            </w:pPr>
          </w:p>
          <w:p w14:paraId="51A5F259" w14:textId="77777777" w:rsidR="0089638E" w:rsidRPr="00D64257" w:rsidRDefault="0089638E">
            <w:pPr>
              <w:rPr>
                <w:rFonts w:ascii="Arial" w:hAnsi="Arial"/>
                <w:b/>
                <w:bCs/>
                <w:noProof w:val="0"/>
                <w:sz w:val="26"/>
                <w:szCs w:val="26"/>
              </w:rPr>
            </w:pPr>
            <w:r w:rsidRPr="00D64257">
              <w:rPr>
                <w:rFonts w:ascii="Arial" w:hAnsi="Arial"/>
                <w:b/>
                <w:bCs/>
                <w:noProof w:val="0"/>
                <w:sz w:val="26"/>
                <w:szCs w:val="26"/>
                <w:rtl/>
              </w:rPr>
              <w:t>נאשמים</w:t>
            </w:r>
          </w:p>
        </w:tc>
        <w:tc>
          <w:tcPr>
            <w:tcW w:w="5571" w:type="dxa"/>
          </w:tcPr>
          <w:p w14:paraId="664F1CCB" w14:textId="77777777" w:rsidR="0089638E" w:rsidRPr="00D64257" w:rsidRDefault="0089638E">
            <w:pPr>
              <w:rPr>
                <w:rFonts w:ascii="Arial" w:hAnsi="Arial"/>
                <w:b/>
                <w:bCs/>
                <w:noProof w:val="0"/>
                <w:sz w:val="26"/>
                <w:szCs w:val="26"/>
                <w:rtl/>
              </w:rPr>
            </w:pPr>
          </w:p>
          <w:p w14:paraId="04107722" w14:textId="77777777" w:rsidR="0089638E" w:rsidRPr="00D64257" w:rsidRDefault="0089638E" w:rsidP="003957A6">
            <w:pPr>
              <w:rPr>
                <w:b/>
                <w:bCs/>
                <w:noProof w:val="0"/>
                <w:sz w:val="26"/>
                <w:szCs w:val="26"/>
                <w:rtl/>
              </w:rPr>
            </w:pPr>
            <w:r w:rsidRPr="00D64257">
              <w:rPr>
                <w:rFonts w:ascii="Arial" w:hAnsi="Arial"/>
                <w:b/>
                <w:bCs/>
                <w:noProof w:val="0"/>
                <w:sz w:val="26"/>
                <w:szCs w:val="26"/>
                <w:rtl/>
              </w:rPr>
              <w:t>פלוני (קטין)</w:t>
            </w:r>
            <w:r w:rsidRPr="00D64257">
              <w:rPr>
                <w:rFonts w:ascii="Arial" w:hAnsi="Arial"/>
                <w:b/>
                <w:bCs/>
                <w:noProof w:val="0"/>
                <w:sz w:val="26"/>
                <w:szCs w:val="26"/>
                <w:rtl/>
              </w:rPr>
              <w:br/>
            </w:r>
            <w:r w:rsidRPr="00D64257">
              <w:rPr>
                <w:noProof w:val="0"/>
                <w:rtl/>
              </w:rPr>
              <w:br/>
            </w:r>
            <w:r w:rsidRPr="00D64257">
              <w:rPr>
                <w:noProof w:val="0"/>
                <w:rtl/>
              </w:rPr>
              <w:br/>
            </w:r>
          </w:p>
        </w:tc>
      </w:tr>
    </w:tbl>
    <w:p w14:paraId="37DE158F" w14:textId="77777777" w:rsidR="0089638E" w:rsidRPr="00D64257" w:rsidRDefault="0089638E" w:rsidP="006D3B31">
      <w:pPr>
        <w:suppressLineNumbers/>
      </w:pPr>
    </w:p>
    <w:p w14:paraId="5DEDD288" w14:textId="77777777" w:rsidR="0089638E" w:rsidRPr="00D64257" w:rsidRDefault="0089638E" w:rsidP="005330C5">
      <w:pPr>
        <w:spacing w:line="360" w:lineRule="auto"/>
        <w:jc w:val="both"/>
        <w:rPr>
          <w:noProof w:val="0"/>
          <w:sz w:val="6"/>
          <w:szCs w:val="6"/>
          <w:rtl/>
        </w:rPr>
      </w:pPr>
      <w:r w:rsidRPr="00D64257">
        <w:rPr>
          <w:noProof w:val="0"/>
          <w:sz w:val="6"/>
          <w:szCs w:val="6"/>
          <w:rtl/>
        </w:rPr>
        <w:t>&lt;#2#&gt;</w:t>
      </w:r>
    </w:p>
    <w:p w14:paraId="07B2A578" w14:textId="77777777" w:rsidR="0089638E" w:rsidRPr="00D64257" w:rsidRDefault="0089638E" w:rsidP="005330C5">
      <w:pPr>
        <w:rPr>
          <w:b/>
          <w:bCs/>
          <w:noProof w:val="0"/>
          <w:rtl/>
        </w:rPr>
      </w:pPr>
      <w:r w:rsidRPr="00D64257">
        <w:rPr>
          <w:b/>
          <w:bCs/>
          <w:noProof w:val="0"/>
          <w:rtl/>
        </w:rPr>
        <w:t>נוכחים:</w:t>
      </w:r>
    </w:p>
    <w:p w14:paraId="6B829BF2" w14:textId="77777777" w:rsidR="0089638E" w:rsidRPr="00D64257" w:rsidRDefault="0089638E" w:rsidP="005330C5">
      <w:pPr>
        <w:rPr>
          <w:b/>
          <w:bCs/>
          <w:noProof w:val="0"/>
          <w:rtl/>
        </w:rPr>
      </w:pPr>
      <w:bookmarkStart w:id="1" w:name="FirstLawyer"/>
      <w:r w:rsidRPr="00D64257">
        <w:rPr>
          <w:b/>
          <w:bCs/>
          <w:noProof w:val="0"/>
          <w:rtl/>
        </w:rPr>
        <w:t>ב"כ</w:t>
      </w:r>
      <w:bookmarkEnd w:id="1"/>
      <w:r w:rsidRPr="00D64257">
        <w:rPr>
          <w:b/>
          <w:bCs/>
          <w:noProof w:val="0"/>
          <w:rtl/>
        </w:rPr>
        <w:t xml:space="preserve"> המאשימה: עו"ד עמית אלייתים</w:t>
      </w:r>
    </w:p>
    <w:p w14:paraId="0CA58B54" w14:textId="77777777" w:rsidR="0089638E" w:rsidRPr="00D64257" w:rsidRDefault="0089638E" w:rsidP="005330C5">
      <w:pPr>
        <w:rPr>
          <w:b/>
          <w:bCs/>
          <w:noProof w:val="0"/>
        </w:rPr>
      </w:pPr>
      <w:r w:rsidRPr="00D64257">
        <w:rPr>
          <w:b/>
          <w:bCs/>
          <w:noProof w:val="0"/>
          <w:rtl/>
        </w:rPr>
        <w:t>הנאשם: בעצמו</w:t>
      </w:r>
    </w:p>
    <w:p w14:paraId="45DEC518" w14:textId="77777777" w:rsidR="0089638E" w:rsidRPr="00D64257" w:rsidRDefault="0089638E" w:rsidP="005330C5">
      <w:pPr>
        <w:rPr>
          <w:b/>
          <w:bCs/>
          <w:noProof w:val="0"/>
          <w:rtl/>
        </w:rPr>
      </w:pPr>
      <w:r w:rsidRPr="00D64257">
        <w:rPr>
          <w:b/>
          <w:bCs/>
          <w:noProof w:val="0"/>
          <w:rtl/>
        </w:rPr>
        <w:t xml:space="preserve">ב"כ הנאשם: עו"ד אסיל מקאדלה (סנגוריה ציבורית) </w:t>
      </w:r>
    </w:p>
    <w:p w14:paraId="0E3C10AC" w14:textId="77777777" w:rsidR="0089638E" w:rsidRPr="00D64257" w:rsidRDefault="0089638E" w:rsidP="005330C5">
      <w:pPr>
        <w:rPr>
          <w:noProof w:val="0"/>
          <w:rtl/>
        </w:rPr>
      </w:pPr>
      <w:r w:rsidRPr="00D64257">
        <w:rPr>
          <w:b/>
          <w:bCs/>
          <w:noProof w:val="0"/>
          <w:rtl/>
        </w:rPr>
        <w:t xml:space="preserve">קצינת המבחן: הגב' יונת הלפרין </w:t>
      </w:r>
    </w:p>
    <w:p w14:paraId="31585FFE" w14:textId="77777777" w:rsidR="0089638E" w:rsidRPr="00D64257" w:rsidRDefault="0089638E" w:rsidP="005330C5">
      <w:pPr>
        <w:rPr>
          <w:noProof w:val="0"/>
          <w:rtl/>
        </w:rPr>
      </w:pPr>
    </w:p>
    <w:p w14:paraId="26674E05" w14:textId="77777777" w:rsidR="00044924" w:rsidRPr="00044924" w:rsidRDefault="00044924" w:rsidP="00044924">
      <w:pPr>
        <w:spacing w:before="120" w:after="120" w:line="240" w:lineRule="exact"/>
        <w:ind w:left="283" w:hanging="283"/>
        <w:jc w:val="both"/>
        <w:rPr>
          <w:rFonts w:ascii="FrankRuehl" w:hAnsi="FrankRuehl" w:cs="FrankRuehl"/>
          <w:noProof w:val="0"/>
          <w:rtl/>
        </w:rPr>
      </w:pPr>
    </w:p>
    <w:p w14:paraId="6428D8E0" w14:textId="77777777" w:rsidR="00530283" w:rsidRDefault="00530283" w:rsidP="00530283">
      <w:pPr>
        <w:spacing w:line="360" w:lineRule="auto"/>
        <w:jc w:val="both"/>
        <w:rPr>
          <w:noProof w:val="0"/>
          <w:sz w:val="6"/>
          <w:szCs w:val="6"/>
          <w:rtl/>
        </w:rPr>
      </w:pPr>
      <w:bookmarkStart w:id="2" w:name="LawTable"/>
      <w:bookmarkEnd w:id="2"/>
    </w:p>
    <w:p w14:paraId="0E14F906" w14:textId="77777777" w:rsidR="00530283" w:rsidRPr="00530283" w:rsidRDefault="00530283" w:rsidP="00530283">
      <w:pPr>
        <w:spacing w:before="120" w:after="120" w:line="240" w:lineRule="exact"/>
        <w:ind w:left="283" w:hanging="283"/>
        <w:jc w:val="both"/>
        <w:rPr>
          <w:rFonts w:ascii="FrankRuehl" w:hAnsi="FrankRuehl" w:cs="FrankRuehl"/>
          <w:noProof w:val="0"/>
          <w:rtl/>
        </w:rPr>
      </w:pPr>
    </w:p>
    <w:p w14:paraId="55A20104" w14:textId="77777777" w:rsidR="00530283" w:rsidRPr="00530283" w:rsidRDefault="00530283" w:rsidP="00530283">
      <w:pPr>
        <w:spacing w:before="120" w:after="120" w:line="240" w:lineRule="exact"/>
        <w:ind w:left="283" w:hanging="283"/>
        <w:jc w:val="both"/>
        <w:rPr>
          <w:rFonts w:ascii="FrankRuehl" w:hAnsi="FrankRuehl" w:cs="FrankRuehl"/>
          <w:noProof w:val="0"/>
          <w:rtl/>
        </w:rPr>
      </w:pPr>
    </w:p>
    <w:p w14:paraId="430DEC3E" w14:textId="77777777" w:rsidR="00530283" w:rsidRPr="00530283" w:rsidRDefault="00530283" w:rsidP="00530283">
      <w:pPr>
        <w:spacing w:before="120" w:after="120" w:line="240" w:lineRule="exact"/>
        <w:ind w:left="283" w:hanging="283"/>
        <w:jc w:val="both"/>
        <w:rPr>
          <w:rFonts w:ascii="FrankRuehl" w:hAnsi="FrankRuehl" w:cs="FrankRuehl"/>
          <w:noProof w:val="0"/>
          <w:rtl/>
        </w:rPr>
      </w:pPr>
      <w:r w:rsidRPr="00530283">
        <w:rPr>
          <w:rFonts w:ascii="FrankRuehl" w:hAnsi="FrankRuehl" w:cs="FrankRuehl"/>
          <w:noProof w:val="0"/>
          <w:rtl/>
        </w:rPr>
        <w:t xml:space="preserve">חקיקה שאוזכרה: </w:t>
      </w:r>
    </w:p>
    <w:p w14:paraId="082CCEAF" w14:textId="77777777" w:rsidR="00530283" w:rsidRPr="00530283" w:rsidRDefault="00530283" w:rsidP="00530283">
      <w:pPr>
        <w:spacing w:before="120" w:after="120" w:line="240" w:lineRule="exact"/>
        <w:ind w:left="283" w:hanging="283"/>
        <w:jc w:val="both"/>
        <w:rPr>
          <w:rFonts w:ascii="FrankRuehl" w:hAnsi="FrankRuehl" w:cs="FrankRuehl"/>
          <w:noProof w:val="0"/>
          <w:rtl/>
        </w:rPr>
      </w:pPr>
      <w:hyperlink r:id="rId8" w:history="1">
        <w:r w:rsidRPr="00530283">
          <w:rPr>
            <w:rFonts w:ascii="FrankRuehl" w:hAnsi="FrankRuehl" w:cs="FrankRuehl"/>
            <w:noProof w:val="0"/>
            <w:color w:val="0000FF"/>
            <w:rtl/>
          </w:rPr>
          <w:t>חוק העונשין, תשל"ז-1977</w:t>
        </w:r>
      </w:hyperlink>
      <w:r w:rsidRPr="00530283">
        <w:rPr>
          <w:rFonts w:ascii="FrankRuehl" w:hAnsi="FrankRuehl" w:cs="FrankRuehl"/>
          <w:noProof w:val="0"/>
          <w:rtl/>
        </w:rPr>
        <w:t xml:space="preserve">: סע'  </w:t>
      </w:r>
      <w:hyperlink r:id="rId9" w:history="1">
        <w:r w:rsidRPr="00530283">
          <w:rPr>
            <w:rFonts w:ascii="FrankRuehl" w:hAnsi="FrankRuehl" w:cs="FrankRuehl"/>
            <w:noProof w:val="0"/>
            <w:color w:val="0000FF"/>
            <w:rtl/>
          </w:rPr>
          <w:t>144(א)</w:t>
        </w:r>
      </w:hyperlink>
    </w:p>
    <w:p w14:paraId="3A01BFFB" w14:textId="77777777" w:rsidR="00530283" w:rsidRPr="00530283" w:rsidRDefault="00530283" w:rsidP="00530283">
      <w:pPr>
        <w:spacing w:line="360" w:lineRule="auto"/>
        <w:jc w:val="both"/>
        <w:rPr>
          <w:noProof w:val="0"/>
          <w:sz w:val="6"/>
          <w:szCs w:val="6"/>
          <w:rtl/>
        </w:rPr>
      </w:pPr>
      <w:bookmarkStart w:id="3" w:name="LawTable_End"/>
      <w:bookmarkEnd w:id="3"/>
    </w:p>
    <w:p w14:paraId="702EC0B2" w14:textId="77777777" w:rsidR="0089638E" w:rsidRPr="00044924" w:rsidRDefault="0089638E" w:rsidP="00044924">
      <w:pPr>
        <w:spacing w:line="360" w:lineRule="auto"/>
        <w:jc w:val="both"/>
        <w:rPr>
          <w:noProof w:val="0"/>
          <w:sz w:val="6"/>
          <w:szCs w:val="6"/>
          <w:rtl/>
        </w:rPr>
      </w:pPr>
    </w:p>
    <w:p w14:paraId="4CA35590" w14:textId="77777777" w:rsidR="0089638E" w:rsidRPr="005330C5" w:rsidRDefault="0089638E" w:rsidP="005330C5">
      <w:pPr>
        <w:spacing w:line="360" w:lineRule="auto"/>
        <w:jc w:val="center"/>
        <w:rPr>
          <w:rFonts w:ascii="Arial" w:hAnsi="Arial"/>
          <w:b/>
          <w:bCs/>
          <w:noProof w:val="0"/>
          <w:sz w:val="32"/>
          <w:szCs w:val="32"/>
          <w:u w:val="single"/>
          <w:rtl/>
        </w:rPr>
      </w:pPr>
      <w:bookmarkStart w:id="4" w:name="PsakDin"/>
      <w:r w:rsidRPr="005330C5">
        <w:rPr>
          <w:rFonts w:ascii="Arial" w:hAnsi="Arial"/>
          <w:b/>
          <w:bCs/>
          <w:noProof w:val="0"/>
          <w:sz w:val="32"/>
          <w:szCs w:val="32"/>
          <w:u w:val="single"/>
          <w:rtl/>
        </w:rPr>
        <w:t>גזר דין</w:t>
      </w:r>
      <w:bookmarkEnd w:id="4"/>
    </w:p>
    <w:p w14:paraId="31165A8B" w14:textId="77777777" w:rsidR="0089638E" w:rsidRPr="005330C5" w:rsidRDefault="0089638E" w:rsidP="005330C5">
      <w:pPr>
        <w:spacing w:after="240" w:line="360" w:lineRule="auto"/>
        <w:jc w:val="both"/>
        <w:rPr>
          <w:rFonts w:ascii="David" w:hAnsi="David"/>
          <w:noProof w:val="0"/>
          <w:rtl/>
        </w:rPr>
      </w:pPr>
      <w:r w:rsidRPr="005330C5">
        <w:rPr>
          <w:rFonts w:ascii="David" w:hAnsi="David"/>
          <w:b/>
          <w:bCs/>
          <w:noProof w:val="0"/>
          <w:u w:val="single"/>
          <w:rtl/>
        </w:rPr>
        <w:t>רקע</w:t>
      </w:r>
    </w:p>
    <w:p w14:paraId="419C492F" w14:textId="77777777" w:rsidR="0089638E" w:rsidRPr="005330C5" w:rsidRDefault="0089638E" w:rsidP="003957A6">
      <w:pPr>
        <w:spacing w:after="160" w:line="360" w:lineRule="auto"/>
        <w:jc w:val="both"/>
        <w:rPr>
          <w:rFonts w:ascii="David" w:hAnsi="David"/>
          <w:noProof w:val="0"/>
        </w:rPr>
      </w:pPr>
      <w:bookmarkStart w:id="5" w:name="ABSTRACT_START"/>
      <w:bookmarkEnd w:id="5"/>
      <w:r w:rsidRPr="005330C5">
        <w:rPr>
          <w:rFonts w:ascii="David" w:hAnsi="David"/>
          <w:noProof w:val="0"/>
          <w:rtl/>
        </w:rPr>
        <w:t xml:space="preserve">הנאשם, יליד </w:t>
      </w:r>
      <w:r>
        <w:rPr>
          <w:rFonts w:ascii="David" w:hAnsi="David"/>
          <w:noProof w:val="0"/>
          <w:rtl/>
        </w:rPr>
        <w:t>** **</w:t>
      </w:r>
      <w:r w:rsidRPr="005330C5">
        <w:rPr>
          <w:rFonts w:ascii="David" w:hAnsi="David"/>
          <w:noProof w:val="0"/>
          <w:rtl/>
        </w:rPr>
        <w:t xml:space="preserve">.2003, הודה – בעיצומו של הליך הוכחות -  בעובדותיו של כתב אישום מתוקן לפיהן ביום 13.8.18, החזיק על גג ביתו בכפר </w:t>
      </w:r>
      <w:r>
        <w:rPr>
          <w:rFonts w:ascii="David" w:hAnsi="David"/>
          <w:noProof w:val="0"/>
          <w:rtl/>
        </w:rPr>
        <w:t>********</w:t>
      </w:r>
      <w:r w:rsidRPr="005330C5">
        <w:rPr>
          <w:rFonts w:ascii="David" w:hAnsi="David"/>
          <w:noProof w:val="0"/>
          <w:rtl/>
        </w:rPr>
        <w:t xml:space="preserve">, תיק גב ובתוכו תת מקלע מאולתר המכונה "קרלו" ומחסנית. נלמד עוד כי עובר למועד האמור, החזיק אדם נוסף, בגיר, בכלי הנשק דנא. </w:t>
      </w:r>
      <w:bookmarkStart w:id="6" w:name="ABSTRACT_END"/>
      <w:bookmarkEnd w:id="6"/>
    </w:p>
    <w:p w14:paraId="23B05CE1" w14:textId="77777777" w:rsidR="0089638E" w:rsidRDefault="0089638E" w:rsidP="005330C5">
      <w:pPr>
        <w:spacing w:line="360" w:lineRule="auto"/>
        <w:jc w:val="both"/>
        <w:rPr>
          <w:rFonts w:ascii="David" w:hAnsi="David"/>
          <w:b/>
          <w:bCs/>
          <w:noProof w:val="0"/>
          <w:rtl/>
        </w:rPr>
      </w:pPr>
      <w:r w:rsidRPr="005330C5">
        <w:rPr>
          <w:rFonts w:ascii="David" w:hAnsi="David"/>
          <w:noProof w:val="0"/>
          <w:rtl/>
        </w:rPr>
        <w:t xml:space="preserve">במעשיו אלו ביצע הנאשם עבירות של </w:t>
      </w:r>
      <w:r w:rsidRPr="005330C5">
        <w:rPr>
          <w:rFonts w:ascii="David" w:hAnsi="David"/>
          <w:b/>
          <w:bCs/>
          <w:noProof w:val="0"/>
          <w:rtl/>
        </w:rPr>
        <w:t xml:space="preserve">החזקת נשק שלא כדין לפי </w:t>
      </w:r>
      <w:hyperlink r:id="rId10" w:history="1">
        <w:r w:rsidR="005C5E24" w:rsidRPr="005C5E24">
          <w:rPr>
            <w:rStyle w:val="Hyperlink"/>
            <w:rFonts w:ascii="David" w:hAnsi="David"/>
            <w:b/>
            <w:bCs/>
            <w:noProof w:val="0"/>
            <w:rtl/>
          </w:rPr>
          <w:t>סעיף 144(א)</w:t>
        </w:r>
      </w:hyperlink>
      <w:r w:rsidRPr="005330C5">
        <w:rPr>
          <w:rFonts w:ascii="David" w:hAnsi="David"/>
          <w:b/>
          <w:bCs/>
          <w:noProof w:val="0"/>
          <w:rtl/>
        </w:rPr>
        <w:t xml:space="preserve"> ל</w:t>
      </w:r>
      <w:hyperlink r:id="rId11" w:history="1">
        <w:r w:rsidR="00D64257" w:rsidRPr="00D64257">
          <w:rPr>
            <w:rFonts w:ascii="David" w:hAnsi="David"/>
            <w:b/>
            <w:bCs/>
            <w:noProof w:val="0"/>
            <w:color w:val="0000FF"/>
            <w:u w:val="single"/>
            <w:rtl/>
          </w:rPr>
          <w:t>חוק העונשין</w:t>
        </w:r>
      </w:hyperlink>
      <w:r w:rsidRPr="005330C5">
        <w:rPr>
          <w:rFonts w:ascii="David" w:hAnsi="David"/>
          <w:b/>
          <w:bCs/>
          <w:noProof w:val="0"/>
          <w:rtl/>
        </w:rPr>
        <w:t xml:space="preserve">, התשל"ז - 1977 </w:t>
      </w:r>
      <w:r w:rsidRPr="005330C5">
        <w:rPr>
          <w:rFonts w:ascii="David" w:hAnsi="David"/>
          <w:noProof w:val="0"/>
          <w:rtl/>
        </w:rPr>
        <w:t>(להלן: "</w:t>
      </w:r>
      <w:r w:rsidRPr="005330C5">
        <w:rPr>
          <w:rFonts w:ascii="David" w:hAnsi="David"/>
          <w:b/>
          <w:bCs/>
          <w:noProof w:val="0"/>
          <w:rtl/>
        </w:rPr>
        <w:t>חוק העונשין</w:t>
      </w:r>
      <w:r w:rsidRPr="005330C5">
        <w:rPr>
          <w:rFonts w:ascii="David" w:hAnsi="David"/>
          <w:noProof w:val="0"/>
          <w:rtl/>
        </w:rPr>
        <w:t xml:space="preserve">") </w:t>
      </w:r>
      <w:r w:rsidRPr="005330C5">
        <w:rPr>
          <w:rFonts w:ascii="David" w:hAnsi="David"/>
          <w:b/>
          <w:bCs/>
          <w:noProof w:val="0"/>
          <w:rtl/>
        </w:rPr>
        <w:t xml:space="preserve">והחזקת חלק של נשק או תחמושת לפי </w:t>
      </w:r>
      <w:hyperlink r:id="rId12" w:history="1">
        <w:r w:rsidR="005C5E24" w:rsidRPr="005C5E24">
          <w:rPr>
            <w:rStyle w:val="Hyperlink"/>
            <w:rFonts w:ascii="David" w:hAnsi="David"/>
            <w:b/>
            <w:bCs/>
            <w:noProof w:val="0"/>
            <w:rtl/>
          </w:rPr>
          <w:t>סעיף 144(א)</w:t>
        </w:r>
      </w:hyperlink>
      <w:r w:rsidRPr="005330C5">
        <w:rPr>
          <w:rFonts w:ascii="David" w:hAnsi="David"/>
          <w:b/>
          <w:bCs/>
          <w:noProof w:val="0"/>
          <w:rtl/>
        </w:rPr>
        <w:t xml:space="preserve"> סיפא לחוק העונשין. </w:t>
      </w:r>
    </w:p>
    <w:p w14:paraId="3FE7DE2F" w14:textId="77777777" w:rsidR="0089638E" w:rsidRPr="005330C5" w:rsidRDefault="0089638E" w:rsidP="005330C5">
      <w:pPr>
        <w:spacing w:line="360" w:lineRule="auto"/>
        <w:jc w:val="both"/>
        <w:rPr>
          <w:rFonts w:ascii="David" w:hAnsi="David"/>
          <w:noProof w:val="0"/>
        </w:rPr>
      </w:pPr>
    </w:p>
    <w:p w14:paraId="3D437EA0" w14:textId="77777777" w:rsidR="0089638E" w:rsidRPr="005330C5" w:rsidRDefault="0089638E" w:rsidP="005330C5">
      <w:pPr>
        <w:spacing w:after="240" w:line="360" w:lineRule="auto"/>
        <w:jc w:val="both"/>
        <w:rPr>
          <w:rFonts w:ascii="David" w:hAnsi="David"/>
          <w:noProof w:val="0"/>
          <w:rtl/>
        </w:rPr>
      </w:pPr>
      <w:r w:rsidRPr="005330C5">
        <w:rPr>
          <w:rFonts w:ascii="David" w:hAnsi="David"/>
          <w:b/>
          <w:bCs/>
          <w:noProof w:val="0"/>
          <w:u w:val="single"/>
          <w:rtl/>
        </w:rPr>
        <w:t>תסקירי שירות המבחן</w:t>
      </w:r>
    </w:p>
    <w:p w14:paraId="615D99E3" w14:textId="77777777" w:rsidR="0089638E" w:rsidRPr="005330C5" w:rsidRDefault="0089638E" w:rsidP="005330C5">
      <w:pPr>
        <w:spacing w:after="160" w:line="360" w:lineRule="auto"/>
        <w:jc w:val="both"/>
        <w:rPr>
          <w:rFonts w:ascii="David" w:hAnsi="David"/>
          <w:noProof w:val="0"/>
          <w:rtl/>
        </w:rPr>
      </w:pPr>
      <w:r w:rsidRPr="005330C5">
        <w:rPr>
          <w:rFonts w:ascii="David" w:hAnsi="David"/>
          <w:noProof w:val="0"/>
          <w:rtl/>
        </w:rPr>
        <w:t xml:space="preserve">מתסקירי שירות המבחן נלמד אודות הנאשם, בן למשפחה מרובת ילדים וחד הורית המתמודדת עם קשיים כלכליים ותנאי דיור ירודים בעטיים נתמכה בעבר על ידי שירותי הרווחה. על אף האמור והקושי עמו מתמודדת אמו של הנאשם בגידול וחינוך ילדיה ללא עורף משפחתי לאור פטירת האב לפני כשנתיים - ניכר כי דואגת לילדיה, מעורבת בחייהם ומגנה מעורבותו של בנה בפלילים. כיום סבורה האם כי השכיל ללמוד הלקח ממעשיו.  </w:t>
      </w:r>
    </w:p>
    <w:p w14:paraId="5EE58A88" w14:textId="77777777" w:rsidR="0089638E" w:rsidRPr="005330C5" w:rsidRDefault="0089638E" w:rsidP="005330C5">
      <w:pPr>
        <w:spacing w:after="160" w:line="360" w:lineRule="auto"/>
        <w:jc w:val="both"/>
        <w:rPr>
          <w:rFonts w:ascii="David" w:hAnsi="David"/>
          <w:noProof w:val="0"/>
          <w:rtl/>
        </w:rPr>
      </w:pPr>
      <w:r w:rsidRPr="005330C5">
        <w:rPr>
          <w:rFonts w:ascii="David" w:hAnsi="David"/>
          <w:noProof w:val="0"/>
          <w:rtl/>
        </w:rPr>
        <w:t xml:space="preserve">הנאשם עזב את המסגרת החינוכית עם תום כיתה י"א בעקבות מוטיבציה נמוכה ללימודים וקושי כלכלי. כיום למעשה מתנהל ללא מעש הן מבחינה לימודית והן מבחינה תעסוקתית, אך מצהיר כי פועל למציאת אופק תעסוקתי קבוע. </w:t>
      </w:r>
    </w:p>
    <w:p w14:paraId="270060EB" w14:textId="77777777" w:rsidR="0089638E" w:rsidRPr="005330C5" w:rsidRDefault="0089638E" w:rsidP="003957A6">
      <w:pPr>
        <w:spacing w:after="160" w:line="360" w:lineRule="auto"/>
        <w:jc w:val="both"/>
        <w:rPr>
          <w:rFonts w:ascii="David" w:hAnsi="David"/>
          <w:noProof w:val="0"/>
          <w:rtl/>
        </w:rPr>
      </w:pPr>
      <w:r w:rsidRPr="005330C5">
        <w:rPr>
          <w:rFonts w:ascii="David" w:hAnsi="David"/>
          <w:noProof w:val="0"/>
          <w:rtl/>
        </w:rPr>
        <w:t xml:space="preserve">עם הפנייתו לשירות המבחן בשנת 2018, הכחיש המיוחס לו ורק לאחר שהודה בבית המשפט, החל לשתף פעולה עם שירות המבחן- אז התייצב לפגישות פרטניות, שיתף בכנות מעולמו הפנימי, עמד בתוכנית הטיפול כנדרש ובוצע עמו עיבוד עבירה מעמיק. </w:t>
      </w:r>
    </w:p>
    <w:p w14:paraId="5492E538" w14:textId="77777777" w:rsidR="0089638E" w:rsidRPr="005330C5" w:rsidRDefault="0089638E" w:rsidP="005330C5">
      <w:pPr>
        <w:spacing w:after="160" w:line="360" w:lineRule="auto"/>
        <w:jc w:val="both"/>
        <w:rPr>
          <w:rFonts w:ascii="David" w:hAnsi="David"/>
          <w:noProof w:val="0"/>
          <w:rtl/>
        </w:rPr>
      </w:pPr>
      <w:r w:rsidRPr="005330C5">
        <w:rPr>
          <w:rFonts w:ascii="David" w:hAnsi="David"/>
          <w:noProof w:val="0"/>
          <w:rtl/>
        </w:rPr>
        <w:t xml:space="preserve">שולב בתוכנית סיכויים", כאשר חלף התנגדות ראשונית, דווח כי תפקודו חיובי, עקבי והוא מבטא עמדות וערכים חיוביים באופן כנה לשביעות רצון רכזת התוכנית. </w:t>
      </w:r>
    </w:p>
    <w:p w14:paraId="22708AFC" w14:textId="77777777" w:rsidR="0089638E" w:rsidRPr="005330C5" w:rsidRDefault="0089638E" w:rsidP="003957A6">
      <w:pPr>
        <w:spacing w:after="160" w:line="360" w:lineRule="auto"/>
        <w:jc w:val="both"/>
        <w:rPr>
          <w:rFonts w:ascii="David" w:hAnsi="David"/>
          <w:noProof w:val="0"/>
          <w:rtl/>
        </w:rPr>
      </w:pPr>
      <w:r w:rsidRPr="005330C5">
        <w:rPr>
          <w:rFonts w:ascii="David" w:hAnsi="David"/>
          <w:noProof w:val="0"/>
          <w:rtl/>
        </w:rPr>
        <w:t>בהתייחסותו לעבירות, התמיד בגרסתו ( אשר זכתה לעיגון בכתב האישום המתוקן), ותיאר כי התיק בו נמצא הנשק שימש לו כמקום אכסון לכלי עישון, שהופתע לגלות הנשק בתוכו ואף לא יודע מי הניחו שם. כשגילה אודות קיומו, נלחץ וזרק את הנשק והתחמושת מגג ביתו, אז נתפס על ידי המשטרה. לדבריו, החזיק בנשק לזמן קצר ללא כוונה פלילית.</w:t>
      </w:r>
    </w:p>
    <w:p w14:paraId="52909FC4" w14:textId="77777777" w:rsidR="0089638E" w:rsidRPr="005330C5" w:rsidRDefault="0089638E" w:rsidP="005330C5">
      <w:pPr>
        <w:spacing w:after="160" w:line="360" w:lineRule="auto"/>
        <w:jc w:val="both"/>
        <w:rPr>
          <w:rFonts w:ascii="David" w:hAnsi="David"/>
          <w:noProof w:val="0"/>
          <w:rtl/>
        </w:rPr>
      </w:pPr>
      <w:r w:rsidRPr="005330C5">
        <w:rPr>
          <w:rFonts w:ascii="David" w:hAnsi="David"/>
          <w:noProof w:val="0"/>
          <w:rtl/>
        </w:rPr>
        <w:t xml:space="preserve">להתרשמות שירות המבחן הנאשם מודה במיוחס לו, לוקח אחריות בגינם, מתחרט על מעשיו, מגלה תובנה לסיכונים הרבים הטמונים בהם, מבין חומרתם ומביע שאיפות נורמטיביות להמשך חייו כאשר המעמד המשפטי מהווה עבורו גורם הרתעה. הנאשם נמנע מהסתבכויות נוספות בפלילים ומביע נכונות להמשך קשר טיפולי עם שירות המבחן ושימור דרכו החיובית. </w:t>
      </w:r>
    </w:p>
    <w:p w14:paraId="114E0137" w14:textId="77777777" w:rsidR="0089638E" w:rsidRPr="005330C5" w:rsidRDefault="0089638E" w:rsidP="005330C5">
      <w:pPr>
        <w:spacing w:line="360" w:lineRule="auto"/>
        <w:jc w:val="both"/>
        <w:rPr>
          <w:rFonts w:ascii="David" w:hAnsi="David"/>
          <w:noProof w:val="0"/>
          <w:rtl/>
        </w:rPr>
      </w:pPr>
      <w:r w:rsidRPr="005330C5">
        <w:rPr>
          <w:rFonts w:ascii="David" w:hAnsi="David"/>
          <w:noProof w:val="0"/>
          <w:rtl/>
        </w:rPr>
        <w:t xml:space="preserve">בשים לב לאמור, המליץ שירות המבחן להימנע מהרשעת הנאשם, לסיים ההליך בדרכי טיפול וענישה ולהעמידו תחת צו מבחן לתקופה בת 6 חודשים לצד התחייבות עצמית גבוהה וביצוע של"צ. </w:t>
      </w:r>
    </w:p>
    <w:p w14:paraId="78915ABE" w14:textId="77777777" w:rsidR="0089638E" w:rsidRPr="005330C5" w:rsidRDefault="0089638E" w:rsidP="005330C5">
      <w:pPr>
        <w:spacing w:line="360" w:lineRule="auto"/>
        <w:jc w:val="both"/>
        <w:rPr>
          <w:rFonts w:ascii="David" w:hAnsi="David"/>
          <w:noProof w:val="0"/>
          <w:rtl/>
        </w:rPr>
      </w:pPr>
    </w:p>
    <w:p w14:paraId="7B531AF7" w14:textId="77777777" w:rsidR="0089638E" w:rsidRPr="005330C5" w:rsidRDefault="0089638E" w:rsidP="005330C5">
      <w:pPr>
        <w:spacing w:after="240" w:line="360" w:lineRule="auto"/>
        <w:jc w:val="both"/>
        <w:rPr>
          <w:rFonts w:ascii="David" w:hAnsi="David"/>
          <w:b/>
          <w:bCs/>
          <w:noProof w:val="0"/>
          <w:u w:val="single"/>
          <w:rtl/>
        </w:rPr>
      </w:pPr>
      <w:r w:rsidRPr="005330C5">
        <w:rPr>
          <w:rFonts w:ascii="David" w:hAnsi="David"/>
          <w:b/>
          <w:bCs/>
          <w:noProof w:val="0"/>
          <w:u w:val="single"/>
          <w:rtl/>
        </w:rPr>
        <w:t>טיעוני הצדדים לעניין ההרשעה והעונש</w:t>
      </w:r>
    </w:p>
    <w:p w14:paraId="3E3E5DF5" w14:textId="77777777" w:rsidR="0089638E" w:rsidRPr="005330C5" w:rsidRDefault="0089638E" w:rsidP="005330C5">
      <w:pPr>
        <w:spacing w:line="360" w:lineRule="auto"/>
        <w:jc w:val="both"/>
        <w:rPr>
          <w:rFonts w:ascii="David" w:hAnsi="David"/>
          <w:b/>
          <w:bCs/>
          <w:noProof w:val="0"/>
          <w:color w:val="000000"/>
          <w:u w:val="single"/>
          <w:rtl/>
        </w:rPr>
      </w:pPr>
      <w:r w:rsidRPr="005330C5">
        <w:rPr>
          <w:rFonts w:ascii="David" w:hAnsi="David"/>
          <w:b/>
          <w:bCs/>
          <w:noProof w:val="0"/>
          <w:color w:val="000000"/>
          <w:rtl/>
        </w:rPr>
        <w:t>כראיה לעניין העונש</w:t>
      </w:r>
      <w:r w:rsidRPr="005330C5">
        <w:rPr>
          <w:rFonts w:ascii="David" w:hAnsi="David"/>
          <w:noProof w:val="0"/>
          <w:color w:val="000000"/>
          <w:rtl/>
        </w:rPr>
        <w:t xml:space="preserve"> הוגשו מטעם המאשימה, תמונות של הנשק והתחמושת בתוך תיק הגב בו הוסלקו. </w:t>
      </w:r>
    </w:p>
    <w:p w14:paraId="79A74CF4" w14:textId="77777777" w:rsidR="0089638E" w:rsidRPr="005330C5" w:rsidRDefault="0089638E" w:rsidP="005330C5">
      <w:pPr>
        <w:spacing w:line="360" w:lineRule="auto"/>
        <w:jc w:val="both"/>
        <w:rPr>
          <w:rFonts w:ascii="David" w:hAnsi="David"/>
          <w:b/>
          <w:bCs/>
          <w:noProof w:val="0"/>
          <w:color w:val="000000"/>
          <w:u w:val="single"/>
          <w:rtl/>
        </w:rPr>
      </w:pPr>
    </w:p>
    <w:p w14:paraId="22401B63" w14:textId="77777777" w:rsidR="0089638E" w:rsidRPr="005330C5" w:rsidRDefault="0089638E" w:rsidP="005330C5">
      <w:pPr>
        <w:spacing w:line="360" w:lineRule="auto"/>
        <w:jc w:val="both"/>
        <w:rPr>
          <w:rFonts w:ascii="David" w:hAnsi="David"/>
          <w:noProof w:val="0"/>
          <w:rtl/>
        </w:rPr>
      </w:pPr>
      <w:r w:rsidRPr="005330C5">
        <w:rPr>
          <w:rFonts w:ascii="David" w:hAnsi="David"/>
          <w:b/>
          <w:bCs/>
          <w:noProof w:val="0"/>
          <w:rtl/>
        </w:rPr>
        <w:lastRenderedPageBreak/>
        <w:t xml:space="preserve">ב"כ המאשימה </w:t>
      </w:r>
      <w:r w:rsidRPr="005330C5">
        <w:rPr>
          <w:rFonts w:ascii="David" w:hAnsi="David"/>
          <w:noProof w:val="0"/>
          <w:rtl/>
        </w:rPr>
        <w:t>עמדה על חומרת העבירות שביצע הנאשם והערכים המוגנים שנפגעו, וביניהם בטחונו של הציבור והגנה</w:t>
      </w:r>
      <w:r>
        <w:rPr>
          <w:rFonts w:ascii="David" w:hAnsi="David"/>
          <w:noProof w:val="0"/>
          <w:rtl/>
        </w:rPr>
        <w:t xml:space="preserve"> עליו</w:t>
      </w:r>
      <w:r w:rsidRPr="005330C5">
        <w:rPr>
          <w:rFonts w:ascii="David" w:hAnsi="David"/>
          <w:noProof w:val="0"/>
          <w:rtl/>
        </w:rPr>
        <w:t xml:space="preserve">. הפנתה לפסיקה ענפה בעבירות כגון דא המצביעה על החומרה המיוחסת  לפוטנציאל הפגיעה  בחפים מפשע הטמון בביצוען של העבירות ובסדר החברתי, לצד ההנחה כי המחזיק בנשק ללא רישיון, חזקה שעושה כן למטרה לא כשרה. </w:t>
      </w:r>
    </w:p>
    <w:p w14:paraId="10676A6D" w14:textId="77777777" w:rsidR="0089638E" w:rsidRPr="005330C5" w:rsidRDefault="0089638E" w:rsidP="005330C5">
      <w:pPr>
        <w:spacing w:line="360" w:lineRule="auto"/>
        <w:jc w:val="both"/>
        <w:rPr>
          <w:rFonts w:ascii="David" w:hAnsi="David"/>
          <w:noProof w:val="0"/>
          <w:rtl/>
        </w:rPr>
      </w:pPr>
      <w:r w:rsidRPr="005330C5">
        <w:rPr>
          <w:rFonts w:ascii="David" w:hAnsi="David"/>
          <w:noProof w:val="0"/>
          <w:rtl/>
        </w:rPr>
        <w:t xml:space="preserve">הדגישה נפיצות תופעת עבירות הנשק שהפכה ל"מכת מדינה" באופן שאינו מאפשר לגלות כלפיה סלחנות, אלא מחייב להוקיעה מקרבנו. הפנתה למדיניות הענישה המחמירה הנוהגת אף בעניינם של קטינים.  </w:t>
      </w:r>
    </w:p>
    <w:p w14:paraId="6A6A99AF" w14:textId="77777777" w:rsidR="0089638E" w:rsidRPr="005330C5" w:rsidRDefault="0089638E" w:rsidP="005330C5">
      <w:pPr>
        <w:spacing w:line="360" w:lineRule="auto"/>
        <w:jc w:val="both"/>
        <w:rPr>
          <w:rFonts w:ascii="David" w:hAnsi="David"/>
          <w:noProof w:val="0"/>
          <w:rtl/>
        </w:rPr>
      </w:pPr>
    </w:p>
    <w:p w14:paraId="1696B05C" w14:textId="77777777" w:rsidR="0089638E" w:rsidRPr="005330C5" w:rsidRDefault="0089638E" w:rsidP="005330C5">
      <w:pPr>
        <w:spacing w:line="360" w:lineRule="auto"/>
        <w:jc w:val="both"/>
        <w:rPr>
          <w:rFonts w:ascii="David" w:hAnsi="David"/>
          <w:noProof w:val="0"/>
          <w:rtl/>
        </w:rPr>
      </w:pPr>
      <w:r w:rsidRPr="005330C5">
        <w:rPr>
          <w:rFonts w:ascii="David" w:hAnsi="David"/>
          <w:noProof w:val="0"/>
          <w:rtl/>
        </w:rPr>
        <w:t xml:space="preserve">לצד זאת, הכירה המאשימה בנלמד מן התסקיר  אודות ההתרשמות החיובית מן הנאשם, נטילת האחריות והבעת החרטה. אך יחד עם היבט זה, בהנתן כל הנגזר מטיעוניה  ביקשה להעדיף את האינטרס הציבורי על פני שיקולי השיקום ועתרה להרשעת הנאשם והטלת ענישה מרתיעה בדמות 5 חודשי מאסר שירוצו על דרך עבודות שירות, מאסר מותנה וקנס.  </w:t>
      </w:r>
    </w:p>
    <w:p w14:paraId="2DF86E79" w14:textId="77777777" w:rsidR="0089638E" w:rsidRPr="005330C5" w:rsidRDefault="0089638E" w:rsidP="005330C5">
      <w:pPr>
        <w:spacing w:line="360" w:lineRule="auto"/>
        <w:jc w:val="both"/>
        <w:rPr>
          <w:rFonts w:ascii="David" w:hAnsi="David"/>
          <w:noProof w:val="0"/>
          <w:rtl/>
        </w:rPr>
      </w:pPr>
      <w:r w:rsidRPr="005330C5">
        <w:rPr>
          <w:rFonts w:ascii="David" w:hAnsi="David"/>
          <w:noProof w:val="0"/>
          <w:rtl/>
        </w:rPr>
        <w:t>לשאלת בית המשפט</w:t>
      </w:r>
      <w:r>
        <w:rPr>
          <w:rFonts w:ascii="David" w:hAnsi="David"/>
          <w:noProof w:val="0"/>
          <w:rtl/>
        </w:rPr>
        <w:t xml:space="preserve"> -</w:t>
      </w:r>
      <w:r w:rsidRPr="005330C5">
        <w:rPr>
          <w:rFonts w:ascii="David" w:hAnsi="David"/>
          <w:noProof w:val="0"/>
          <w:rtl/>
        </w:rPr>
        <w:t xml:space="preserve"> נלמד כי הבגיר אשר טביעות אצבעותיו נמצאו על כלי הנשק והתחמושת נדון לחמישה חודשי מאסר בפועל.</w:t>
      </w:r>
    </w:p>
    <w:p w14:paraId="2EB2E283" w14:textId="77777777" w:rsidR="0089638E" w:rsidRPr="005330C5" w:rsidRDefault="0089638E" w:rsidP="005330C5">
      <w:pPr>
        <w:spacing w:line="360" w:lineRule="auto"/>
        <w:jc w:val="both"/>
        <w:rPr>
          <w:rFonts w:ascii="David" w:hAnsi="David"/>
          <w:noProof w:val="0"/>
          <w:rtl/>
        </w:rPr>
      </w:pPr>
    </w:p>
    <w:p w14:paraId="1FA88B2A" w14:textId="77777777" w:rsidR="0089638E" w:rsidRPr="005330C5" w:rsidRDefault="0089638E" w:rsidP="00D973A9">
      <w:pPr>
        <w:spacing w:line="360" w:lineRule="auto"/>
        <w:jc w:val="both"/>
        <w:rPr>
          <w:rFonts w:ascii="David" w:hAnsi="David"/>
          <w:noProof w:val="0"/>
          <w:rtl/>
        </w:rPr>
      </w:pPr>
      <w:r w:rsidRPr="005330C5">
        <w:rPr>
          <w:rFonts w:ascii="David" w:hAnsi="David"/>
          <w:b/>
          <w:bCs/>
          <w:noProof w:val="0"/>
          <w:rtl/>
        </w:rPr>
        <w:t>ב"כ הנאשם</w:t>
      </w:r>
      <w:r w:rsidRPr="005330C5">
        <w:rPr>
          <w:rFonts w:ascii="David" w:hAnsi="David"/>
          <w:noProof w:val="0"/>
          <w:rtl/>
        </w:rPr>
        <w:t xml:space="preserve"> הדגישה חלוף הזמן מעת ביצוע העבירות והדגישה תיקונו של כתב האישום בעקבות הליך ראייתי  . על אף שבית משפט זה  אינו כפוף להנחיות תיקון 113 ל</w:t>
      </w:r>
      <w:hyperlink r:id="rId13" w:history="1">
        <w:r w:rsidR="00D64257" w:rsidRPr="00D64257">
          <w:rPr>
            <w:rFonts w:ascii="David" w:hAnsi="David"/>
            <w:noProof w:val="0"/>
            <w:color w:val="0000FF"/>
            <w:u w:val="single"/>
            <w:rtl/>
          </w:rPr>
          <w:t>חוק העונשין</w:t>
        </w:r>
      </w:hyperlink>
      <w:r w:rsidRPr="005330C5">
        <w:rPr>
          <w:rFonts w:ascii="David" w:hAnsi="David"/>
          <w:noProof w:val="0"/>
          <w:rtl/>
        </w:rPr>
        <w:t xml:space="preserve">, ותוך מודעות לכך, מיקדה ההגנה טיעוניה בנסיבות ביצוע העבירות וטענה כי הגם שמבחינה משפטית אחראי הנאשם </w:t>
      </w:r>
      <w:r>
        <w:rPr>
          <w:rFonts w:ascii="David" w:hAnsi="David"/>
          <w:noProof w:val="0"/>
          <w:rtl/>
        </w:rPr>
        <w:t>על</w:t>
      </w:r>
      <w:r w:rsidRPr="005330C5">
        <w:rPr>
          <w:rFonts w:ascii="David" w:hAnsi="David"/>
          <w:noProof w:val="0"/>
          <w:rtl/>
        </w:rPr>
        <w:t xml:space="preserve"> אשר יוחס לו , בפועל מצביעות הנסיבות אחרת. נטען, ואושר על ידי המאשימה -  כי הנשק נמצא על ידי הנאשם ב</w:t>
      </w:r>
      <w:r>
        <w:rPr>
          <w:rFonts w:ascii="David" w:hAnsi="David"/>
          <w:noProof w:val="0"/>
          <w:rtl/>
        </w:rPr>
        <w:t>תיק בו מאוכסנים כלי העישון שלו ו</w:t>
      </w:r>
      <w:r w:rsidRPr="005330C5">
        <w:rPr>
          <w:rFonts w:ascii="David" w:hAnsi="David"/>
          <w:noProof w:val="0"/>
          <w:rtl/>
        </w:rPr>
        <w:t>שייך לשכנו אשר טביע</w:t>
      </w:r>
      <w:r>
        <w:rPr>
          <w:rFonts w:ascii="David" w:hAnsi="David"/>
          <w:noProof w:val="0"/>
          <w:rtl/>
        </w:rPr>
        <w:t>ות אצבעותיו נמצאו כמוטבעות עליו</w:t>
      </w:r>
      <w:r w:rsidRPr="005330C5">
        <w:rPr>
          <w:rFonts w:ascii="David" w:hAnsi="David"/>
          <w:noProof w:val="0"/>
          <w:rtl/>
        </w:rPr>
        <w:t xml:space="preserve">. לטענת ההגנה כאשר הנאשם מצא את הנשק, השליך  אותו בדיוק בנקודת הזמן בה הגיעה המשטרה לפתח ביתו, ועל כן החזיק בו לפרק זמן מצומצם ותחום. כן נטען כי אין לזקוף התמשכות ההליכים –נוכח ניהול הליך ההוכחות  -  לחובת הנאשם אשר שיתף פעולה, התייצב לרוב הדיונים המשפטיים בעניינו ונטל אחריות לביצוע מעשיו כמפורט בתסקירי שירות המבחן, שכן  בזמן ביצוע העבירה  הלכת ביהמ"ש העליון התוותה חומרה עונשית  פחותה.  </w:t>
      </w:r>
    </w:p>
    <w:p w14:paraId="1FEFA05A" w14:textId="77777777" w:rsidR="0089638E" w:rsidRPr="005330C5" w:rsidRDefault="0089638E" w:rsidP="005330C5">
      <w:pPr>
        <w:spacing w:line="360" w:lineRule="auto"/>
        <w:jc w:val="both"/>
        <w:rPr>
          <w:rFonts w:ascii="David" w:hAnsi="David"/>
          <w:noProof w:val="0"/>
          <w:rtl/>
        </w:rPr>
      </w:pPr>
    </w:p>
    <w:p w14:paraId="46E76B38" w14:textId="77777777" w:rsidR="0089638E" w:rsidRDefault="0089638E" w:rsidP="005330C5">
      <w:pPr>
        <w:spacing w:line="360" w:lineRule="auto"/>
        <w:jc w:val="both"/>
        <w:rPr>
          <w:rFonts w:ascii="David" w:hAnsi="David"/>
          <w:noProof w:val="0"/>
          <w:rtl/>
        </w:rPr>
      </w:pPr>
      <w:r w:rsidRPr="005330C5">
        <w:rPr>
          <w:rFonts w:ascii="David" w:hAnsi="David"/>
          <w:b/>
          <w:bCs/>
          <w:noProof w:val="0"/>
          <w:rtl/>
        </w:rPr>
        <w:t xml:space="preserve">הנאשם </w:t>
      </w:r>
      <w:r w:rsidRPr="005330C5">
        <w:rPr>
          <w:rFonts w:ascii="David" w:hAnsi="David"/>
          <w:noProof w:val="0"/>
          <w:rtl/>
        </w:rPr>
        <w:t xml:space="preserve">הביע חרטה על מעשיו ותיאר כי בקרות האירוע לא ידע כיצד לנהוג אך כיום מכיר בטעותו. כן תיאר סדר יומו הכולל תעסוקה בניקיון וסיוע ותמיכה במשפחתו. </w:t>
      </w:r>
    </w:p>
    <w:p w14:paraId="37092AF8" w14:textId="77777777" w:rsidR="0089638E" w:rsidRPr="005330C5" w:rsidRDefault="0089638E" w:rsidP="005330C5">
      <w:pPr>
        <w:spacing w:line="360" w:lineRule="auto"/>
        <w:jc w:val="both"/>
        <w:rPr>
          <w:rFonts w:ascii="David" w:hAnsi="David"/>
          <w:noProof w:val="0"/>
          <w:rtl/>
        </w:rPr>
      </w:pPr>
    </w:p>
    <w:p w14:paraId="75C24DF2" w14:textId="77777777" w:rsidR="0089638E" w:rsidRPr="005330C5" w:rsidRDefault="0089638E" w:rsidP="005330C5">
      <w:pPr>
        <w:spacing w:line="360" w:lineRule="auto"/>
        <w:jc w:val="both"/>
        <w:rPr>
          <w:rFonts w:ascii="David" w:hAnsi="David"/>
          <w:noProof w:val="0"/>
          <w:rtl/>
        </w:rPr>
      </w:pPr>
    </w:p>
    <w:p w14:paraId="3A3545A9" w14:textId="77777777" w:rsidR="0089638E" w:rsidRPr="005330C5" w:rsidRDefault="0089638E" w:rsidP="005330C5">
      <w:pPr>
        <w:spacing w:after="240" w:line="360" w:lineRule="auto"/>
        <w:jc w:val="both"/>
        <w:rPr>
          <w:rFonts w:ascii="David" w:hAnsi="David"/>
          <w:b/>
          <w:bCs/>
          <w:noProof w:val="0"/>
          <w:u w:val="single"/>
          <w:rtl/>
        </w:rPr>
      </w:pPr>
      <w:r w:rsidRPr="005330C5">
        <w:rPr>
          <w:rFonts w:ascii="David" w:hAnsi="David"/>
          <w:b/>
          <w:bCs/>
          <w:noProof w:val="0"/>
          <w:u w:val="single"/>
          <w:rtl/>
        </w:rPr>
        <w:t xml:space="preserve">דיון והכרעה </w:t>
      </w:r>
    </w:p>
    <w:p w14:paraId="28BE2AE7" w14:textId="77777777" w:rsidR="0089638E" w:rsidRPr="005330C5" w:rsidRDefault="0089638E" w:rsidP="005330C5">
      <w:pPr>
        <w:spacing w:after="160" w:line="360" w:lineRule="auto"/>
        <w:jc w:val="both"/>
        <w:rPr>
          <w:noProof w:val="0"/>
          <w:color w:val="000000"/>
          <w:rtl/>
        </w:rPr>
      </w:pPr>
      <w:r w:rsidRPr="005330C5">
        <w:rPr>
          <w:noProof w:val="0"/>
          <w:color w:val="000000"/>
          <w:rtl/>
        </w:rPr>
        <w:t xml:space="preserve">חומרת מעשיו של הנאשם, כיום בגיר בן 18 שנים, נלמדת היטב מעובדות כתב האישום המתוקן, ודומה כי אין צורך לחזור ולהדגיש את מידתה הרבה. </w:t>
      </w:r>
    </w:p>
    <w:p w14:paraId="2280B6D6" w14:textId="77777777" w:rsidR="0089638E" w:rsidRPr="005330C5" w:rsidRDefault="0089638E" w:rsidP="005330C5">
      <w:pPr>
        <w:spacing w:after="160" w:line="360" w:lineRule="auto"/>
        <w:jc w:val="both"/>
        <w:rPr>
          <w:noProof w:val="0"/>
          <w:color w:val="000000"/>
          <w:rtl/>
        </w:rPr>
      </w:pPr>
      <w:r w:rsidRPr="005330C5">
        <w:rPr>
          <w:noProof w:val="0"/>
          <w:color w:val="000000"/>
          <w:rtl/>
        </w:rPr>
        <w:t>לא רק מעובדותיו היבשות של כתב האישום נלמדת הסכנה הנלווית למעשים, אלא ממציאות היומיום. חדשות לבקרים מתבשרים אנו על קיפוד חיי אדם בחברה הערבית באופן הניתן לכנות בבטחה התופעה כמכת מדינה ממשית, על משמעויותיה המשפטיות וממילא החברתיות של הגדרה זו.</w:t>
      </w:r>
    </w:p>
    <w:p w14:paraId="3EF2FE31" w14:textId="77777777" w:rsidR="0089638E" w:rsidRPr="005330C5" w:rsidRDefault="0089638E" w:rsidP="005330C5">
      <w:pPr>
        <w:spacing w:after="160" w:line="360" w:lineRule="auto"/>
        <w:jc w:val="both"/>
        <w:rPr>
          <w:noProof w:val="0"/>
          <w:rtl/>
        </w:rPr>
      </w:pPr>
      <w:r w:rsidRPr="005330C5">
        <w:rPr>
          <w:noProof w:val="0"/>
          <w:rtl/>
        </w:rPr>
        <w:t xml:space="preserve">אף אם במבחן התוצאה לא נגרם נזק נוסף, פוטנציאל הנזק הגלום בעבירה והחזקה המתחייבת כי לא נועד הוא למטרה כשרה, מעמיד את הצורך בהרתעה ואמירה בלתי מתפשרת בראש סדר העדיפויות. כך  גם בעניינו של הנאשם, אשר אף שהיה קטין בזמן ביצוע העבירה, עת חברו להן יחד טעויות חשיבה קשות הנטועות בקושי חברתי תרבותי ותת תרבותי, מחויבים אנו להוקיע התנהגות זו מקרבנו. </w:t>
      </w:r>
    </w:p>
    <w:p w14:paraId="0B0E7E76" w14:textId="77777777" w:rsidR="0089638E" w:rsidRPr="005330C5" w:rsidRDefault="0089638E" w:rsidP="005330C5">
      <w:pPr>
        <w:spacing w:after="160" w:line="360" w:lineRule="auto"/>
        <w:jc w:val="both"/>
        <w:rPr>
          <w:noProof w:val="0"/>
          <w:rtl/>
        </w:rPr>
      </w:pPr>
      <w:r w:rsidRPr="005330C5">
        <w:rPr>
          <w:noProof w:val="0"/>
          <w:rtl/>
        </w:rPr>
        <w:t xml:space="preserve">בשורת פסקי דין נרחבת, עמד ביהמ"ש העליון עמד על החומרה היתרה שיש לנהוג בעבירות הנשק, על גווניה השונים, נוכח הסכנה הגבוהה והאינהרנטית הנשקפת מהן. נפסק והובהר כי </w:t>
      </w:r>
      <w:r w:rsidRPr="005330C5">
        <w:rPr>
          <w:rFonts w:ascii="David" w:hAnsi="David"/>
          <w:b/>
          <w:bCs/>
          <w:noProof w:val="0"/>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r w:rsidRPr="005330C5">
        <w:rPr>
          <w:noProof w:val="0"/>
          <w:rtl/>
        </w:rPr>
        <w:t xml:space="preserve"> (</w:t>
      </w:r>
      <w:hyperlink r:id="rId14" w:history="1">
        <w:r w:rsidR="00D64257" w:rsidRPr="00D64257">
          <w:rPr>
            <w:b/>
            <w:bCs/>
            <w:noProof w:val="0"/>
            <w:color w:val="0000FF"/>
            <w:u w:val="single"/>
            <w:rtl/>
          </w:rPr>
          <w:t>ע"פ 9306/20</w:t>
        </w:r>
      </w:hyperlink>
      <w:r w:rsidRPr="005330C5">
        <w:rPr>
          <w:b/>
          <w:bCs/>
          <w:noProof w:val="0"/>
          <w:rtl/>
        </w:rPr>
        <w:t xml:space="preserve"> </w:t>
      </w:r>
      <w:r w:rsidRPr="005330C5">
        <w:rPr>
          <w:noProof w:val="0"/>
          <w:rtl/>
        </w:rPr>
        <w:t xml:space="preserve">מארון נ' מדינת ישראל [פורסם בנבו] (29.04.2021); </w:t>
      </w:r>
      <w:hyperlink r:id="rId15" w:history="1">
        <w:r w:rsidR="00D64257" w:rsidRPr="00D64257">
          <w:rPr>
            <w:rFonts w:ascii="David" w:hAnsi="David"/>
            <w:b/>
            <w:bCs/>
            <w:noProof w:val="0"/>
            <w:color w:val="0000FF"/>
            <w:u w:val="single"/>
            <w:rtl/>
          </w:rPr>
          <w:t>ע"פ 147/21</w:t>
        </w:r>
      </w:hyperlink>
      <w:r w:rsidRPr="005330C5">
        <w:rPr>
          <w:rFonts w:ascii="David" w:hAnsi="David"/>
          <w:b/>
          <w:bCs/>
          <w:noProof w:val="0"/>
          <w:rtl/>
        </w:rPr>
        <w:t xml:space="preserve"> </w:t>
      </w:r>
      <w:r w:rsidRPr="005330C5">
        <w:rPr>
          <w:rFonts w:ascii="David" w:hAnsi="David"/>
          <w:noProof w:val="0"/>
          <w:rtl/>
        </w:rPr>
        <w:t>מדינת ישראל נ' ביטון [פורסם בנבו] פס' 10 (14.2.2021)).</w:t>
      </w:r>
    </w:p>
    <w:p w14:paraId="4616347B" w14:textId="77777777" w:rsidR="0089638E" w:rsidRPr="005330C5" w:rsidRDefault="0089638E" w:rsidP="005330C5">
      <w:pPr>
        <w:spacing w:after="160" w:line="360" w:lineRule="auto"/>
        <w:jc w:val="both"/>
        <w:rPr>
          <w:noProof w:val="0"/>
          <w:rtl/>
        </w:rPr>
      </w:pPr>
      <w:r w:rsidRPr="005330C5">
        <w:rPr>
          <w:noProof w:val="0"/>
          <w:rtl/>
        </w:rPr>
        <w:t xml:space="preserve">יפים הם לעניין זה גם דבריו של כבוד השופט ע. פוגלמן </w:t>
      </w:r>
      <w:r w:rsidRPr="005330C5">
        <w:rPr>
          <w:b/>
          <w:bCs/>
          <w:noProof w:val="0"/>
          <w:rtl/>
        </w:rPr>
        <w:t>ב</w:t>
      </w:r>
      <w:hyperlink r:id="rId16" w:history="1">
        <w:r w:rsidR="00D64257" w:rsidRPr="00D64257">
          <w:rPr>
            <w:b/>
            <w:bCs/>
            <w:noProof w:val="0"/>
            <w:color w:val="0000FF"/>
            <w:u w:val="single"/>
            <w:rtl/>
          </w:rPr>
          <w:t>ע"פ 8017/20</w:t>
        </w:r>
      </w:hyperlink>
      <w:r w:rsidRPr="005330C5">
        <w:rPr>
          <w:noProof w:val="0"/>
          <w:rtl/>
        </w:rPr>
        <w:t xml:space="preserve"> מדינת ישראל נ' פאדי גריפאת (22.12.2020):</w:t>
      </w:r>
    </w:p>
    <w:p w14:paraId="5CE834B0" w14:textId="77777777" w:rsidR="0089638E" w:rsidRPr="005330C5" w:rsidRDefault="0089638E" w:rsidP="005330C5">
      <w:pPr>
        <w:spacing w:before="240" w:after="160" w:line="360" w:lineRule="auto"/>
        <w:ind w:left="624" w:right="794"/>
        <w:jc w:val="both"/>
        <w:rPr>
          <w:rFonts w:ascii="David" w:hAnsi="David"/>
          <w:b/>
          <w:bCs/>
          <w:noProof w:val="0"/>
          <w:rtl/>
        </w:rPr>
      </w:pPr>
      <w:r w:rsidRPr="005330C5">
        <w:rPr>
          <w:rFonts w:ascii="David" w:hAnsi="David"/>
          <w:b/>
          <w:bCs/>
          <w:noProof w:val="0"/>
          <w:rtl/>
        </w:rPr>
        <w:tab/>
        <w:t xml:space="preserve">"בית משפט זה עמד בשורה ארוכה של פסקי דין על החומרה היתרה של עבירות הנשק ועל הסכנה הגבוהה שנשקפת מהן לשלום הציבור ולביטחונו ...חומרתן של עבירות אלו נובעת, בין היתר, גם מהחשש כי הנשק יועבר למי שמתכוון לעשות בו שימוש לפעילות עבריינית או לפעילות טרור ... נוכח האמור, חזר וציין בית משפט זה כי קיימת מגמה של החמרה בענישה בעבירות אלו וזאת על מנת להרתיע מפני ביצוען (ע"פ עניין אמארה, פסקה 10; </w:t>
      </w:r>
      <w:hyperlink r:id="rId17" w:history="1">
        <w:r w:rsidR="00D64257" w:rsidRPr="00D64257">
          <w:rPr>
            <w:rFonts w:ascii="David" w:hAnsi="David"/>
            <w:b/>
            <w:bCs/>
            <w:noProof w:val="0"/>
            <w:color w:val="0000FF"/>
            <w:u w:val="single"/>
            <w:rtl/>
          </w:rPr>
          <w:t>ע"פ 8045/17</w:t>
        </w:r>
      </w:hyperlink>
      <w:r w:rsidRPr="005330C5">
        <w:rPr>
          <w:rFonts w:ascii="David" w:hAnsi="David"/>
          <w:b/>
          <w:bCs/>
          <w:noProof w:val="0"/>
          <w:rtl/>
        </w:rPr>
        <w:t xml:space="preserve"> בראנסי נ' מדינת ישראל, [פורסם בנבו] פסקאות 11, 100 (16.8.2018) (להלן: עניין בראנסי); עניין נפאע, פסקה 5)". </w:t>
      </w:r>
    </w:p>
    <w:p w14:paraId="533A3441" w14:textId="77777777" w:rsidR="0089638E" w:rsidRPr="005330C5" w:rsidRDefault="0089638E" w:rsidP="005330C5">
      <w:pPr>
        <w:spacing w:after="160" w:line="360" w:lineRule="auto"/>
        <w:jc w:val="both"/>
        <w:rPr>
          <w:rFonts w:ascii="David" w:hAnsi="David"/>
          <w:noProof w:val="0"/>
          <w:rtl/>
        </w:rPr>
      </w:pPr>
      <w:r w:rsidRPr="005330C5">
        <w:rPr>
          <w:rFonts w:ascii="David" w:hAnsi="David"/>
          <w:noProof w:val="0"/>
          <w:rtl/>
        </w:rPr>
        <w:t>כך גם, ולאחרונה, בעניינם של קטינים.  ב</w:t>
      </w:r>
      <w:hyperlink r:id="rId18" w:history="1">
        <w:r w:rsidR="00D64257" w:rsidRPr="00D64257">
          <w:rPr>
            <w:rFonts w:ascii="David" w:hAnsi="David"/>
            <w:b/>
            <w:bCs/>
            <w:noProof w:val="0"/>
            <w:color w:val="0000FF"/>
            <w:u w:val="single"/>
            <w:rtl/>
          </w:rPr>
          <w:t>ע"פ 241/21</w:t>
        </w:r>
      </w:hyperlink>
      <w:r w:rsidRPr="005330C5">
        <w:rPr>
          <w:rFonts w:ascii="David" w:hAnsi="David"/>
          <w:noProof w:val="0"/>
          <w:rtl/>
        </w:rPr>
        <w:t>, מדינת ישראל נ' פלוני</w:t>
      </w:r>
      <w:r w:rsidRPr="005330C5">
        <w:rPr>
          <w:rFonts w:ascii="David" w:hAnsi="David"/>
          <w:b/>
          <w:bCs/>
          <w:noProof w:val="0"/>
          <w:rtl/>
        </w:rPr>
        <w:t xml:space="preserve"> </w:t>
      </w:r>
      <w:r w:rsidRPr="005330C5">
        <w:rPr>
          <w:rFonts w:ascii="David" w:hAnsi="David"/>
          <w:noProof w:val="0"/>
          <w:rtl/>
        </w:rPr>
        <w:t xml:space="preserve">(1.6.21) נקבע ע"י כב' השופט הנדל כי  האינטרס הציבורי בענישה ובהרשעה של קטינים, במקרים המתאימים ובייחוד בעבירות נשק, עודנו בעל משמעות חרף ההיבט השיקומי. התייחס בית המשפט לחומרה הנגזרת גם מסוג הנשק כבענייננו, מסוג תת מקלע, הממקמת לחומרה  את מעשה העבירה על רצף עבירות הנשק – כך ביחס לבגירים וכך ביחס לקטינים.  </w:t>
      </w:r>
    </w:p>
    <w:p w14:paraId="7AF3862A" w14:textId="77777777" w:rsidR="0089638E" w:rsidRPr="005330C5" w:rsidRDefault="0089638E" w:rsidP="005330C5">
      <w:pPr>
        <w:spacing w:after="160" w:line="360" w:lineRule="auto"/>
        <w:jc w:val="both"/>
        <w:rPr>
          <w:rFonts w:ascii="David" w:hAnsi="David"/>
          <w:noProof w:val="0"/>
          <w:color w:val="000000"/>
          <w:rtl/>
        </w:rPr>
      </w:pPr>
      <w:r w:rsidRPr="005330C5">
        <w:rPr>
          <w:rFonts w:ascii="David" w:hAnsi="David"/>
          <w:noProof w:val="0"/>
          <w:rtl/>
        </w:rPr>
        <w:t xml:space="preserve">כמושכלות יסוד העומדות בבסיס השקפתו של בית המשפט לנוער - </w:t>
      </w:r>
      <w:r w:rsidRPr="005330C5">
        <w:rPr>
          <w:noProof w:val="0"/>
          <w:rtl/>
        </w:rPr>
        <w:t xml:space="preserve">על ביהמ"ש לאזן בין נסיבותיו האינדיבידואליות של הקטין, שיקולי שיקומו והנזק שיגרם לו כתוצאה מההרשעה, לבין האינטרס הציבורי המובהק שבסיום הליך פלילי בהרשעה שכזו. </w:t>
      </w:r>
      <w:r w:rsidRPr="005330C5">
        <w:rPr>
          <w:rFonts w:ascii="David" w:hAnsi="David"/>
          <w:noProof w:val="0"/>
          <w:color w:val="000000"/>
          <w:rtl/>
        </w:rPr>
        <w:t xml:space="preserve">אולם, אף בהינתן אלה, עדיין מחוייבים אנו להידרש לטיב העבירה, לנסיבותיה ולמידת חומרתה, בצל שכיחותה בחברה. </w:t>
      </w:r>
    </w:p>
    <w:p w14:paraId="6B6EF051" w14:textId="77777777" w:rsidR="0089638E" w:rsidRPr="005330C5" w:rsidRDefault="0089638E" w:rsidP="005330C5">
      <w:pPr>
        <w:spacing w:after="160" w:line="360" w:lineRule="auto"/>
        <w:jc w:val="both"/>
        <w:rPr>
          <w:rFonts w:ascii="David" w:hAnsi="David"/>
          <w:noProof w:val="0"/>
          <w:color w:val="000000"/>
          <w:rtl/>
        </w:rPr>
      </w:pPr>
      <w:r w:rsidRPr="005330C5">
        <w:rPr>
          <w:rFonts w:ascii="David" w:hAnsi="David"/>
          <w:noProof w:val="0"/>
          <w:color w:val="000000"/>
          <w:rtl/>
        </w:rPr>
        <w:t>כך ניצבים הם לכאן ולכאן השיקולים השונים, המשמשים בערבוביה, ומושכים לכיוונים מנוגדים.</w:t>
      </w:r>
    </w:p>
    <w:p w14:paraId="1A064565" w14:textId="77777777" w:rsidR="0089638E" w:rsidRPr="005330C5" w:rsidRDefault="0089638E" w:rsidP="005330C5">
      <w:pPr>
        <w:spacing w:after="160" w:line="360" w:lineRule="auto"/>
        <w:jc w:val="both"/>
        <w:rPr>
          <w:rFonts w:ascii="David" w:hAnsi="David"/>
          <w:noProof w:val="0"/>
          <w:color w:val="000000"/>
          <w:rtl/>
        </w:rPr>
      </w:pPr>
      <w:r w:rsidRPr="005330C5">
        <w:rPr>
          <w:rFonts w:ascii="David" w:hAnsi="David"/>
          <w:noProof w:val="0"/>
          <w:color w:val="000000"/>
          <w:rtl/>
        </w:rPr>
        <w:t>בהתאם, קבע כב' השופט הנדל אך לאחרונה ב</w:t>
      </w:r>
      <w:hyperlink r:id="rId19" w:history="1">
        <w:r w:rsidR="00D64257" w:rsidRPr="00D64257">
          <w:rPr>
            <w:rFonts w:ascii="David" w:hAnsi="David"/>
            <w:noProof w:val="0"/>
            <w:color w:val="0000FF"/>
            <w:u w:val="single"/>
            <w:rtl/>
          </w:rPr>
          <w:t>ע"פ 241/21</w:t>
        </w:r>
      </w:hyperlink>
      <w:r w:rsidRPr="005330C5">
        <w:rPr>
          <w:rFonts w:ascii="David" w:hAnsi="David"/>
          <w:noProof w:val="0"/>
          <w:color w:val="000000"/>
          <w:rtl/>
        </w:rPr>
        <w:t xml:space="preserve">, </w:t>
      </w:r>
      <w:r w:rsidRPr="005330C5">
        <w:rPr>
          <w:rFonts w:ascii="David" w:hAnsi="David"/>
          <w:b/>
          <w:bCs/>
          <w:noProof w:val="0"/>
          <w:color w:val="000000"/>
          <w:rtl/>
        </w:rPr>
        <w:t xml:space="preserve">מדינת ישראל נ' פלוני </w:t>
      </w:r>
      <w:r w:rsidRPr="005330C5">
        <w:rPr>
          <w:rFonts w:ascii="David" w:hAnsi="David"/>
          <w:noProof w:val="0"/>
          <w:color w:val="000000"/>
          <w:rtl/>
        </w:rPr>
        <w:t xml:space="preserve">[פורסם בנבו] (1.6.21) כמפורט לקמן: </w:t>
      </w:r>
    </w:p>
    <w:p w14:paraId="7DA0F1CE" w14:textId="77777777" w:rsidR="0089638E" w:rsidRPr="005330C5" w:rsidRDefault="0089638E" w:rsidP="005330C5">
      <w:pPr>
        <w:spacing w:before="240" w:after="160" w:line="360" w:lineRule="auto"/>
        <w:ind w:left="624" w:right="794"/>
        <w:jc w:val="both"/>
        <w:rPr>
          <w:rFonts w:ascii="David" w:hAnsi="David"/>
          <w:b/>
          <w:bCs/>
          <w:noProof w:val="0"/>
          <w:color w:val="000000"/>
          <w:rtl/>
        </w:rPr>
      </w:pPr>
      <w:r w:rsidRPr="005330C5">
        <w:rPr>
          <w:rFonts w:ascii="David" w:hAnsi="David"/>
          <w:b/>
          <w:bCs/>
          <w:noProof w:val="0"/>
          <w:color w:val="000000"/>
          <w:rtl/>
        </w:rPr>
        <w:t xml:space="preserve">"השיקולים ביחס לאי הרשעת קטין אינם דומים לשיקולים שמתייחסים לבגיר. הדבר אינו מפתיע, לאור הדגש שמושם על שיקולי השיקום ביחס לקטינים. יחד עם זאת, קטינות אינה תעודת ביטוח כנגד הרשעה ואף ענישה מחמירה במקרים המתאימים. על ביהמ"ש לשקול את העניין מנקודת המבט של בימ"ש לנוער, על כל המשתמע מכך... יש להחמיר בעבירות נשק. כמובן, אין די בסוג העבירה, אלא יש לשקול היטב את מעשה העבירה על הרצף של עבירות הנשק - כך ביחס לבגירים וכך ביחס לקטינים." </w:t>
      </w:r>
    </w:p>
    <w:p w14:paraId="22695BEE" w14:textId="77777777" w:rsidR="0089638E" w:rsidRPr="005330C5" w:rsidRDefault="0089638E" w:rsidP="005330C5">
      <w:pPr>
        <w:spacing w:after="160" w:line="360" w:lineRule="auto"/>
        <w:jc w:val="both"/>
        <w:rPr>
          <w:rFonts w:ascii="David" w:hAnsi="David"/>
          <w:noProof w:val="0"/>
          <w:rtl/>
        </w:rPr>
      </w:pPr>
      <w:r w:rsidRPr="005330C5">
        <w:rPr>
          <w:rFonts w:ascii="David" w:hAnsi="David"/>
          <w:noProof w:val="0"/>
          <w:rtl/>
        </w:rPr>
        <w:t xml:space="preserve">נתתי דעתי לגילו הצעיר של הנאשם בעת ביצוע העבירות, כאשר מטבע הדברים וכהנחיית הפסיקה- ככל שקטין צעיר יותר בשנים, מוענק משקל רב יותר לשיקולים האינדיבידואליים ולשיקולי השיקום. </w:t>
      </w:r>
    </w:p>
    <w:p w14:paraId="3EF8891C" w14:textId="77777777" w:rsidR="0089638E" w:rsidRPr="005330C5" w:rsidRDefault="0089638E" w:rsidP="005330C5">
      <w:pPr>
        <w:spacing w:after="160" w:line="360" w:lineRule="auto"/>
        <w:jc w:val="both"/>
        <w:rPr>
          <w:rFonts w:ascii="David" w:hAnsi="David"/>
          <w:noProof w:val="0"/>
          <w:rtl/>
        </w:rPr>
      </w:pPr>
      <w:r w:rsidRPr="005330C5">
        <w:rPr>
          <w:rFonts w:ascii="David" w:hAnsi="David"/>
          <w:noProof w:val="0"/>
          <w:rtl/>
        </w:rPr>
        <w:t xml:space="preserve">כן </w:t>
      </w:r>
      <w:r w:rsidRPr="005330C5">
        <w:rPr>
          <w:noProof w:val="0"/>
          <w:rtl/>
        </w:rPr>
        <w:t xml:space="preserve">נתתי דעתי להודאתו של הנאשם ונטילת אחריות על ביצוע העבירות בהתאם לגרסתו.  </w:t>
      </w:r>
    </w:p>
    <w:p w14:paraId="5FB0D43B" w14:textId="77777777" w:rsidR="0089638E" w:rsidRPr="005330C5" w:rsidRDefault="0089638E" w:rsidP="005330C5">
      <w:pPr>
        <w:spacing w:after="160" w:line="360" w:lineRule="auto"/>
        <w:jc w:val="both"/>
        <w:rPr>
          <w:noProof w:val="0"/>
          <w:rtl/>
        </w:rPr>
      </w:pPr>
      <w:r w:rsidRPr="005330C5">
        <w:rPr>
          <w:rFonts w:ascii="David" w:hAnsi="David"/>
          <w:noProof w:val="0"/>
          <w:rtl/>
        </w:rPr>
        <w:t xml:space="preserve">ניכר כי על אף הקשיים השונים שחווה, מצליח הנאשם לגייס כוחות ולשמרם לתפקוד מיטיב ונעדר הסתבכויות נוספות בפלילים כאשר למרבה הדאבה ניתן לומר כי אין עובדה זו מובנת מאליה בסביבת חייו. בנוסף, נרתם להליך הטיפולי, משולב בתוכנית "סיכויים", שיתף בנסיבות ביצוע העבירה והשתתף בשיחות פרטניות במסגרת שירות המבחן. </w:t>
      </w:r>
      <w:r w:rsidRPr="005330C5">
        <w:rPr>
          <w:noProof w:val="0"/>
          <w:rtl/>
        </w:rPr>
        <w:t xml:space="preserve"> </w:t>
      </w:r>
    </w:p>
    <w:p w14:paraId="1DCACC34" w14:textId="77777777" w:rsidR="0089638E" w:rsidRPr="005330C5" w:rsidRDefault="0089638E" w:rsidP="005330C5">
      <w:pPr>
        <w:spacing w:after="160" w:line="360" w:lineRule="auto"/>
        <w:jc w:val="both"/>
        <w:rPr>
          <w:noProof w:val="0"/>
          <w:rtl/>
        </w:rPr>
      </w:pPr>
      <w:r w:rsidRPr="005330C5">
        <w:rPr>
          <w:noProof w:val="0"/>
          <w:rtl/>
        </w:rPr>
        <w:t>כן לא נעלמו מעיני נסיבותיו המשפטיות של תיק זה, לגביהן אין חולק ולעובדת מעורבות וענישת אחר במקביל.</w:t>
      </w:r>
    </w:p>
    <w:p w14:paraId="0808A888" w14:textId="77777777" w:rsidR="0089638E" w:rsidRPr="005330C5" w:rsidRDefault="0089638E" w:rsidP="005330C5">
      <w:pPr>
        <w:spacing w:after="160" w:line="360" w:lineRule="auto"/>
        <w:jc w:val="both"/>
        <w:rPr>
          <w:rFonts w:ascii="David" w:hAnsi="David"/>
          <w:noProof w:val="0"/>
          <w:rtl/>
        </w:rPr>
      </w:pPr>
      <w:r w:rsidRPr="005330C5">
        <w:rPr>
          <w:rFonts w:ascii="David" w:hAnsi="David"/>
          <w:noProof w:val="0"/>
          <w:rtl/>
        </w:rPr>
        <w:t>לכל אלה משקל לקולא.</w:t>
      </w:r>
    </w:p>
    <w:p w14:paraId="4F362161" w14:textId="77777777" w:rsidR="0089638E" w:rsidRPr="005330C5" w:rsidRDefault="0089638E" w:rsidP="005330C5">
      <w:pPr>
        <w:spacing w:after="160" w:line="360" w:lineRule="auto"/>
        <w:jc w:val="both"/>
        <w:rPr>
          <w:rFonts w:ascii="David" w:hAnsi="David"/>
          <w:noProof w:val="0"/>
          <w:color w:val="000000"/>
          <w:rtl/>
        </w:rPr>
      </w:pPr>
      <w:r w:rsidRPr="005330C5">
        <w:rPr>
          <w:noProof w:val="0"/>
          <w:color w:val="000000"/>
          <w:rtl/>
        </w:rPr>
        <w:t xml:space="preserve">לאחר בחינת כל הנדרש על פי כל שהובא בפניי, סבורני כי הימנעות מהרשעה, אשר יוזכר כי אינה הכרח פרי קטינות המבצע, אינה ראויה במקרה זה ואינה נותנת ביטוי הולם למכלול האינטרסים ביניהם נדרש לאזן. </w:t>
      </w:r>
      <w:r w:rsidRPr="005330C5">
        <w:rPr>
          <w:rFonts w:ascii="David" w:hAnsi="David"/>
          <w:noProof w:val="0"/>
          <w:color w:val="000000"/>
          <w:rtl/>
        </w:rPr>
        <w:t xml:space="preserve">ישנם מקרים בהם חומרת העבירה ונסיבותיה, צרכי השעה וההיבטים הערכיים, אינם מאפשרים להימנע מהרשעה. </w:t>
      </w:r>
    </w:p>
    <w:p w14:paraId="6AAB5403" w14:textId="77777777" w:rsidR="0089638E" w:rsidRPr="005330C5" w:rsidRDefault="0089638E" w:rsidP="005330C5">
      <w:pPr>
        <w:spacing w:after="160" w:line="360" w:lineRule="auto"/>
        <w:jc w:val="both"/>
        <w:rPr>
          <w:rFonts w:ascii="David" w:hAnsi="David"/>
          <w:noProof w:val="0"/>
          <w:color w:val="000000"/>
          <w:rtl/>
        </w:rPr>
      </w:pPr>
      <w:r w:rsidRPr="005330C5">
        <w:rPr>
          <w:rFonts w:ascii="David" w:hAnsi="David"/>
          <w:noProof w:val="0"/>
          <w:color w:val="000000"/>
          <w:rtl/>
        </w:rPr>
        <w:t xml:space="preserve">הרשעה, גם - ואולי אף דווקא - בבית משפט לנוער, מבטאת עמדה עקרונית וערכית ביחס לעבירה שבוצעה. </w:t>
      </w:r>
      <w:r w:rsidRPr="005330C5">
        <w:rPr>
          <w:noProof w:val="0"/>
          <w:color w:val="000000"/>
          <w:rtl/>
        </w:rPr>
        <w:t>חוששני כי אי הרשעת הנאשם עלולה להעביר מסר בלתי ראוי שאין בו די</w:t>
      </w:r>
      <w:r w:rsidRPr="005330C5">
        <w:rPr>
          <w:rFonts w:ascii="David" w:hAnsi="David"/>
          <w:noProof w:val="0"/>
          <w:color w:val="000000"/>
          <w:rtl/>
        </w:rPr>
        <w:t xml:space="preserve"> (וראה </w:t>
      </w:r>
      <w:hyperlink r:id="rId20" w:history="1">
        <w:r w:rsidR="00D64257" w:rsidRPr="00D64257">
          <w:rPr>
            <w:rFonts w:ascii="David" w:hAnsi="David"/>
            <w:b/>
            <w:bCs/>
            <w:noProof w:val="0"/>
            <w:color w:val="0000FF"/>
            <w:u w:val="single"/>
            <w:rtl/>
          </w:rPr>
          <w:t>ע"פ 5831/13</w:t>
        </w:r>
      </w:hyperlink>
      <w:r w:rsidRPr="005330C5">
        <w:rPr>
          <w:rFonts w:ascii="David" w:hAnsi="David"/>
          <w:b/>
          <w:bCs/>
          <w:noProof w:val="0"/>
          <w:color w:val="000000"/>
          <w:rtl/>
        </w:rPr>
        <w:t xml:space="preserve"> </w:t>
      </w:r>
      <w:r w:rsidRPr="005330C5">
        <w:rPr>
          <w:rFonts w:ascii="David" w:hAnsi="David"/>
          <w:noProof w:val="0"/>
          <w:color w:val="000000"/>
          <w:rtl/>
        </w:rPr>
        <w:t>פלוני נ' מדינת ישראל). מצאתי כי ענייננו במקרה מאלה המחויבים בהרשעת הנאשם כאשר לשיטתי, כוחה של ענישה מרתיעה מתבטא פעמים רבות בעצם החותם שבהרשעה כאמירה ההולמת את מעשה העבירה על נסיבותיו.</w:t>
      </w:r>
    </w:p>
    <w:p w14:paraId="49C2E5C2" w14:textId="77777777" w:rsidR="0089638E" w:rsidRPr="005330C5" w:rsidRDefault="0089638E" w:rsidP="005330C5">
      <w:pPr>
        <w:spacing w:after="160" w:line="360" w:lineRule="auto"/>
        <w:jc w:val="both"/>
        <w:rPr>
          <w:rFonts w:ascii="David" w:hAnsi="David"/>
          <w:noProof w:val="0"/>
          <w:color w:val="000000"/>
          <w:rtl/>
        </w:rPr>
      </w:pPr>
      <w:r w:rsidRPr="005330C5">
        <w:rPr>
          <w:rFonts w:ascii="David" w:hAnsi="David"/>
          <w:noProof w:val="0"/>
          <w:color w:val="000000"/>
          <w:rtl/>
        </w:rPr>
        <w:t>עוד  מצאתי לציין כי עתירת המאשימה בעניין אחר, הנדון גם הוא בפניי, וטיעונים לעונש נשמעו זה לצד זה לעונש צופה פני עתיד בלבד, בעניינו של מי שהחזיק החזקה ממשית ומודעת בנשק, גם לה משקל בהחלטתי העונשית.</w:t>
      </w:r>
    </w:p>
    <w:p w14:paraId="54F5282E" w14:textId="77777777" w:rsidR="0089638E" w:rsidRPr="005330C5" w:rsidRDefault="0089638E" w:rsidP="005330C5">
      <w:pPr>
        <w:spacing w:after="160" w:line="360" w:lineRule="auto"/>
        <w:jc w:val="both"/>
        <w:rPr>
          <w:rFonts w:ascii="David" w:hAnsi="David"/>
          <w:noProof w:val="0"/>
          <w:color w:val="000000"/>
          <w:rtl/>
        </w:rPr>
      </w:pPr>
      <w:r w:rsidRPr="005330C5">
        <w:rPr>
          <w:rFonts w:ascii="David" w:hAnsi="David"/>
          <w:noProof w:val="0"/>
          <w:color w:val="000000"/>
          <w:rtl/>
        </w:rPr>
        <w:t xml:space="preserve">אף זאת יש להדגיש, אלמלא היה הנאשם משכיל להתגייס להליך הטיפולי כפי שעשה, על אדני הטיפול שהוצגו בפניי, צפוי היה לענישה מחמירה. </w:t>
      </w:r>
    </w:p>
    <w:p w14:paraId="5C134B58" w14:textId="77777777" w:rsidR="0089638E" w:rsidRPr="005330C5" w:rsidRDefault="0089638E" w:rsidP="005330C5">
      <w:pPr>
        <w:spacing w:after="160" w:line="360" w:lineRule="auto"/>
        <w:jc w:val="both"/>
        <w:rPr>
          <w:rFonts w:ascii="David" w:hAnsi="David"/>
          <w:noProof w:val="0"/>
          <w:color w:val="000000"/>
          <w:rtl/>
        </w:rPr>
      </w:pPr>
      <w:r w:rsidRPr="005330C5">
        <w:rPr>
          <w:rFonts w:ascii="David" w:hAnsi="David"/>
          <w:noProof w:val="0"/>
          <w:color w:val="000000"/>
          <w:rtl/>
        </w:rPr>
        <w:t>לצד אלה, בהינתן נסיבותיו של האירוע, כנטען מפי שני הצדדים ולפיהן לא היה לנאשם חלק בהחזקת הנשק למעט החזקה משפטית, (על אף העובדה כי השליך הנשק מן הגג בדיוק עם הגעת השוטרים), עובדת עונשו של הבגיר – הנאשם העיקרי, ובשים לב לגילו בעת המעשים, תוך שמצאתי לבכר המשך דרכו הטיפולית אשר הצלחתה תוציא החברה כולה נשכרת - מצאתי שלא למצות עמו הדין בהתאם לעתירת המאשימה.</w:t>
      </w:r>
    </w:p>
    <w:p w14:paraId="6B3E589E" w14:textId="77777777" w:rsidR="0089638E" w:rsidRPr="005330C5" w:rsidRDefault="0089638E" w:rsidP="005330C5">
      <w:pPr>
        <w:spacing w:line="360" w:lineRule="auto"/>
        <w:jc w:val="both"/>
        <w:rPr>
          <w:rFonts w:ascii="David" w:hAnsi="David"/>
          <w:b/>
          <w:bCs/>
          <w:noProof w:val="0"/>
          <w:color w:val="000000"/>
          <w:u w:val="single"/>
          <w:rtl/>
        </w:rPr>
      </w:pPr>
      <w:r w:rsidRPr="005330C5">
        <w:rPr>
          <w:rFonts w:ascii="David" w:hAnsi="David"/>
          <w:b/>
          <w:bCs/>
          <w:noProof w:val="0"/>
          <w:color w:val="000000"/>
          <w:u w:val="single"/>
          <w:rtl/>
        </w:rPr>
        <w:t>סופו של יום אני מרשיעה  את הנאשם במיוחס לו וגוזרת דינו כדלקמן:</w:t>
      </w:r>
    </w:p>
    <w:p w14:paraId="51DA8395" w14:textId="77777777" w:rsidR="0089638E" w:rsidRPr="005330C5" w:rsidRDefault="0089638E" w:rsidP="005330C5">
      <w:pPr>
        <w:spacing w:line="360" w:lineRule="auto"/>
        <w:jc w:val="both"/>
        <w:rPr>
          <w:rFonts w:ascii="David" w:hAnsi="David"/>
          <w:noProof w:val="0"/>
          <w:color w:val="000000"/>
          <w:rtl/>
        </w:rPr>
      </w:pPr>
    </w:p>
    <w:p w14:paraId="46F6D168" w14:textId="77777777" w:rsidR="0089638E" w:rsidRPr="005330C5" w:rsidRDefault="0089638E" w:rsidP="005330C5">
      <w:pPr>
        <w:numPr>
          <w:ilvl w:val="0"/>
          <w:numId w:val="1"/>
        </w:numPr>
        <w:spacing w:after="160" w:line="360" w:lineRule="auto"/>
        <w:contextualSpacing/>
        <w:jc w:val="both"/>
        <w:rPr>
          <w:b/>
          <w:bCs/>
          <w:noProof w:val="0"/>
          <w:rtl/>
        </w:rPr>
      </w:pPr>
      <w:r w:rsidRPr="005330C5">
        <w:rPr>
          <w:b/>
          <w:bCs/>
          <w:noProof w:val="0"/>
          <w:rtl/>
        </w:rPr>
        <w:t xml:space="preserve">הנאשם ירצה מאסר בן 3 חודשים היה ויעבור בתוך שנה  מהיום עבירות של החזקת נשק או תחמושת. </w:t>
      </w:r>
    </w:p>
    <w:p w14:paraId="05CC5A4D" w14:textId="77777777" w:rsidR="0089638E" w:rsidRPr="005330C5" w:rsidRDefault="0089638E" w:rsidP="005330C5">
      <w:pPr>
        <w:spacing w:line="360" w:lineRule="auto"/>
        <w:ind w:left="720"/>
        <w:contextualSpacing/>
        <w:jc w:val="both"/>
        <w:rPr>
          <w:rFonts w:ascii="David" w:hAnsi="David"/>
          <w:b/>
          <w:bCs/>
          <w:noProof w:val="0"/>
          <w:color w:val="000000"/>
          <w:rtl/>
        </w:rPr>
      </w:pPr>
    </w:p>
    <w:p w14:paraId="0BB0F572" w14:textId="77777777" w:rsidR="0089638E" w:rsidRPr="005330C5" w:rsidRDefault="0089638E" w:rsidP="005330C5">
      <w:pPr>
        <w:numPr>
          <w:ilvl w:val="0"/>
          <w:numId w:val="1"/>
        </w:numPr>
        <w:spacing w:after="160" w:line="360" w:lineRule="auto"/>
        <w:contextualSpacing/>
        <w:jc w:val="both"/>
        <w:rPr>
          <w:rFonts w:ascii="David" w:hAnsi="David"/>
          <w:b/>
          <w:bCs/>
          <w:noProof w:val="0"/>
          <w:color w:val="000000"/>
          <w:rtl/>
        </w:rPr>
      </w:pPr>
      <w:r w:rsidRPr="005330C5">
        <w:rPr>
          <w:rFonts w:ascii="David" w:hAnsi="David"/>
          <w:b/>
          <w:bCs/>
          <w:noProof w:val="0"/>
          <w:color w:val="000000"/>
          <w:rtl/>
        </w:rPr>
        <w:t xml:space="preserve">הנאשם יתחייב היום כי ימנע במשך שנה מביצוע עבירה הקשורה בנשק . היה ולא - ישלם לטובת אוצר המדינה סך של 5,000 ₪. </w:t>
      </w:r>
    </w:p>
    <w:p w14:paraId="1EC4D61B" w14:textId="77777777" w:rsidR="0089638E" w:rsidRPr="005330C5" w:rsidRDefault="0089638E" w:rsidP="005330C5">
      <w:pPr>
        <w:spacing w:line="360" w:lineRule="auto"/>
        <w:ind w:left="720"/>
        <w:contextualSpacing/>
        <w:jc w:val="both"/>
        <w:rPr>
          <w:rFonts w:ascii="David" w:hAnsi="David"/>
          <w:b/>
          <w:bCs/>
          <w:noProof w:val="0"/>
          <w:color w:val="000000"/>
        </w:rPr>
      </w:pPr>
    </w:p>
    <w:p w14:paraId="00568C6D" w14:textId="77777777" w:rsidR="0089638E" w:rsidRPr="005330C5" w:rsidRDefault="0089638E" w:rsidP="005330C5">
      <w:pPr>
        <w:numPr>
          <w:ilvl w:val="0"/>
          <w:numId w:val="1"/>
        </w:numPr>
        <w:spacing w:after="160" w:line="360" w:lineRule="auto"/>
        <w:contextualSpacing/>
        <w:jc w:val="both"/>
        <w:rPr>
          <w:rFonts w:ascii="David" w:hAnsi="David"/>
          <w:b/>
          <w:bCs/>
          <w:noProof w:val="0"/>
          <w:color w:val="000000"/>
        </w:rPr>
      </w:pPr>
      <w:r w:rsidRPr="005330C5">
        <w:rPr>
          <w:b/>
          <w:bCs/>
          <w:noProof w:val="0"/>
          <w:color w:val="000000"/>
          <w:rtl/>
        </w:rPr>
        <w:t xml:space="preserve">הנאשם יבצע של"צ בהיקף של 140 שעות. </w:t>
      </w:r>
    </w:p>
    <w:p w14:paraId="1355D112" w14:textId="77777777" w:rsidR="0089638E" w:rsidRPr="005330C5" w:rsidRDefault="0089638E" w:rsidP="005330C5">
      <w:pPr>
        <w:spacing w:line="360" w:lineRule="auto"/>
        <w:ind w:left="720"/>
        <w:jc w:val="both"/>
        <w:rPr>
          <w:rFonts w:ascii="David" w:hAnsi="David"/>
          <w:b/>
          <w:bCs/>
          <w:noProof w:val="0"/>
          <w:color w:val="000000"/>
        </w:rPr>
      </w:pPr>
      <w:r w:rsidRPr="005330C5">
        <w:rPr>
          <w:b/>
          <w:bCs/>
          <w:noProof w:val="0"/>
          <w:color w:val="000000"/>
          <w:rtl/>
        </w:rPr>
        <w:t xml:space="preserve">אישור על ביצוע השל"צ יוגש עד ליום 1.3.22. </w:t>
      </w:r>
    </w:p>
    <w:p w14:paraId="5E425E1B" w14:textId="77777777" w:rsidR="0089638E" w:rsidRPr="005330C5" w:rsidRDefault="0089638E" w:rsidP="005330C5">
      <w:pPr>
        <w:spacing w:line="360" w:lineRule="auto"/>
        <w:ind w:left="720"/>
        <w:jc w:val="both"/>
        <w:rPr>
          <w:rFonts w:ascii="David" w:hAnsi="David"/>
          <w:b/>
          <w:bCs/>
          <w:noProof w:val="0"/>
          <w:color w:val="000000"/>
        </w:rPr>
      </w:pPr>
    </w:p>
    <w:p w14:paraId="33210D5A" w14:textId="77777777" w:rsidR="0089638E" w:rsidRPr="005330C5" w:rsidRDefault="0089638E" w:rsidP="005330C5">
      <w:pPr>
        <w:numPr>
          <w:ilvl w:val="0"/>
          <w:numId w:val="1"/>
        </w:numPr>
        <w:spacing w:after="160" w:line="360" w:lineRule="auto"/>
        <w:contextualSpacing/>
        <w:jc w:val="both"/>
        <w:rPr>
          <w:rFonts w:ascii="David" w:hAnsi="David"/>
          <w:b/>
          <w:bCs/>
          <w:noProof w:val="0"/>
          <w:color w:val="000000"/>
          <w:rtl/>
        </w:rPr>
      </w:pPr>
      <w:r w:rsidRPr="005330C5">
        <w:rPr>
          <w:rFonts w:ascii="David" w:hAnsi="David"/>
          <w:b/>
          <w:bCs/>
          <w:noProof w:val="0"/>
          <w:color w:val="000000"/>
          <w:rtl/>
        </w:rPr>
        <w:t xml:space="preserve">אני מעמידה את הנאשם תחת צו מבחן לתקופה בת שישה חודשים מהיום. </w:t>
      </w:r>
    </w:p>
    <w:p w14:paraId="160A160E" w14:textId="77777777" w:rsidR="0089638E" w:rsidRPr="005330C5" w:rsidRDefault="0089638E" w:rsidP="005330C5">
      <w:pPr>
        <w:spacing w:line="360" w:lineRule="auto"/>
        <w:ind w:left="720"/>
        <w:contextualSpacing/>
        <w:jc w:val="both"/>
        <w:rPr>
          <w:b/>
          <w:bCs/>
          <w:noProof w:val="0"/>
          <w:color w:val="000000"/>
          <w:rtl/>
        </w:rPr>
      </w:pPr>
      <w:r w:rsidRPr="005330C5">
        <w:rPr>
          <w:b/>
          <w:bCs/>
          <w:noProof w:val="0"/>
          <w:color w:val="000000"/>
          <w:rtl/>
        </w:rPr>
        <w:t>יידע הנאשם כי היה ולא יעמוד בתנאי הצו (היינו, ישתף פעולה עם שירות המבחן ותוכנית הטיפול, ישוב לבצע עבירות נוספות ו/או לא יבצע את גזר הדין כלשונו, לרבות השל"צ), ניתן יהיה להשיב עניינו לבית המשפט ולגזור דינו בשנית לכל עונש הולם לרבות מאסר בפועל.</w:t>
      </w:r>
    </w:p>
    <w:p w14:paraId="1BFCE131" w14:textId="77777777" w:rsidR="0089638E" w:rsidRPr="005330C5" w:rsidRDefault="0089638E" w:rsidP="005330C5">
      <w:pPr>
        <w:spacing w:line="360" w:lineRule="auto"/>
        <w:jc w:val="both"/>
        <w:rPr>
          <w:b/>
          <w:bCs/>
          <w:noProof w:val="0"/>
          <w:color w:val="000000"/>
          <w:rtl/>
        </w:rPr>
      </w:pPr>
    </w:p>
    <w:p w14:paraId="4F57E0ED" w14:textId="77777777" w:rsidR="0089638E" w:rsidRPr="005330C5" w:rsidRDefault="0089638E" w:rsidP="005330C5">
      <w:pPr>
        <w:spacing w:line="360" w:lineRule="auto"/>
        <w:jc w:val="both"/>
        <w:rPr>
          <w:b/>
          <w:bCs/>
          <w:noProof w:val="0"/>
          <w:color w:val="000000"/>
          <w:rtl/>
        </w:rPr>
      </w:pPr>
      <w:r w:rsidRPr="005330C5">
        <w:rPr>
          <w:b/>
          <w:bCs/>
          <w:noProof w:val="0"/>
          <w:color w:val="000000"/>
          <w:rtl/>
        </w:rPr>
        <w:t>המוצגים להשמדה.</w:t>
      </w:r>
    </w:p>
    <w:p w14:paraId="795CD2EA" w14:textId="77777777" w:rsidR="0089638E" w:rsidRPr="005330C5" w:rsidRDefault="0089638E" w:rsidP="005330C5">
      <w:pPr>
        <w:spacing w:line="360" w:lineRule="auto"/>
        <w:jc w:val="both"/>
        <w:rPr>
          <w:b/>
          <w:bCs/>
          <w:noProof w:val="0"/>
          <w:color w:val="000000"/>
          <w:rtl/>
        </w:rPr>
      </w:pPr>
    </w:p>
    <w:p w14:paraId="79144DA5" w14:textId="77777777" w:rsidR="0089638E" w:rsidRPr="005330C5" w:rsidRDefault="0089638E" w:rsidP="005330C5">
      <w:pPr>
        <w:spacing w:after="160" w:line="360" w:lineRule="auto"/>
        <w:jc w:val="both"/>
        <w:rPr>
          <w:b/>
          <w:bCs/>
          <w:noProof w:val="0"/>
          <w:rtl/>
        </w:rPr>
      </w:pPr>
      <w:r w:rsidRPr="005330C5">
        <w:rPr>
          <w:b/>
          <w:bCs/>
          <w:noProof w:val="0"/>
          <w:rtl/>
        </w:rPr>
        <w:t>זכות ערעור כחוק.</w:t>
      </w:r>
    </w:p>
    <w:p w14:paraId="1AF3AFD9" w14:textId="77777777" w:rsidR="0089638E" w:rsidRPr="005330C5" w:rsidRDefault="0089638E" w:rsidP="005330C5">
      <w:pPr>
        <w:spacing w:after="160" w:line="360" w:lineRule="auto"/>
        <w:jc w:val="both"/>
        <w:rPr>
          <w:b/>
          <w:bCs/>
          <w:noProof w:val="0"/>
          <w:sz w:val="6"/>
          <w:szCs w:val="6"/>
          <w:rtl/>
        </w:rPr>
      </w:pPr>
      <w:r w:rsidRPr="005330C5">
        <w:rPr>
          <w:b/>
          <w:bCs/>
          <w:noProof w:val="0"/>
          <w:sz w:val="6"/>
          <w:szCs w:val="6"/>
          <w:rtl/>
        </w:rPr>
        <w:t>&lt;#7#&gt;</w:t>
      </w:r>
    </w:p>
    <w:p w14:paraId="11ADE9E2" w14:textId="77777777" w:rsidR="0089638E" w:rsidRPr="005330C5" w:rsidRDefault="0089638E" w:rsidP="005330C5">
      <w:pPr>
        <w:rPr>
          <w:noProof w:val="0"/>
          <w:rtl/>
        </w:rPr>
      </w:pPr>
    </w:p>
    <w:p w14:paraId="57F2329B" w14:textId="77777777" w:rsidR="0089638E" w:rsidRPr="005330C5" w:rsidRDefault="0089638E" w:rsidP="005330C5">
      <w:pPr>
        <w:spacing w:line="360" w:lineRule="auto"/>
        <w:rPr>
          <w:noProof w:val="0"/>
          <w:rtl/>
        </w:rPr>
      </w:pPr>
      <w:r w:rsidRPr="005330C5">
        <w:rPr>
          <w:b/>
          <w:bCs/>
          <w:noProof w:val="0"/>
          <w:rtl/>
        </w:rPr>
        <w:t xml:space="preserve">ניתן והודע היום </w:t>
      </w:r>
      <w:r w:rsidRPr="005330C5">
        <w:rPr>
          <w:noProof w:val="0"/>
          <w:rtl/>
        </w:rPr>
        <w:t>י' אב תשפ"א</w:t>
      </w:r>
      <w:r w:rsidRPr="005330C5">
        <w:rPr>
          <w:b/>
          <w:bCs/>
          <w:noProof w:val="0"/>
          <w:rtl/>
        </w:rPr>
        <w:t xml:space="preserve">, </w:t>
      </w:r>
      <w:r w:rsidRPr="005330C5">
        <w:rPr>
          <w:noProof w:val="0"/>
        </w:rPr>
        <w:t>19/07/2021</w:t>
      </w:r>
      <w:r w:rsidRPr="005330C5">
        <w:rPr>
          <w:b/>
          <w:bCs/>
          <w:noProof w:val="0"/>
          <w:rtl/>
        </w:rPr>
        <w:t xml:space="preserve"> במעמד הנוכחים.</w:t>
      </w:r>
    </w:p>
    <w:p w14:paraId="018C444C" w14:textId="77777777" w:rsidR="0089638E" w:rsidRPr="005330C5" w:rsidRDefault="0089638E" w:rsidP="005330C5">
      <w:pPr>
        <w:rPr>
          <w:noProof w:val="0"/>
          <w:rtl/>
        </w:rPr>
      </w:pP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89638E" w:rsidRPr="005330C5" w14:paraId="7E3BDE94" w14:textId="77777777" w:rsidTr="00BD2483">
        <w:trPr>
          <w:trHeight w:val="316"/>
        </w:trPr>
        <w:tc>
          <w:tcPr>
            <w:tcW w:w="3936" w:type="dxa"/>
            <w:tcBorders>
              <w:top w:val="nil"/>
              <w:left w:val="nil"/>
              <w:right w:val="nil"/>
            </w:tcBorders>
            <w:vAlign w:val="bottom"/>
          </w:tcPr>
          <w:p w14:paraId="7D24BEDE" w14:textId="77777777" w:rsidR="0089638E" w:rsidRPr="005330C5" w:rsidRDefault="0089638E" w:rsidP="00BD2483">
            <w:pPr>
              <w:jc w:val="center"/>
              <w:rPr>
                <w:noProof w:val="0"/>
                <w:rtl/>
              </w:rPr>
            </w:pPr>
            <w:r w:rsidRPr="004C6D36">
              <w:pict w14:anchorId="0F7FE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3" o:spid="_x0000_i1026" type="#_x0000_t75" style="width:81.2pt;height:30.55pt;visibility:visible">
                  <v:imagedata r:id="rId21" o:title=""/>
                </v:shape>
              </w:pict>
            </w:r>
          </w:p>
          <w:p w14:paraId="05BB51C0" w14:textId="77777777" w:rsidR="0089638E" w:rsidRPr="005330C5" w:rsidRDefault="0089638E" w:rsidP="00BD2483">
            <w:pPr>
              <w:jc w:val="center"/>
              <w:rPr>
                <w:noProof w:val="0"/>
              </w:rPr>
            </w:pPr>
          </w:p>
        </w:tc>
      </w:tr>
      <w:tr w:rsidR="0089638E" w:rsidRPr="005330C5" w14:paraId="230CF191" w14:textId="77777777" w:rsidTr="00BD2483">
        <w:trPr>
          <w:trHeight w:val="361"/>
        </w:trPr>
        <w:tc>
          <w:tcPr>
            <w:tcW w:w="3936" w:type="dxa"/>
            <w:tcBorders>
              <w:left w:val="nil"/>
              <w:bottom w:val="nil"/>
              <w:right w:val="nil"/>
            </w:tcBorders>
          </w:tcPr>
          <w:p w14:paraId="59D6DDEF" w14:textId="77777777" w:rsidR="0089638E" w:rsidRPr="00BD2483" w:rsidRDefault="0089638E" w:rsidP="00BD2483">
            <w:pPr>
              <w:jc w:val="center"/>
              <w:rPr>
                <w:b/>
                <w:bCs/>
                <w:noProof w:val="0"/>
                <w:rtl/>
              </w:rPr>
            </w:pPr>
            <w:r w:rsidRPr="00BD2483">
              <w:rPr>
                <w:b/>
                <w:bCs/>
                <w:noProof w:val="0"/>
                <w:rtl/>
              </w:rPr>
              <w:t>ליזי פרוינד, שופטת, סגנית הנשיאה</w:t>
            </w:r>
          </w:p>
        </w:tc>
      </w:tr>
    </w:tbl>
    <w:p w14:paraId="429C160D" w14:textId="77777777" w:rsidR="0089638E" w:rsidRPr="005330C5" w:rsidRDefault="0089638E" w:rsidP="005330C5">
      <w:pPr>
        <w:spacing w:line="360" w:lineRule="auto"/>
        <w:jc w:val="both"/>
        <w:rPr>
          <w:noProof w:val="0"/>
          <w:rtl/>
        </w:rPr>
      </w:pPr>
    </w:p>
    <w:p w14:paraId="7906CA69" w14:textId="77777777" w:rsidR="0089638E" w:rsidRPr="005330C5" w:rsidRDefault="0089638E" w:rsidP="005330C5">
      <w:pPr>
        <w:spacing w:line="360" w:lineRule="auto"/>
        <w:jc w:val="both"/>
        <w:rPr>
          <w:noProof w:val="0"/>
          <w:rtl/>
        </w:rPr>
      </w:pPr>
    </w:p>
    <w:p w14:paraId="1490083F" w14:textId="77777777" w:rsidR="0089638E" w:rsidRPr="005330C5" w:rsidRDefault="0089638E" w:rsidP="005330C5">
      <w:pPr>
        <w:spacing w:line="360" w:lineRule="auto"/>
        <w:jc w:val="both"/>
        <w:rPr>
          <w:noProof w:val="0"/>
          <w:rtl/>
        </w:rPr>
      </w:pPr>
      <w:r w:rsidRPr="005330C5">
        <w:rPr>
          <w:noProof w:val="0"/>
          <w:rtl/>
        </w:rPr>
        <w:t xml:space="preserve">ההליך מתורגם על ידי הסנגורית לשפה הערבית לרבות כלל רכיבי גזר הדין. </w:t>
      </w:r>
    </w:p>
    <w:p w14:paraId="74991427" w14:textId="77777777" w:rsidR="0089638E" w:rsidRPr="005330C5" w:rsidRDefault="0089638E" w:rsidP="005330C5">
      <w:pPr>
        <w:spacing w:line="360" w:lineRule="auto"/>
        <w:jc w:val="both"/>
        <w:rPr>
          <w:noProof w:val="0"/>
          <w:rtl/>
        </w:rPr>
      </w:pPr>
    </w:p>
    <w:p w14:paraId="2FA71002" w14:textId="77777777" w:rsidR="0089638E" w:rsidRPr="005330C5" w:rsidRDefault="0089638E" w:rsidP="005330C5">
      <w:pPr>
        <w:spacing w:line="360" w:lineRule="auto"/>
        <w:jc w:val="both"/>
        <w:rPr>
          <w:b/>
          <w:bCs/>
          <w:noProof w:val="0"/>
          <w:u w:val="single"/>
          <w:rtl/>
        </w:rPr>
      </w:pPr>
      <w:r w:rsidRPr="005330C5">
        <w:rPr>
          <w:b/>
          <w:bCs/>
          <w:noProof w:val="0"/>
          <w:u w:val="single"/>
          <w:rtl/>
        </w:rPr>
        <w:t>הנאשם:</w:t>
      </w:r>
    </w:p>
    <w:p w14:paraId="371DEFAC" w14:textId="77777777" w:rsidR="0089638E" w:rsidRPr="005330C5" w:rsidRDefault="0089638E" w:rsidP="005330C5">
      <w:pPr>
        <w:spacing w:line="360" w:lineRule="auto"/>
        <w:jc w:val="both"/>
        <w:rPr>
          <w:noProof w:val="0"/>
          <w:rtl/>
        </w:rPr>
      </w:pPr>
      <w:r w:rsidRPr="005330C5">
        <w:rPr>
          <w:noProof w:val="0"/>
          <w:rtl/>
        </w:rPr>
        <w:t>אני מבין את ההתחייבות - ומתחייב</w:t>
      </w:r>
    </w:p>
    <w:p w14:paraId="12807640" w14:textId="77777777" w:rsidR="0089638E" w:rsidRPr="005330C5" w:rsidRDefault="0089638E" w:rsidP="005330C5">
      <w:pPr>
        <w:spacing w:line="360" w:lineRule="auto"/>
        <w:jc w:val="both"/>
        <w:rPr>
          <w:b/>
          <w:bCs/>
          <w:noProof w:val="0"/>
          <w:u w:val="single"/>
          <w:rtl/>
        </w:rPr>
      </w:pPr>
      <w:r w:rsidRPr="005330C5">
        <w:rPr>
          <w:b/>
          <w:bCs/>
          <w:noProof w:val="0"/>
          <w:u w:val="single"/>
          <w:rtl/>
        </w:rPr>
        <w:t>ב"כ  המאשימה:</w:t>
      </w:r>
    </w:p>
    <w:p w14:paraId="654523C7" w14:textId="77777777" w:rsidR="0089638E" w:rsidRPr="005330C5" w:rsidRDefault="0089638E" w:rsidP="005330C5">
      <w:pPr>
        <w:spacing w:line="360" w:lineRule="auto"/>
        <w:jc w:val="both"/>
        <w:rPr>
          <w:noProof w:val="0"/>
          <w:rtl/>
        </w:rPr>
      </w:pPr>
      <w:r w:rsidRPr="005330C5">
        <w:rPr>
          <w:noProof w:val="0"/>
          <w:rtl/>
        </w:rPr>
        <w:t xml:space="preserve">אבקש עיכוב  ביצוע של שעות השל"צ למשך 45 ימים ולהחזיק בתסקיר שירות המבחן לצורך שקילת הגשת ערעור. </w:t>
      </w:r>
    </w:p>
    <w:p w14:paraId="287A81C8" w14:textId="77777777" w:rsidR="0089638E" w:rsidRPr="005330C5" w:rsidRDefault="0089638E" w:rsidP="005330C5">
      <w:pPr>
        <w:spacing w:line="360" w:lineRule="auto"/>
        <w:jc w:val="both"/>
        <w:rPr>
          <w:noProof w:val="0"/>
          <w:rtl/>
        </w:rPr>
      </w:pPr>
    </w:p>
    <w:p w14:paraId="7ED18C20" w14:textId="77777777" w:rsidR="0089638E" w:rsidRPr="005330C5" w:rsidRDefault="0089638E" w:rsidP="005330C5">
      <w:pPr>
        <w:spacing w:line="360" w:lineRule="auto"/>
        <w:jc w:val="both"/>
        <w:rPr>
          <w:b/>
          <w:bCs/>
          <w:noProof w:val="0"/>
          <w:u w:val="single"/>
          <w:rtl/>
        </w:rPr>
      </w:pPr>
      <w:r w:rsidRPr="005330C5">
        <w:rPr>
          <w:b/>
          <w:bCs/>
          <w:noProof w:val="0"/>
          <w:u w:val="single"/>
          <w:rtl/>
        </w:rPr>
        <w:t>ב"כ הנאשם:</w:t>
      </w:r>
    </w:p>
    <w:p w14:paraId="47F9A9DA" w14:textId="77777777" w:rsidR="0089638E" w:rsidRPr="005330C5" w:rsidRDefault="0089638E" w:rsidP="00D973A9">
      <w:pPr>
        <w:spacing w:line="360" w:lineRule="auto"/>
        <w:jc w:val="both"/>
        <w:rPr>
          <w:noProof w:val="0"/>
          <w:rtl/>
        </w:rPr>
      </w:pPr>
      <w:r w:rsidRPr="005330C5">
        <w:rPr>
          <w:noProof w:val="0"/>
          <w:rtl/>
        </w:rPr>
        <w:t>אבקש לציין מספר טלפון של הנאשם 052-</w:t>
      </w:r>
      <w:r>
        <w:rPr>
          <w:noProof w:val="0"/>
          <w:rtl/>
        </w:rPr>
        <w:t>********</w:t>
      </w:r>
    </w:p>
    <w:p w14:paraId="4FF5DE58" w14:textId="77777777" w:rsidR="0089638E" w:rsidRPr="005330C5" w:rsidRDefault="0089638E" w:rsidP="005330C5">
      <w:pPr>
        <w:spacing w:line="360" w:lineRule="auto"/>
        <w:jc w:val="both"/>
        <w:rPr>
          <w:noProof w:val="0"/>
          <w:rtl/>
        </w:rPr>
      </w:pPr>
    </w:p>
    <w:p w14:paraId="265FC11E" w14:textId="77777777" w:rsidR="0089638E" w:rsidRPr="005330C5" w:rsidRDefault="0089638E" w:rsidP="005330C5">
      <w:pPr>
        <w:spacing w:line="360" w:lineRule="auto"/>
        <w:jc w:val="both"/>
        <w:rPr>
          <w:noProof w:val="0"/>
          <w:rtl/>
        </w:rPr>
      </w:pPr>
    </w:p>
    <w:p w14:paraId="42806BFF" w14:textId="77777777" w:rsidR="0089638E" w:rsidRPr="005330C5" w:rsidRDefault="0089638E" w:rsidP="005330C5">
      <w:pPr>
        <w:spacing w:line="360" w:lineRule="auto"/>
        <w:jc w:val="both"/>
        <w:rPr>
          <w:noProof w:val="0"/>
          <w:sz w:val="6"/>
          <w:szCs w:val="6"/>
          <w:rtl/>
        </w:rPr>
      </w:pPr>
      <w:r w:rsidRPr="005330C5">
        <w:rPr>
          <w:noProof w:val="0"/>
          <w:sz w:val="6"/>
          <w:szCs w:val="6"/>
          <w:rtl/>
        </w:rPr>
        <w:t>&lt;#9#&gt;</w:t>
      </w:r>
    </w:p>
    <w:p w14:paraId="53BBF625" w14:textId="77777777" w:rsidR="0089638E" w:rsidRPr="005330C5" w:rsidRDefault="0089638E" w:rsidP="005330C5">
      <w:pPr>
        <w:spacing w:line="360" w:lineRule="auto"/>
        <w:jc w:val="center"/>
        <w:rPr>
          <w:rFonts w:ascii="Arial" w:hAnsi="Arial"/>
          <w:b/>
          <w:bCs/>
          <w:noProof w:val="0"/>
          <w:sz w:val="28"/>
          <w:szCs w:val="28"/>
          <w:u w:val="single"/>
          <w:rtl/>
        </w:rPr>
      </w:pPr>
      <w:r w:rsidRPr="005330C5">
        <w:rPr>
          <w:rFonts w:ascii="Arial" w:hAnsi="Arial"/>
          <w:b/>
          <w:bCs/>
          <w:noProof w:val="0"/>
          <w:sz w:val="28"/>
          <w:szCs w:val="28"/>
          <w:u w:val="single"/>
          <w:rtl/>
        </w:rPr>
        <w:t>החלטה</w:t>
      </w:r>
    </w:p>
    <w:p w14:paraId="6CDEC17B" w14:textId="77777777" w:rsidR="0089638E" w:rsidRPr="005330C5" w:rsidRDefault="0089638E" w:rsidP="005330C5">
      <w:pPr>
        <w:spacing w:line="360" w:lineRule="auto"/>
        <w:jc w:val="both"/>
        <w:rPr>
          <w:rFonts w:ascii="David" w:hAnsi="David"/>
          <w:noProof w:val="0"/>
          <w:rtl/>
        </w:rPr>
      </w:pPr>
      <w:r w:rsidRPr="005330C5">
        <w:rPr>
          <w:rFonts w:ascii="David" w:hAnsi="David"/>
          <w:noProof w:val="0"/>
          <w:rtl/>
        </w:rPr>
        <w:t xml:space="preserve">ניתן בזאת עיכוב ביצוע השל"צ לתקופה בת 45 ימים וכן, היתר להחזיק בתסקיר שירו תהמבחן לצורך שקילת עמדת המאשימה תוך שתנהג בו בכפוף לכללי החיסיון. </w:t>
      </w:r>
    </w:p>
    <w:p w14:paraId="38B175EF" w14:textId="77777777" w:rsidR="0089638E" w:rsidRPr="005330C5" w:rsidRDefault="0089638E" w:rsidP="005330C5">
      <w:pPr>
        <w:spacing w:line="360" w:lineRule="auto"/>
        <w:jc w:val="both"/>
        <w:rPr>
          <w:rFonts w:ascii="David" w:hAnsi="David"/>
          <w:noProof w:val="0"/>
          <w:rtl/>
        </w:rPr>
      </w:pPr>
    </w:p>
    <w:p w14:paraId="0B061B2F" w14:textId="77777777" w:rsidR="0089638E" w:rsidRPr="005330C5" w:rsidRDefault="0089638E" w:rsidP="005330C5">
      <w:pPr>
        <w:spacing w:line="360" w:lineRule="auto"/>
        <w:jc w:val="both"/>
        <w:rPr>
          <w:rFonts w:ascii="David" w:hAnsi="David"/>
          <w:noProof w:val="0"/>
          <w:sz w:val="6"/>
          <w:szCs w:val="6"/>
          <w:rtl/>
        </w:rPr>
      </w:pPr>
      <w:r w:rsidRPr="005330C5">
        <w:rPr>
          <w:rFonts w:ascii="David" w:hAnsi="David"/>
          <w:noProof w:val="0"/>
          <w:sz w:val="6"/>
          <w:szCs w:val="6"/>
          <w:rtl/>
        </w:rPr>
        <w:t>&lt;#10#&gt;</w:t>
      </w:r>
    </w:p>
    <w:p w14:paraId="044D86E3" w14:textId="77777777" w:rsidR="0089638E" w:rsidRPr="005330C5" w:rsidRDefault="0089638E" w:rsidP="005330C5">
      <w:pPr>
        <w:rPr>
          <w:noProof w:val="0"/>
          <w:rtl/>
        </w:rPr>
      </w:pPr>
    </w:p>
    <w:p w14:paraId="2D3C5768" w14:textId="77777777" w:rsidR="0089638E" w:rsidRPr="005330C5" w:rsidRDefault="0089638E" w:rsidP="005330C5">
      <w:pPr>
        <w:spacing w:line="360" w:lineRule="auto"/>
        <w:rPr>
          <w:noProof w:val="0"/>
          <w:rtl/>
        </w:rPr>
      </w:pPr>
      <w:r w:rsidRPr="005330C5">
        <w:rPr>
          <w:b/>
          <w:bCs/>
          <w:noProof w:val="0"/>
          <w:rtl/>
        </w:rPr>
        <w:t xml:space="preserve">ניתנה והודעה היום </w:t>
      </w:r>
      <w:r w:rsidRPr="005330C5">
        <w:rPr>
          <w:noProof w:val="0"/>
          <w:rtl/>
        </w:rPr>
        <w:t>י' אב תשפ"א</w:t>
      </w:r>
      <w:r w:rsidRPr="005330C5">
        <w:rPr>
          <w:b/>
          <w:bCs/>
          <w:noProof w:val="0"/>
          <w:rtl/>
        </w:rPr>
        <w:t xml:space="preserve">, </w:t>
      </w:r>
      <w:r w:rsidRPr="005330C5">
        <w:rPr>
          <w:noProof w:val="0"/>
        </w:rPr>
        <w:t>19/07/2021</w:t>
      </w:r>
      <w:r w:rsidRPr="005330C5">
        <w:rPr>
          <w:b/>
          <w:bCs/>
          <w:noProof w:val="0"/>
          <w:rtl/>
        </w:rPr>
        <w:t xml:space="preserve"> במעמד הנוכחים.</w:t>
      </w:r>
    </w:p>
    <w:p w14:paraId="7EF1F94F" w14:textId="77777777" w:rsidR="0089638E" w:rsidRPr="005330C5" w:rsidRDefault="0089638E" w:rsidP="005330C5">
      <w:pPr>
        <w:rPr>
          <w:noProof w:val="0"/>
          <w:rtl/>
        </w:rPr>
      </w:pPr>
    </w:p>
    <w:p w14:paraId="23F6454F" w14:textId="77777777" w:rsidR="0089638E" w:rsidRPr="005330C5" w:rsidRDefault="0089638E" w:rsidP="005330C5">
      <w:pPr>
        <w:rPr>
          <w:noProof w:val="0"/>
          <w:rtl/>
        </w:rPr>
      </w:pPr>
    </w:p>
    <w:p w14:paraId="39CDBA0C" w14:textId="77777777" w:rsidR="0089638E" w:rsidRPr="005330C5" w:rsidRDefault="0089638E" w:rsidP="005330C5">
      <w:pPr>
        <w:rPr>
          <w:noProof w:val="0"/>
          <w:rtl/>
        </w:rPr>
      </w:pPr>
    </w:p>
    <w:p w14:paraId="246729BD" w14:textId="77777777" w:rsidR="0089638E" w:rsidRPr="005330C5" w:rsidRDefault="00D64257" w:rsidP="00FD2852">
      <w:pPr>
        <w:spacing w:line="360" w:lineRule="auto"/>
        <w:jc w:val="both"/>
        <w:rPr>
          <w:noProof w:val="0"/>
          <w:rtl/>
        </w:rPr>
      </w:pPr>
      <w:r w:rsidRPr="00D64257">
        <w:rPr>
          <w:rFonts w:cs="Times New Roman"/>
          <w:noProof w:val="0"/>
          <w:color w:val="FFFFFF"/>
          <w:sz w:val="2"/>
          <w:szCs w:val="2"/>
          <w:rtl/>
        </w:rPr>
        <w:t>5129371</w:t>
      </w:r>
      <w:r w:rsidR="0089638E" w:rsidRPr="005330C5">
        <w:rPr>
          <w:rFonts w:cs="Times New Roman"/>
          <w:noProof w:val="0"/>
          <w:rtl/>
        </w:rPr>
        <w:t>הוקלד על ידי אורנה שהרבני</w:t>
      </w:r>
    </w:p>
    <w:p w14:paraId="24B90729" w14:textId="77777777" w:rsidR="0089638E" w:rsidRPr="00D64257" w:rsidRDefault="00D64257">
      <w:pPr>
        <w:spacing w:line="360" w:lineRule="auto"/>
        <w:jc w:val="both"/>
        <w:rPr>
          <w:rFonts w:ascii="Arial" w:hAnsi="Arial"/>
          <w:noProof w:val="0"/>
          <w:color w:val="FFFFFF"/>
          <w:sz w:val="2"/>
          <w:szCs w:val="2"/>
          <w:rtl/>
        </w:rPr>
      </w:pPr>
      <w:r w:rsidRPr="00D64257">
        <w:rPr>
          <w:rFonts w:ascii="Arial" w:hAnsi="Arial"/>
          <w:noProof w:val="0"/>
          <w:color w:val="FFFFFF"/>
          <w:sz w:val="2"/>
          <w:szCs w:val="2"/>
          <w:rtl/>
        </w:rPr>
        <w:t>54678313</w:t>
      </w:r>
    </w:p>
    <w:p w14:paraId="69547F04" w14:textId="77777777" w:rsidR="0089638E" w:rsidRDefault="0089638E">
      <w:pPr>
        <w:spacing w:line="360" w:lineRule="auto"/>
        <w:jc w:val="both"/>
        <w:rPr>
          <w:rFonts w:ascii="Arial" w:hAnsi="Arial"/>
          <w:noProof w:val="0"/>
          <w:rtl/>
        </w:rPr>
      </w:pPr>
    </w:p>
    <w:p w14:paraId="6999B576" w14:textId="77777777" w:rsidR="0089638E" w:rsidRDefault="00D64257" w:rsidP="00FD2852">
      <w:pPr>
        <w:spacing w:line="360" w:lineRule="auto"/>
        <w:jc w:val="both"/>
        <w:rPr>
          <w:rFonts w:ascii="Arial" w:hAnsi="Arial"/>
          <w:noProof w:val="0"/>
          <w:rtl/>
        </w:rPr>
      </w:pPr>
      <w:bookmarkStart w:id="7" w:name="Nitan"/>
      <w:r>
        <w:rPr>
          <w:rFonts w:ascii="Arial" w:hAnsi="Arial"/>
          <w:noProof w:val="0"/>
          <w:rtl/>
        </w:rPr>
        <w:t xml:space="preserve">נוסח מותר בפרסום לבקשת הסנגוריה הציבורית, ניתןהיום, כ"ז כסלו תשפ"ב, 01 דצמבר 2021, </w:t>
      </w:r>
      <w:bookmarkEnd w:id="7"/>
      <w:r w:rsidR="0089638E">
        <w:rPr>
          <w:rFonts w:ascii="Arial" w:hAnsi="Arial"/>
          <w:noProof w:val="0"/>
          <w:rtl/>
        </w:rPr>
        <w:t>בהעדר הצדדים.</w:t>
      </w:r>
    </w:p>
    <w:p w14:paraId="48D3571E" w14:textId="77777777" w:rsidR="0089638E" w:rsidRDefault="0089638E">
      <w:pPr>
        <w:spacing w:line="360" w:lineRule="auto"/>
        <w:jc w:val="both"/>
        <w:rPr>
          <w:rFonts w:ascii="Arial" w:hAnsi="Arial"/>
          <w:noProof w:val="0"/>
          <w:rtl/>
        </w:rPr>
      </w:pPr>
    </w:p>
    <w:p w14:paraId="6EC1FF46" w14:textId="77777777" w:rsidR="0089638E" w:rsidRDefault="0089638E" w:rsidP="00FD1419">
      <w:pPr>
        <w:spacing w:line="360" w:lineRule="auto"/>
        <w:ind w:left="3600" w:firstLine="720"/>
        <w:jc w:val="center"/>
      </w:pPr>
    </w:p>
    <w:p w14:paraId="236B176B" w14:textId="77777777" w:rsidR="0089638E" w:rsidRPr="005C5E24" w:rsidRDefault="005C5E24" w:rsidP="00D64257">
      <w:pPr>
        <w:keepNext/>
        <w:spacing w:line="360" w:lineRule="auto"/>
        <w:rPr>
          <w:rFonts w:ascii="David" w:hAnsi="David"/>
          <w:noProof w:val="0"/>
          <w:color w:val="FFFFFF"/>
          <w:sz w:val="2"/>
          <w:szCs w:val="2"/>
          <w:rtl/>
        </w:rPr>
      </w:pPr>
      <w:r w:rsidRPr="005C5E24">
        <w:rPr>
          <w:rFonts w:ascii="David" w:hAnsi="David"/>
          <w:noProof w:val="0"/>
          <w:color w:val="FFFFFF"/>
          <w:sz w:val="2"/>
          <w:szCs w:val="2"/>
          <w:rtl/>
        </w:rPr>
        <w:t>5129371</w:t>
      </w:r>
    </w:p>
    <w:p w14:paraId="5E6E286E" w14:textId="77777777" w:rsidR="00D64257" w:rsidRDefault="00D64257" w:rsidP="00D64257">
      <w:pPr>
        <w:spacing w:line="360" w:lineRule="auto"/>
        <w:ind w:left="3600" w:firstLine="720"/>
        <w:rPr>
          <w:rFonts w:ascii="Arial" w:hAnsi="Arial"/>
          <w:noProof w:val="0"/>
          <w:rtl/>
        </w:rPr>
      </w:pPr>
    </w:p>
    <w:p w14:paraId="4311E585" w14:textId="77777777" w:rsidR="00D64257" w:rsidRDefault="00D64257" w:rsidP="00D64257">
      <w:pPr>
        <w:spacing w:line="360" w:lineRule="auto"/>
        <w:ind w:left="3600" w:firstLine="720"/>
        <w:jc w:val="center"/>
        <w:rPr>
          <w:rFonts w:ascii="Arial" w:hAnsi="Arial"/>
          <w:noProof w:val="0"/>
          <w:color w:val="0000FF"/>
          <w:u w:val="single"/>
          <w:rtl/>
        </w:rPr>
      </w:pPr>
      <w:hyperlink r:id="rId22" w:history="1">
        <w:r>
          <w:rPr>
            <w:rFonts w:ascii="Arial" w:hAnsi="Arial"/>
            <w:noProof w:val="0"/>
            <w:color w:val="0000FF"/>
            <w:u w:val="single"/>
            <w:rtl/>
          </w:rPr>
          <w:t>בעניין עריכה ושינויים במסמכי פסיקה, חקיקה ועוד באתר נבו – הקש כאן</w:t>
        </w:r>
      </w:hyperlink>
    </w:p>
    <w:p w14:paraId="209EE5D4" w14:textId="77777777" w:rsidR="005C5E24" w:rsidRPr="005C5E24" w:rsidRDefault="005C5E24" w:rsidP="005C5E24">
      <w:pPr>
        <w:keepNext/>
        <w:spacing w:line="360" w:lineRule="auto"/>
        <w:rPr>
          <w:rFonts w:ascii="David" w:hAnsi="David"/>
          <w:noProof w:val="0"/>
          <w:color w:val="000000"/>
          <w:sz w:val="22"/>
          <w:szCs w:val="22"/>
          <w:rtl/>
        </w:rPr>
      </w:pPr>
    </w:p>
    <w:p w14:paraId="0AE3A693" w14:textId="77777777" w:rsidR="005C5E24" w:rsidRPr="005C5E24" w:rsidRDefault="005C5E24" w:rsidP="005C5E24">
      <w:pPr>
        <w:keepNext/>
        <w:spacing w:line="360" w:lineRule="auto"/>
        <w:rPr>
          <w:rFonts w:ascii="David" w:hAnsi="David"/>
          <w:noProof w:val="0"/>
          <w:color w:val="000000"/>
          <w:sz w:val="22"/>
          <w:szCs w:val="22"/>
          <w:rtl/>
        </w:rPr>
      </w:pPr>
      <w:r w:rsidRPr="005C5E24">
        <w:rPr>
          <w:rFonts w:ascii="David" w:hAnsi="David"/>
          <w:noProof w:val="0"/>
          <w:color w:val="000000"/>
          <w:sz w:val="22"/>
          <w:szCs w:val="22"/>
          <w:rtl/>
        </w:rPr>
        <w:t>ליזי פרוינד 54678313-/</w:t>
      </w:r>
    </w:p>
    <w:p w14:paraId="5A79FD7D" w14:textId="77777777" w:rsidR="00D64257" w:rsidRPr="00D64257" w:rsidRDefault="005C5E24" w:rsidP="005C5E24">
      <w:pPr>
        <w:spacing w:line="360" w:lineRule="auto"/>
        <w:ind w:left="3600" w:firstLine="720"/>
        <w:rPr>
          <w:rFonts w:ascii="Arial" w:hAnsi="Arial"/>
          <w:noProof w:val="0"/>
          <w:color w:val="0000FF"/>
          <w:u w:val="single"/>
          <w:rtl/>
        </w:rPr>
      </w:pPr>
      <w:r w:rsidRPr="005C5E24">
        <w:rPr>
          <w:rFonts w:ascii="Arial" w:hAnsi="Arial"/>
          <w:noProof w:val="0"/>
          <w:color w:val="000000"/>
          <w:u w:val="single"/>
          <w:rtl/>
        </w:rPr>
        <w:t>נוסח מסמך זה כפוף לשינויי ניסוח ועריכה</w:t>
      </w:r>
    </w:p>
    <w:sectPr w:rsidR="00D64257" w:rsidRPr="00D64257" w:rsidSect="005C5E24">
      <w:headerReference w:type="even" r:id="rId23"/>
      <w:headerReference w:type="default" r:id="rId24"/>
      <w:footerReference w:type="even" r:id="rId25"/>
      <w:footerReference w:type="default" r:id="rId26"/>
      <w:pgSz w:w="11907" w:h="16840" w:code="9"/>
      <w:pgMar w:top="1701" w:right="1701" w:bottom="2552"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A170B" w14:textId="77777777" w:rsidR="008A3AC2" w:rsidRDefault="008A3AC2">
      <w:r>
        <w:separator/>
      </w:r>
    </w:p>
  </w:endnote>
  <w:endnote w:type="continuationSeparator" w:id="0">
    <w:p w14:paraId="1EDCEEE9" w14:textId="77777777" w:rsidR="008A3AC2" w:rsidRDefault="008A3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F7927" w14:textId="77777777" w:rsidR="005C5E24" w:rsidRDefault="005C5E24" w:rsidP="005C5E2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4F778EC" w14:textId="77777777" w:rsidR="00D64257" w:rsidRPr="005C5E24" w:rsidRDefault="005C5E24" w:rsidP="005C5E24">
    <w:pPr>
      <w:pStyle w:val="a4"/>
      <w:pBdr>
        <w:top w:val="single" w:sz="4" w:space="1" w:color="auto"/>
        <w:between w:val="single" w:sz="4" w:space="0" w:color="auto"/>
      </w:pBdr>
      <w:spacing w:after="60"/>
      <w:jc w:val="center"/>
      <w:rPr>
        <w:rFonts w:ascii="FrankRuehl" w:hAnsi="FrankRuehl" w:cs="FrankRuehl"/>
        <w:color w:val="000000"/>
      </w:rPr>
    </w:pPr>
    <w:r w:rsidRPr="005C5E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8C4C3" w14:textId="77777777" w:rsidR="005C5E24" w:rsidRDefault="005C5E24" w:rsidP="005C5E24">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E3503D">
      <w:rPr>
        <w:rStyle w:val="ab"/>
        <w:rFonts w:ascii="FrankRuehl" w:hAnsi="FrankRuehl" w:cs="FrankRuehl"/>
        <w:rtl/>
      </w:rPr>
      <w:t>1</w:t>
    </w:r>
    <w:r>
      <w:rPr>
        <w:rStyle w:val="ab"/>
        <w:rFonts w:ascii="FrankRuehl" w:hAnsi="FrankRuehl" w:cs="FrankRuehl"/>
        <w:rtl/>
      </w:rPr>
      <w:fldChar w:fldCharType="end"/>
    </w:r>
  </w:p>
  <w:p w14:paraId="6BD141CE" w14:textId="77777777" w:rsidR="0089638E" w:rsidRPr="005C5E24" w:rsidRDefault="005C5E24" w:rsidP="005C5E24">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5C5E24">
      <w:rPr>
        <w:rStyle w:val="ab"/>
        <w:rFonts w:ascii="FrankRuehl" w:hAnsi="FrankRuehl" w:cs="FrankRuehl" w:hint="cs"/>
        <w:color w:val="000000"/>
      </w:rPr>
      <w:pict w14:anchorId="03880F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3C328" w14:textId="77777777" w:rsidR="008A3AC2" w:rsidRDefault="008A3AC2">
      <w:r>
        <w:separator/>
      </w:r>
    </w:p>
  </w:footnote>
  <w:footnote w:type="continuationSeparator" w:id="0">
    <w:p w14:paraId="4CA8354E" w14:textId="77777777" w:rsidR="008A3AC2" w:rsidRDefault="008A3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5219C" w14:textId="77777777" w:rsidR="00D64257" w:rsidRPr="005C5E24" w:rsidRDefault="005C5E24" w:rsidP="005C5E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30285-11-18</w:t>
    </w:r>
    <w:r>
      <w:rPr>
        <w:rFonts w:ascii="David" w:hAnsi="David"/>
        <w:color w:val="000000"/>
        <w:sz w:val="22"/>
        <w:szCs w:val="22"/>
        <w:rtl/>
      </w:rPr>
      <w:tab/>
      <w:t xml:space="preserve"> מדינת ישראל נ' פלוני (קטין)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EF11B" w14:textId="77777777" w:rsidR="0089638E" w:rsidRPr="005C5E24" w:rsidRDefault="005C5E24" w:rsidP="005C5E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30285-11-18</w:t>
    </w:r>
    <w:r>
      <w:rPr>
        <w:rFonts w:ascii="David" w:hAnsi="David"/>
        <w:color w:val="000000"/>
        <w:sz w:val="22"/>
        <w:szCs w:val="22"/>
        <w:rtl/>
      </w:rPr>
      <w:tab/>
      <w:t xml:space="preserve"> מדינת ישראל נ' פלוני (קטין)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037864"/>
    <w:multiLevelType w:val="hybridMultilevel"/>
    <w:tmpl w:val="ACD8529C"/>
    <w:lvl w:ilvl="0" w:tplc="8E9432F2">
      <w:start w:val="1"/>
      <w:numFmt w:val="decimal"/>
      <w:lvlText w:val="%1."/>
      <w:lvlJc w:val="left"/>
      <w:pPr>
        <w:ind w:left="720" w:hanging="360"/>
      </w:pPr>
      <w:rPr>
        <w:rFonts w:ascii="David" w:hAnsi="David" w:cs="David" w:hint="default"/>
        <w:b/>
        <w:bCs/>
        <w:sz w:val="2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6992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226B"/>
    <w:rsid w:val="00005C8B"/>
    <w:rsid w:val="00044924"/>
    <w:rsid w:val="000564AB"/>
    <w:rsid w:val="00064FBD"/>
    <w:rsid w:val="0007334A"/>
    <w:rsid w:val="00082AB2"/>
    <w:rsid w:val="00096AF7"/>
    <w:rsid w:val="000B344B"/>
    <w:rsid w:val="000C3B0F"/>
    <w:rsid w:val="000E3AF1"/>
    <w:rsid w:val="000F0BC8"/>
    <w:rsid w:val="00107E6D"/>
    <w:rsid w:val="0011194C"/>
    <w:rsid w:val="0011424C"/>
    <w:rsid w:val="00144D2A"/>
    <w:rsid w:val="0014653E"/>
    <w:rsid w:val="00152347"/>
    <w:rsid w:val="00180519"/>
    <w:rsid w:val="001C4003"/>
    <w:rsid w:val="001D4DBF"/>
    <w:rsid w:val="002265FF"/>
    <w:rsid w:val="002C344E"/>
    <w:rsid w:val="00307A6A"/>
    <w:rsid w:val="00307C40"/>
    <w:rsid w:val="00320433"/>
    <w:rsid w:val="0033597A"/>
    <w:rsid w:val="00362612"/>
    <w:rsid w:val="0036743F"/>
    <w:rsid w:val="003715DD"/>
    <w:rsid w:val="00387BDD"/>
    <w:rsid w:val="003957A6"/>
    <w:rsid w:val="003A4521"/>
    <w:rsid w:val="0040096C"/>
    <w:rsid w:val="0043125D"/>
    <w:rsid w:val="0043502B"/>
    <w:rsid w:val="00483F59"/>
    <w:rsid w:val="004C4BDF"/>
    <w:rsid w:val="004C6D36"/>
    <w:rsid w:val="004D1187"/>
    <w:rsid w:val="004E1987"/>
    <w:rsid w:val="004E6E3C"/>
    <w:rsid w:val="005268F6"/>
    <w:rsid w:val="00530283"/>
    <w:rsid w:val="005330C5"/>
    <w:rsid w:val="00543B7B"/>
    <w:rsid w:val="00547DB7"/>
    <w:rsid w:val="00562C1E"/>
    <w:rsid w:val="005C5E24"/>
    <w:rsid w:val="005F3CFD"/>
    <w:rsid w:val="00605740"/>
    <w:rsid w:val="00606A06"/>
    <w:rsid w:val="00622BAA"/>
    <w:rsid w:val="006306CF"/>
    <w:rsid w:val="00671BD5"/>
    <w:rsid w:val="006805C1"/>
    <w:rsid w:val="00686C21"/>
    <w:rsid w:val="006931C1"/>
    <w:rsid w:val="00694556"/>
    <w:rsid w:val="006B7812"/>
    <w:rsid w:val="006D3149"/>
    <w:rsid w:val="006D3B31"/>
    <w:rsid w:val="006E1A53"/>
    <w:rsid w:val="00704EDA"/>
    <w:rsid w:val="00735A48"/>
    <w:rsid w:val="00753019"/>
    <w:rsid w:val="00795365"/>
    <w:rsid w:val="007E6115"/>
    <w:rsid w:val="007F4609"/>
    <w:rsid w:val="008176A1"/>
    <w:rsid w:val="00820005"/>
    <w:rsid w:val="00844318"/>
    <w:rsid w:val="00875D12"/>
    <w:rsid w:val="0089638E"/>
    <w:rsid w:val="00896889"/>
    <w:rsid w:val="008A3AC2"/>
    <w:rsid w:val="008C5714"/>
    <w:rsid w:val="008D10B2"/>
    <w:rsid w:val="00903896"/>
    <w:rsid w:val="00903EFB"/>
    <w:rsid w:val="00906F3D"/>
    <w:rsid w:val="00967DFF"/>
    <w:rsid w:val="00994341"/>
    <w:rsid w:val="00A3392B"/>
    <w:rsid w:val="00A94B64"/>
    <w:rsid w:val="00AA3229"/>
    <w:rsid w:val="00AA7596"/>
    <w:rsid w:val="00AC3B7B"/>
    <w:rsid w:val="00AC5209"/>
    <w:rsid w:val="00AE7752"/>
    <w:rsid w:val="00AF7190"/>
    <w:rsid w:val="00AF7FDA"/>
    <w:rsid w:val="00B17E8A"/>
    <w:rsid w:val="00B80CBD"/>
    <w:rsid w:val="00B86096"/>
    <w:rsid w:val="00BA517C"/>
    <w:rsid w:val="00BB3D05"/>
    <w:rsid w:val="00BB73BE"/>
    <w:rsid w:val="00BC4399"/>
    <w:rsid w:val="00BD2483"/>
    <w:rsid w:val="00BF1908"/>
    <w:rsid w:val="00C22D93"/>
    <w:rsid w:val="00C34482"/>
    <w:rsid w:val="00C44914"/>
    <w:rsid w:val="00C50A9F"/>
    <w:rsid w:val="00C642FA"/>
    <w:rsid w:val="00CC4136"/>
    <w:rsid w:val="00CC7622"/>
    <w:rsid w:val="00CF7723"/>
    <w:rsid w:val="00D0743D"/>
    <w:rsid w:val="00D25D53"/>
    <w:rsid w:val="00D27982"/>
    <w:rsid w:val="00D33B86"/>
    <w:rsid w:val="00D50785"/>
    <w:rsid w:val="00D53924"/>
    <w:rsid w:val="00D55D0C"/>
    <w:rsid w:val="00D64257"/>
    <w:rsid w:val="00D96D8C"/>
    <w:rsid w:val="00D973A9"/>
    <w:rsid w:val="00DA6649"/>
    <w:rsid w:val="00E1283A"/>
    <w:rsid w:val="00E25884"/>
    <w:rsid w:val="00E3503D"/>
    <w:rsid w:val="00E5426A"/>
    <w:rsid w:val="00E54642"/>
    <w:rsid w:val="00E86CEB"/>
    <w:rsid w:val="00EA2333"/>
    <w:rsid w:val="00EC37E9"/>
    <w:rsid w:val="00EC6B0C"/>
    <w:rsid w:val="00F13623"/>
    <w:rsid w:val="00F84B6D"/>
    <w:rsid w:val="00FD1419"/>
    <w:rsid w:val="00FD2852"/>
    <w:rsid w:val="00FD79E4"/>
    <w:rsid w:val="00FE2894"/>
    <w:rsid w:val="00FE4BC9"/>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9B7F60"/>
  <w15:chartTrackingRefBased/>
  <w15:docId w15:val="{47BA3197-27D5-4003-BCB6-3C8C9EBE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רשת טבלה1"/>
    <w:rsid w:val="005330C5"/>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64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7319804"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nevo.co.il/law/70301/144.a" TargetMode="External"/><Relationship Id="rId17" Type="http://schemas.openxmlformats.org/officeDocument/2006/relationships/hyperlink" Target="http://www.nevo.co.il/case/23750625"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vo.co.il/case/27171364" TargetMode="External"/><Relationship Id="rId20" Type="http://schemas.openxmlformats.org/officeDocument/2006/relationships/hyperlink" Target="http://www.nevo.co.il/case/10442662"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case/27309272"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7319804" TargetMode="Externa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case/27292055"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1998</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11968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3211382</vt:i4>
      </vt:variant>
      <vt:variant>
        <vt:i4>36</vt:i4>
      </vt:variant>
      <vt:variant>
        <vt:i4>0</vt:i4>
      </vt:variant>
      <vt:variant>
        <vt:i4>5</vt:i4>
      </vt:variant>
      <vt:variant>
        <vt:lpwstr>http://www.nevo.co.il/case/10442662</vt:lpwstr>
      </vt:variant>
      <vt:variant>
        <vt:lpwstr/>
      </vt:variant>
      <vt:variant>
        <vt:i4>3670138</vt:i4>
      </vt:variant>
      <vt:variant>
        <vt:i4>33</vt:i4>
      </vt:variant>
      <vt:variant>
        <vt:i4>0</vt:i4>
      </vt:variant>
      <vt:variant>
        <vt:i4>5</vt:i4>
      </vt:variant>
      <vt:variant>
        <vt:lpwstr>http://www.nevo.co.il/case/27319804</vt:lpwstr>
      </vt:variant>
      <vt:variant>
        <vt:lpwstr/>
      </vt:variant>
      <vt:variant>
        <vt:i4>3670138</vt:i4>
      </vt:variant>
      <vt:variant>
        <vt:i4>30</vt:i4>
      </vt:variant>
      <vt:variant>
        <vt:i4>0</vt:i4>
      </vt:variant>
      <vt:variant>
        <vt:i4>5</vt:i4>
      </vt:variant>
      <vt:variant>
        <vt:lpwstr>http://www.nevo.co.il/case/27319804</vt:lpwstr>
      </vt:variant>
      <vt:variant>
        <vt:lpwstr/>
      </vt:variant>
      <vt:variant>
        <vt:i4>3604596</vt:i4>
      </vt:variant>
      <vt:variant>
        <vt:i4>27</vt:i4>
      </vt:variant>
      <vt:variant>
        <vt:i4>0</vt:i4>
      </vt:variant>
      <vt:variant>
        <vt:i4>5</vt:i4>
      </vt:variant>
      <vt:variant>
        <vt:lpwstr>http://www.nevo.co.il/case/23750625</vt:lpwstr>
      </vt:variant>
      <vt:variant>
        <vt:lpwstr/>
      </vt:variant>
      <vt:variant>
        <vt:i4>3407991</vt:i4>
      </vt:variant>
      <vt:variant>
        <vt:i4>24</vt:i4>
      </vt:variant>
      <vt:variant>
        <vt:i4>0</vt:i4>
      </vt:variant>
      <vt:variant>
        <vt:i4>5</vt:i4>
      </vt:variant>
      <vt:variant>
        <vt:lpwstr>http://www.nevo.co.il/case/27171364</vt:lpwstr>
      </vt:variant>
      <vt:variant>
        <vt:lpwstr/>
      </vt:variant>
      <vt:variant>
        <vt:i4>4128881</vt:i4>
      </vt:variant>
      <vt:variant>
        <vt:i4>21</vt:i4>
      </vt:variant>
      <vt:variant>
        <vt:i4>0</vt:i4>
      </vt:variant>
      <vt:variant>
        <vt:i4>5</vt:i4>
      </vt:variant>
      <vt:variant>
        <vt:lpwstr>http://www.nevo.co.il/case/27309272</vt:lpwstr>
      </vt:variant>
      <vt:variant>
        <vt:lpwstr/>
      </vt:variant>
      <vt:variant>
        <vt:i4>3604602</vt:i4>
      </vt:variant>
      <vt:variant>
        <vt:i4>18</vt:i4>
      </vt:variant>
      <vt:variant>
        <vt:i4>0</vt:i4>
      </vt:variant>
      <vt:variant>
        <vt:i4>5</vt:i4>
      </vt:variant>
      <vt:variant>
        <vt:lpwstr>http://www.nevo.co.il/case/27292055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APPELLANT">
    <vt:lpwstr>מדינת ישראל</vt:lpwstr>
  </property>
  <property fmtid="{D5CDD505-2E9C-101B-9397-08002B2CF9AE}" pid="5" name="APPELLEE">
    <vt:lpwstr>פלוני (קטין)</vt:lpwstr>
  </property>
  <property fmtid="{D5CDD505-2E9C-101B-9397-08002B2CF9AE}" pid="6" name="LAWYER">
    <vt:lpwstr>עמית אלייתים;אסיל מקאדלה</vt:lpwstr>
  </property>
  <property fmtid="{D5CDD505-2E9C-101B-9397-08002B2CF9AE}" pid="7" name="DATE">
    <vt:lpwstr>20211201</vt:lpwstr>
  </property>
  <property fmtid="{D5CDD505-2E9C-101B-9397-08002B2CF9AE}" pid="8" name="TYPE_N_DATE">
    <vt:lpwstr>38020211201</vt:lpwstr>
  </property>
  <property fmtid="{D5CDD505-2E9C-101B-9397-08002B2CF9AE}" pid="9" name="WORDNUMPAGES">
    <vt:lpwstr>8</vt:lpwstr>
  </property>
  <property fmtid="{D5CDD505-2E9C-101B-9397-08002B2CF9AE}" pid="10" name="TYPE_ABS_DATE">
    <vt:lpwstr>380020211201</vt:lpwstr>
  </property>
  <property fmtid="{D5CDD505-2E9C-101B-9397-08002B2CF9AE}" pid="11" name="CITY">
    <vt:lpwstr>חד'</vt:lpwstr>
  </property>
  <property fmtid="{D5CDD505-2E9C-101B-9397-08002B2CF9AE}" pid="12" name="NEWPROC">
    <vt:lpwstr>תפ</vt:lpwstr>
  </property>
  <property fmtid="{D5CDD505-2E9C-101B-9397-08002B2CF9AE}" pid="13" name="NEWPARTA">
    <vt:lpwstr>30285</vt:lpwstr>
  </property>
  <property fmtid="{D5CDD505-2E9C-101B-9397-08002B2CF9AE}" pid="14" name="NEWPARTB">
    <vt:lpwstr>11</vt:lpwstr>
  </property>
  <property fmtid="{D5CDD505-2E9C-101B-9397-08002B2CF9AE}" pid="15" name="NEWPARTC">
    <vt:lpwstr>18</vt:lpwstr>
  </property>
  <property fmtid="{D5CDD505-2E9C-101B-9397-08002B2CF9AE}" pid="16" name="JUDGE">
    <vt:lpwstr>ליזי פרוינד</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27292055;27309272;27171364;23750625;27319804:2;10442662</vt:lpwstr>
  </property>
  <property fmtid="{D5CDD505-2E9C-101B-9397-08002B2CF9AE}" pid="36" name="LAWLISTTMP1">
    <vt:lpwstr>70301/144.a:2</vt:lpwstr>
  </property>
</Properties>
</file>