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B6625B" w:rsidRPr="00143496" w14:paraId="759C77B3" w14:textId="77777777" w:rsidTr="00BD0478">
        <w:trPr>
          <w:gridAfter w:val="1"/>
          <w:wAfter w:w="99" w:type="dxa"/>
          <w:trHeight w:hRule="exact" w:val="704"/>
          <w:jc w:val="center"/>
        </w:trPr>
        <w:tc>
          <w:tcPr>
            <w:tcW w:w="8721" w:type="dxa"/>
            <w:gridSpan w:val="4"/>
          </w:tcPr>
          <w:p w14:paraId="33F0DFA2" w14:textId="77777777" w:rsidR="00B6625B" w:rsidRPr="00143496" w:rsidRDefault="00B6625B" w:rsidP="002B68F3">
            <w:pPr>
              <w:pStyle w:val="a3"/>
              <w:jc w:val="center"/>
              <w:rPr>
                <w:rFonts w:ascii="Tahoma" w:hAnsi="Tahoma" w:cs="Tahoma"/>
                <w:b/>
                <w:bCs/>
                <w:noProof w:val="0"/>
                <w:color w:val="000080"/>
                <w:rtl/>
              </w:rPr>
            </w:pPr>
            <w:bookmarkStart w:id="0" w:name="FirstLawyer"/>
            <w:bookmarkStart w:id="1" w:name="LastJudge"/>
            <w:r w:rsidRPr="00143496">
              <w:rPr>
                <w:rFonts w:ascii="Tahoma" w:hAnsi="Tahoma" w:cs="Tahoma"/>
                <w:b/>
                <w:bCs/>
                <w:noProof w:val="0"/>
                <w:color w:val="000080"/>
                <w:rtl/>
              </w:rPr>
              <w:t>בית משפט השלום בבאר שבע</w:t>
            </w:r>
          </w:p>
          <w:p w14:paraId="3AC012C2" w14:textId="77777777" w:rsidR="00B6625B" w:rsidRPr="00143496" w:rsidRDefault="00B6625B" w:rsidP="002B68F3">
            <w:pPr>
              <w:pStyle w:val="a3"/>
              <w:jc w:val="center"/>
              <w:rPr>
                <w:rFonts w:ascii="Tahoma" w:hAnsi="Tahoma" w:cs="Tahoma"/>
                <w:noProof w:val="0"/>
                <w:color w:val="000080"/>
                <w:rtl/>
              </w:rPr>
            </w:pPr>
          </w:p>
        </w:tc>
      </w:tr>
      <w:tr w:rsidR="00B6625B" w:rsidRPr="00143496" w14:paraId="38D1B9D5" w14:textId="77777777" w:rsidTr="00BD0478">
        <w:trPr>
          <w:gridAfter w:val="1"/>
          <w:wAfter w:w="99" w:type="dxa"/>
          <w:trHeight w:val="337"/>
          <w:jc w:val="center"/>
        </w:trPr>
        <w:tc>
          <w:tcPr>
            <w:tcW w:w="4473" w:type="dxa"/>
            <w:gridSpan w:val="3"/>
          </w:tcPr>
          <w:p w14:paraId="0EA900AC" w14:textId="77777777" w:rsidR="00B6625B" w:rsidRPr="00143496" w:rsidRDefault="00B6625B" w:rsidP="002B68F3">
            <w:pPr>
              <w:rPr>
                <w:b/>
                <w:bCs/>
                <w:noProof w:val="0"/>
                <w:sz w:val="26"/>
                <w:szCs w:val="26"/>
                <w:rtl/>
              </w:rPr>
            </w:pPr>
          </w:p>
        </w:tc>
        <w:tc>
          <w:tcPr>
            <w:tcW w:w="4248" w:type="dxa"/>
          </w:tcPr>
          <w:p w14:paraId="048B76AB" w14:textId="77777777" w:rsidR="00B6625B" w:rsidRPr="00143496" w:rsidRDefault="00B6625B" w:rsidP="002B68F3">
            <w:pPr>
              <w:pStyle w:val="a3"/>
              <w:jc w:val="right"/>
              <w:rPr>
                <w:b/>
                <w:bCs/>
                <w:noProof w:val="0"/>
                <w:sz w:val="26"/>
                <w:szCs w:val="26"/>
                <w:rtl/>
              </w:rPr>
            </w:pPr>
            <w:r w:rsidRPr="00143496">
              <w:rPr>
                <w:rFonts w:hint="cs"/>
                <w:b/>
                <w:bCs/>
                <w:noProof w:val="0"/>
                <w:sz w:val="26"/>
                <w:szCs w:val="26"/>
                <w:rtl/>
              </w:rPr>
              <w:t>י"א סיוון תשפ"ג</w:t>
            </w:r>
          </w:p>
          <w:p w14:paraId="755429BA" w14:textId="77777777" w:rsidR="00B6625B" w:rsidRPr="00143496" w:rsidRDefault="00B6625B" w:rsidP="002B68F3">
            <w:pPr>
              <w:pStyle w:val="a3"/>
              <w:jc w:val="right"/>
              <w:rPr>
                <w:b/>
                <w:bCs/>
                <w:noProof w:val="0"/>
                <w:sz w:val="26"/>
                <w:szCs w:val="26"/>
                <w:rtl/>
              </w:rPr>
            </w:pPr>
            <w:r w:rsidRPr="00143496">
              <w:rPr>
                <w:rFonts w:hint="cs"/>
                <w:b/>
                <w:bCs/>
                <w:noProof w:val="0"/>
                <w:sz w:val="26"/>
                <w:szCs w:val="26"/>
                <w:rtl/>
              </w:rPr>
              <w:t>31 מאי 2023</w:t>
            </w:r>
          </w:p>
        </w:tc>
      </w:tr>
      <w:tr w:rsidR="00B6625B" w:rsidRPr="00143496" w14:paraId="31131AAD" w14:textId="77777777" w:rsidTr="00BD0478">
        <w:trPr>
          <w:gridAfter w:val="1"/>
          <w:wAfter w:w="99" w:type="dxa"/>
          <w:trHeight w:val="337"/>
          <w:jc w:val="center"/>
        </w:trPr>
        <w:tc>
          <w:tcPr>
            <w:tcW w:w="8721" w:type="dxa"/>
            <w:gridSpan w:val="4"/>
          </w:tcPr>
          <w:p w14:paraId="60D3048E" w14:textId="77777777" w:rsidR="00B6625B" w:rsidRPr="00143496" w:rsidRDefault="00143496" w:rsidP="002B68F3">
            <w:pPr>
              <w:rPr>
                <w:b/>
                <w:bCs/>
                <w:noProof w:val="0"/>
                <w:sz w:val="26"/>
                <w:szCs w:val="26"/>
                <w:rtl/>
              </w:rPr>
            </w:pPr>
            <w:hyperlink r:id="rId7" w:history="1">
              <w:r w:rsidRPr="00143496">
                <w:rPr>
                  <w:b/>
                  <w:bCs/>
                  <w:noProof w:val="0"/>
                  <w:color w:val="0000FF"/>
                  <w:sz w:val="26"/>
                  <w:szCs w:val="26"/>
                  <w:u w:val="single"/>
                  <w:rtl/>
                </w:rPr>
                <w:t>ת"פ 56900-11-18</w:t>
              </w:r>
            </w:hyperlink>
            <w:r w:rsidR="00B6625B" w:rsidRPr="00143496">
              <w:rPr>
                <w:b/>
                <w:bCs/>
                <w:noProof w:val="0"/>
                <w:sz w:val="26"/>
                <w:szCs w:val="26"/>
                <w:rtl/>
              </w:rPr>
              <w:t xml:space="preserve"> מדינת ישראל נ' אלקטנאני</w:t>
            </w:r>
          </w:p>
          <w:p w14:paraId="1A62B62C" w14:textId="77777777" w:rsidR="00B6625B" w:rsidRPr="00143496" w:rsidRDefault="00B6625B" w:rsidP="002B68F3">
            <w:pPr>
              <w:rPr>
                <w:rtl/>
              </w:rPr>
            </w:pPr>
          </w:p>
          <w:p w14:paraId="57F36FC1" w14:textId="77777777" w:rsidR="00B6625B" w:rsidRPr="00143496" w:rsidRDefault="00B6625B" w:rsidP="002B68F3">
            <w:pPr>
              <w:rPr>
                <w:rtl/>
              </w:rPr>
            </w:pPr>
            <w:r w:rsidRPr="00143496">
              <w:rPr>
                <w:rFonts w:hint="cs"/>
                <w:sz w:val="20"/>
                <w:szCs w:val="20"/>
                <w:rtl/>
              </w:rPr>
              <w:t>תיק חיצוני</w:t>
            </w:r>
            <w:r w:rsidRPr="00143496">
              <w:rPr>
                <w:rFonts w:hint="cs"/>
                <w:rtl/>
              </w:rPr>
              <w:t xml:space="preserve">: </w:t>
            </w:r>
            <w:r w:rsidRPr="00143496">
              <w:rPr>
                <w:sz w:val="20"/>
                <w:szCs w:val="20"/>
              </w:rPr>
              <w:t>7009/18</w:t>
            </w:r>
          </w:p>
        </w:tc>
      </w:tr>
      <w:tr w:rsidR="00B6625B" w:rsidRPr="00143496" w14:paraId="70E93363" w14:textId="77777777" w:rsidTr="00BD0478">
        <w:tblPrEx>
          <w:tblLook w:val="01E0" w:firstRow="1" w:lastRow="1" w:firstColumn="1" w:lastColumn="1" w:noHBand="0" w:noVBand="0"/>
        </w:tblPrEx>
        <w:trPr>
          <w:jc w:val="center"/>
        </w:trPr>
        <w:tc>
          <w:tcPr>
            <w:tcW w:w="743" w:type="dxa"/>
            <w:shd w:val="clear" w:color="auto" w:fill="auto"/>
          </w:tcPr>
          <w:p w14:paraId="44F33757" w14:textId="77777777" w:rsidR="00B6625B" w:rsidRPr="00143496" w:rsidRDefault="00B6625B" w:rsidP="00B6625B">
            <w:pPr>
              <w:jc w:val="both"/>
              <w:rPr>
                <w:rFonts w:ascii="Arial" w:hAnsi="Arial"/>
                <w:b/>
                <w:bCs/>
              </w:rPr>
            </w:pPr>
            <w:r w:rsidRPr="00143496">
              <w:rPr>
                <w:noProof w:val="0"/>
                <w:rtl/>
              </w:rPr>
              <w:t xml:space="preserve"> </w:t>
            </w:r>
            <w:r w:rsidRPr="00143496">
              <w:rPr>
                <w:rFonts w:ascii="Arial" w:hAnsi="Arial" w:hint="cs"/>
                <w:b/>
                <w:bCs/>
                <w:rtl/>
              </w:rPr>
              <w:t>לפני</w:t>
            </w:r>
          </w:p>
        </w:tc>
        <w:tc>
          <w:tcPr>
            <w:tcW w:w="8077" w:type="dxa"/>
            <w:gridSpan w:val="4"/>
            <w:shd w:val="clear" w:color="auto" w:fill="auto"/>
          </w:tcPr>
          <w:p w14:paraId="419ECBF0" w14:textId="77777777" w:rsidR="00B6625B" w:rsidRPr="00143496" w:rsidRDefault="00B6625B" w:rsidP="002B68F3">
            <w:pPr>
              <w:rPr>
                <w:rFonts w:ascii="Arial" w:hAnsi="Arial"/>
                <w:b/>
                <w:bCs/>
                <w:rtl/>
              </w:rPr>
            </w:pPr>
            <w:r w:rsidRPr="00143496">
              <w:rPr>
                <w:rFonts w:ascii="Arial" w:hAnsi="Arial" w:hint="cs"/>
                <w:b/>
                <w:bCs/>
                <w:rtl/>
              </w:rPr>
              <w:t>כב' ה</w:t>
            </w:r>
            <w:r w:rsidRPr="00143496">
              <w:rPr>
                <w:rFonts w:ascii="Arial" w:hAnsi="Arial"/>
                <w:b/>
                <w:bCs/>
                <w:rtl/>
              </w:rPr>
              <w:t>שופט</w:t>
            </w:r>
            <w:r w:rsidRPr="00143496">
              <w:rPr>
                <w:rFonts w:ascii="Arial" w:hAnsi="Arial" w:hint="cs"/>
                <w:b/>
                <w:bCs/>
                <w:rtl/>
              </w:rPr>
              <w:t xml:space="preserve">  </w:t>
            </w:r>
            <w:r w:rsidRPr="00143496">
              <w:rPr>
                <w:rFonts w:ascii="Arial" w:hAnsi="Arial"/>
                <w:b/>
                <w:bCs/>
                <w:rtl/>
              </w:rPr>
              <w:t>רון סולקין</w:t>
            </w:r>
          </w:p>
          <w:p w14:paraId="04028D09" w14:textId="77777777" w:rsidR="00B6625B" w:rsidRPr="00143496" w:rsidRDefault="00B6625B" w:rsidP="002B68F3">
            <w:pPr>
              <w:rPr>
                <w:rFonts w:ascii="Arial" w:hAnsi="Arial" w:cs="FrankRuehl"/>
                <w:sz w:val="28"/>
                <w:szCs w:val="28"/>
                <w:highlight w:val="yellow"/>
              </w:rPr>
            </w:pPr>
          </w:p>
        </w:tc>
      </w:tr>
      <w:tr w:rsidR="00B6625B" w:rsidRPr="00143496" w14:paraId="54CA12F4" w14:textId="77777777" w:rsidTr="00BD0478">
        <w:tblPrEx>
          <w:tblLook w:val="01E0" w:firstRow="1" w:lastRow="1" w:firstColumn="1" w:lastColumn="1" w:noHBand="0" w:noVBand="0"/>
        </w:tblPrEx>
        <w:trPr>
          <w:jc w:val="center"/>
        </w:trPr>
        <w:tc>
          <w:tcPr>
            <w:tcW w:w="3249" w:type="dxa"/>
            <w:gridSpan w:val="2"/>
            <w:shd w:val="clear" w:color="auto" w:fill="auto"/>
          </w:tcPr>
          <w:p w14:paraId="3D6541BE" w14:textId="77777777" w:rsidR="00B6625B" w:rsidRPr="00143496" w:rsidRDefault="00B6625B" w:rsidP="00B6625B">
            <w:pPr>
              <w:bidi w:val="0"/>
              <w:jc w:val="right"/>
              <w:rPr>
                <w:rFonts w:ascii="Arial" w:hAnsi="Arial"/>
                <w:b/>
                <w:bCs/>
                <w:noProof w:val="0"/>
                <w:sz w:val="26"/>
                <w:szCs w:val="26"/>
              </w:rPr>
            </w:pPr>
            <w:bookmarkStart w:id="2" w:name="FirstAppellant"/>
          </w:p>
          <w:p w14:paraId="7097FBB3" w14:textId="77777777" w:rsidR="00B6625B" w:rsidRPr="00143496" w:rsidRDefault="00B6625B" w:rsidP="00B6625B">
            <w:pPr>
              <w:bidi w:val="0"/>
              <w:jc w:val="right"/>
              <w:rPr>
                <w:rFonts w:ascii="Arial" w:hAnsi="Arial"/>
                <w:b/>
                <w:bCs/>
                <w:noProof w:val="0"/>
                <w:sz w:val="26"/>
                <w:szCs w:val="26"/>
                <w:rtl/>
              </w:rPr>
            </w:pPr>
            <w:r w:rsidRPr="00143496">
              <w:rPr>
                <w:rFonts w:ascii="Arial" w:hAnsi="Arial" w:hint="cs"/>
                <w:b/>
                <w:bCs/>
                <w:noProof w:val="0"/>
                <w:sz w:val="26"/>
                <w:szCs w:val="26"/>
                <w:rtl/>
              </w:rPr>
              <w:t>המאשימה</w:t>
            </w:r>
          </w:p>
        </w:tc>
        <w:tc>
          <w:tcPr>
            <w:tcW w:w="5571" w:type="dxa"/>
            <w:gridSpan w:val="3"/>
            <w:shd w:val="clear" w:color="auto" w:fill="auto"/>
          </w:tcPr>
          <w:p w14:paraId="119FEE87" w14:textId="77777777" w:rsidR="00B6625B" w:rsidRPr="00143496" w:rsidRDefault="00B6625B" w:rsidP="002B68F3">
            <w:pPr>
              <w:rPr>
                <w:rFonts w:ascii="Arial" w:hAnsi="Arial"/>
                <w:b/>
                <w:bCs/>
                <w:noProof w:val="0"/>
                <w:sz w:val="26"/>
                <w:szCs w:val="26"/>
                <w:rtl/>
              </w:rPr>
            </w:pPr>
          </w:p>
          <w:p w14:paraId="3F8E651E" w14:textId="77777777" w:rsidR="00B6625B" w:rsidRPr="00143496" w:rsidRDefault="00B6625B" w:rsidP="002B68F3">
            <w:pPr>
              <w:rPr>
                <w:b/>
                <w:bCs/>
                <w:noProof w:val="0"/>
                <w:sz w:val="26"/>
                <w:szCs w:val="26"/>
              </w:rPr>
            </w:pPr>
            <w:r w:rsidRPr="00143496">
              <w:rPr>
                <w:rFonts w:ascii="Arial" w:hAnsi="Arial"/>
                <w:b/>
                <w:bCs/>
                <w:noProof w:val="0"/>
                <w:sz w:val="26"/>
                <w:szCs w:val="26"/>
                <w:rtl/>
              </w:rPr>
              <w:t>מדינת ישראל – פמ"</w:t>
            </w:r>
            <w:r w:rsidRPr="00143496">
              <w:rPr>
                <w:rFonts w:ascii="Arial" w:hAnsi="Arial" w:hint="cs"/>
                <w:b/>
                <w:bCs/>
                <w:noProof w:val="0"/>
                <w:sz w:val="26"/>
                <w:szCs w:val="26"/>
                <w:rtl/>
              </w:rPr>
              <w:t>ד</w:t>
            </w:r>
            <w:r w:rsidRPr="00143496">
              <w:rPr>
                <w:rFonts w:ascii="Arial" w:hAnsi="Arial"/>
                <w:b/>
                <w:bCs/>
                <w:noProof w:val="0"/>
                <w:sz w:val="26"/>
                <w:szCs w:val="26"/>
                <w:rtl/>
              </w:rPr>
              <w:br/>
            </w:r>
            <w:r w:rsidRPr="00143496">
              <w:rPr>
                <w:rFonts w:hint="cs"/>
                <w:rtl/>
              </w:rPr>
              <w:t>ע"י ב"כ עו"ד דניאל גלעד</w:t>
            </w:r>
          </w:p>
        </w:tc>
      </w:tr>
      <w:bookmarkEnd w:id="2"/>
      <w:tr w:rsidR="00B6625B" w:rsidRPr="00143496" w14:paraId="2098C764" w14:textId="77777777" w:rsidTr="00BD0478">
        <w:tblPrEx>
          <w:tblLook w:val="01E0" w:firstRow="1" w:lastRow="1" w:firstColumn="1" w:lastColumn="1" w:noHBand="0" w:noVBand="0"/>
        </w:tblPrEx>
        <w:trPr>
          <w:jc w:val="center"/>
        </w:trPr>
        <w:tc>
          <w:tcPr>
            <w:tcW w:w="8820" w:type="dxa"/>
            <w:gridSpan w:val="5"/>
            <w:shd w:val="clear" w:color="auto" w:fill="auto"/>
          </w:tcPr>
          <w:p w14:paraId="6745F96C" w14:textId="77777777" w:rsidR="00B6625B" w:rsidRPr="00143496" w:rsidRDefault="00B6625B" w:rsidP="002B68F3">
            <w:pPr>
              <w:rPr>
                <w:rFonts w:ascii="Arial" w:hAnsi="Arial"/>
                <w:b/>
                <w:bCs/>
                <w:noProof w:val="0"/>
                <w:sz w:val="26"/>
                <w:szCs w:val="26"/>
                <w:rtl/>
              </w:rPr>
            </w:pPr>
          </w:p>
          <w:p w14:paraId="027E9BD3" w14:textId="77777777" w:rsidR="00B6625B" w:rsidRPr="00143496" w:rsidRDefault="00B6625B" w:rsidP="00B6625B">
            <w:pPr>
              <w:jc w:val="center"/>
              <w:rPr>
                <w:rFonts w:ascii="Arial" w:hAnsi="Arial"/>
                <w:b/>
                <w:bCs/>
                <w:noProof w:val="0"/>
                <w:sz w:val="26"/>
                <w:szCs w:val="26"/>
                <w:rtl/>
              </w:rPr>
            </w:pPr>
            <w:r w:rsidRPr="00143496">
              <w:rPr>
                <w:rFonts w:ascii="Arial" w:hAnsi="Arial"/>
                <w:b/>
                <w:bCs/>
                <w:noProof w:val="0"/>
                <w:sz w:val="26"/>
                <w:szCs w:val="26"/>
                <w:rtl/>
              </w:rPr>
              <w:t>נגד</w:t>
            </w:r>
          </w:p>
          <w:p w14:paraId="4E2C9D3B" w14:textId="77777777" w:rsidR="00B6625B" w:rsidRPr="00143496" w:rsidRDefault="00B6625B" w:rsidP="002B68F3">
            <w:pPr>
              <w:rPr>
                <w:rFonts w:ascii="Arial" w:hAnsi="Arial"/>
                <w:b/>
                <w:bCs/>
                <w:noProof w:val="0"/>
                <w:sz w:val="26"/>
                <w:szCs w:val="26"/>
              </w:rPr>
            </w:pPr>
          </w:p>
        </w:tc>
      </w:tr>
      <w:tr w:rsidR="00B6625B" w:rsidRPr="00143496" w14:paraId="05EF9277" w14:textId="77777777" w:rsidTr="00BD0478">
        <w:tblPrEx>
          <w:tblLook w:val="01E0" w:firstRow="1" w:lastRow="1" w:firstColumn="1" w:lastColumn="1" w:noHBand="0" w:noVBand="0"/>
        </w:tblPrEx>
        <w:trPr>
          <w:jc w:val="center"/>
        </w:trPr>
        <w:tc>
          <w:tcPr>
            <w:tcW w:w="3249" w:type="dxa"/>
            <w:gridSpan w:val="2"/>
            <w:shd w:val="clear" w:color="auto" w:fill="auto"/>
          </w:tcPr>
          <w:p w14:paraId="2026017A" w14:textId="77777777" w:rsidR="00B6625B" w:rsidRPr="00143496" w:rsidRDefault="00B6625B" w:rsidP="002B68F3">
            <w:pPr>
              <w:rPr>
                <w:rFonts w:ascii="Arial" w:hAnsi="Arial"/>
                <w:b/>
                <w:bCs/>
                <w:noProof w:val="0"/>
                <w:sz w:val="26"/>
                <w:szCs w:val="26"/>
                <w:rtl/>
              </w:rPr>
            </w:pPr>
          </w:p>
          <w:p w14:paraId="6D1356FF" w14:textId="77777777" w:rsidR="00B6625B" w:rsidRPr="00143496" w:rsidRDefault="00B6625B" w:rsidP="002B68F3">
            <w:pPr>
              <w:rPr>
                <w:rFonts w:ascii="Arial" w:hAnsi="Arial"/>
                <w:b/>
                <w:bCs/>
                <w:noProof w:val="0"/>
                <w:sz w:val="26"/>
                <w:szCs w:val="26"/>
              </w:rPr>
            </w:pPr>
            <w:r w:rsidRPr="00143496">
              <w:rPr>
                <w:rFonts w:ascii="Arial" w:hAnsi="Arial" w:hint="cs"/>
                <w:b/>
                <w:bCs/>
                <w:noProof w:val="0"/>
                <w:sz w:val="26"/>
                <w:szCs w:val="26"/>
                <w:rtl/>
              </w:rPr>
              <w:t>הנאשם</w:t>
            </w:r>
          </w:p>
        </w:tc>
        <w:tc>
          <w:tcPr>
            <w:tcW w:w="5571" w:type="dxa"/>
            <w:gridSpan w:val="3"/>
            <w:shd w:val="clear" w:color="auto" w:fill="auto"/>
          </w:tcPr>
          <w:p w14:paraId="19FD5EE3" w14:textId="77777777" w:rsidR="00B6625B" w:rsidRPr="00143496" w:rsidRDefault="00B6625B" w:rsidP="002B68F3">
            <w:pPr>
              <w:rPr>
                <w:rFonts w:ascii="Arial" w:hAnsi="Arial"/>
                <w:b/>
                <w:bCs/>
                <w:noProof w:val="0"/>
                <w:sz w:val="26"/>
                <w:szCs w:val="26"/>
                <w:rtl/>
              </w:rPr>
            </w:pPr>
          </w:p>
          <w:p w14:paraId="282DF3D2" w14:textId="77777777" w:rsidR="00B6625B" w:rsidRPr="00143496" w:rsidRDefault="00B6625B" w:rsidP="002B68F3">
            <w:pPr>
              <w:rPr>
                <w:b/>
                <w:bCs/>
                <w:noProof w:val="0"/>
                <w:sz w:val="26"/>
                <w:szCs w:val="26"/>
                <w:rtl/>
              </w:rPr>
            </w:pPr>
            <w:r w:rsidRPr="00143496">
              <w:rPr>
                <w:rFonts w:ascii="Arial" w:hAnsi="Arial"/>
                <w:b/>
                <w:bCs/>
                <w:noProof w:val="0"/>
                <w:sz w:val="26"/>
                <w:szCs w:val="26"/>
                <w:rtl/>
              </w:rPr>
              <w:t>אחמד</w:t>
            </w:r>
            <w:r w:rsidRPr="00143496">
              <w:rPr>
                <w:rFonts w:ascii="Arial" w:hAnsi="Arial" w:hint="cs"/>
                <w:b/>
                <w:bCs/>
                <w:noProof w:val="0"/>
                <w:sz w:val="26"/>
                <w:szCs w:val="26"/>
                <w:rtl/>
              </w:rPr>
              <w:t xml:space="preserve"> בן קאיד</w:t>
            </w:r>
            <w:r w:rsidRPr="00143496">
              <w:rPr>
                <w:rFonts w:ascii="Arial" w:hAnsi="Arial"/>
                <w:b/>
                <w:bCs/>
                <w:noProof w:val="0"/>
                <w:sz w:val="26"/>
                <w:szCs w:val="26"/>
                <w:rtl/>
              </w:rPr>
              <w:t xml:space="preserve"> אלקטנאני</w:t>
            </w:r>
            <w:r w:rsidRPr="00143496">
              <w:rPr>
                <w:rtl/>
              </w:rPr>
              <w:br/>
            </w:r>
            <w:r w:rsidRPr="00143496">
              <w:rPr>
                <w:rFonts w:hint="cs"/>
                <w:rtl/>
              </w:rPr>
              <w:t>ע"י ב"כ עו"ד אמיר אזריק</w:t>
            </w:r>
          </w:p>
        </w:tc>
      </w:tr>
    </w:tbl>
    <w:p w14:paraId="52D2842B" w14:textId="77777777" w:rsidR="00BD0478" w:rsidRDefault="00BD0478" w:rsidP="00B6625B">
      <w:pPr>
        <w:suppressLineNumbers/>
        <w:rPr>
          <w:rtl/>
        </w:rPr>
      </w:pPr>
    </w:p>
    <w:p w14:paraId="71255483" w14:textId="77777777" w:rsidR="00BD0478" w:rsidRPr="00BD0478" w:rsidRDefault="00BD0478" w:rsidP="00BD0478">
      <w:pPr>
        <w:suppressLineNumbers/>
        <w:spacing w:after="120" w:line="240" w:lineRule="exact"/>
        <w:ind w:left="283" w:hanging="283"/>
        <w:jc w:val="both"/>
        <w:rPr>
          <w:rFonts w:ascii="FrankRuehl" w:hAnsi="FrankRuehl" w:cs="FrankRuehl"/>
          <w:rtl/>
        </w:rPr>
      </w:pPr>
    </w:p>
    <w:p w14:paraId="40281F33" w14:textId="77777777" w:rsidR="00F85F2D" w:rsidRPr="00F85F2D" w:rsidRDefault="00F85F2D" w:rsidP="00F85F2D">
      <w:pPr>
        <w:suppressLineNumbers/>
        <w:spacing w:before="120" w:after="120" w:line="240" w:lineRule="exact"/>
        <w:ind w:left="283" w:hanging="283"/>
        <w:jc w:val="both"/>
        <w:rPr>
          <w:rFonts w:ascii="FrankRuehl" w:hAnsi="FrankRuehl" w:cs="FrankRuehl"/>
          <w:rtl/>
        </w:rPr>
      </w:pPr>
    </w:p>
    <w:p w14:paraId="5E41B9DF" w14:textId="77777777" w:rsidR="00FF15E2" w:rsidRDefault="00FF15E2" w:rsidP="00FF15E2">
      <w:pPr>
        <w:suppressLineNumbers/>
        <w:rPr>
          <w:rtl/>
        </w:rPr>
      </w:pPr>
      <w:bookmarkStart w:id="3" w:name="LawTable"/>
      <w:bookmarkEnd w:id="3"/>
    </w:p>
    <w:p w14:paraId="1A8491C1" w14:textId="77777777" w:rsidR="00FF15E2" w:rsidRPr="00FF15E2" w:rsidRDefault="00FF15E2" w:rsidP="00FF15E2">
      <w:pPr>
        <w:suppressLineNumbers/>
        <w:spacing w:before="120" w:after="120" w:line="240" w:lineRule="exact"/>
        <w:ind w:left="283" w:hanging="283"/>
        <w:jc w:val="both"/>
        <w:rPr>
          <w:rFonts w:ascii="FrankRuehl" w:hAnsi="FrankRuehl" w:cs="FrankRuehl"/>
          <w:rtl/>
        </w:rPr>
      </w:pPr>
    </w:p>
    <w:p w14:paraId="6AD8689C" w14:textId="77777777" w:rsidR="00FF15E2" w:rsidRPr="00FF15E2" w:rsidRDefault="00FF15E2" w:rsidP="00FF15E2">
      <w:pPr>
        <w:suppressLineNumbers/>
        <w:spacing w:before="120" w:after="120" w:line="240" w:lineRule="exact"/>
        <w:ind w:left="283" w:hanging="283"/>
        <w:jc w:val="both"/>
        <w:rPr>
          <w:rFonts w:ascii="FrankRuehl" w:hAnsi="FrankRuehl" w:cs="FrankRuehl"/>
          <w:rtl/>
        </w:rPr>
      </w:pPr>
    </w:p>
    <w:p w14:paraId="0B321E2A" w14:textId="77777777" w:rsidR="00FF15E2" w:rsidRPr="00FF15E2" w:rsidRDefault="00FF15E2" w:rsidP="00FF15E2">
      <w:pPr>
        <w:suppressLineNumbers/>
        <w:spacing w:before="120" w:after="120" w:line="240" w:lineRule="exact"/>
        <w:ind w:left="283" w:hanging="283"/>
        <w:jc w:val="both"/>
        <w:rPr>
          <w:rFonts w:ascii="FrankRuehl" w:hAnsi="FrankRuehl" w:cs="FrankRuehl"/>
          <w:rtl/>
        </w:rPr>
      </w:pPr>
      <w:r w:rsidRPr="00FF15E2">
        <w:rPr>
          <w:rFonts w:ascii="FrankRuehl" w:hAnsi="FrankRuehl" w:cs="FrankRuehl"/>
          <w:rtl/>
        </w:rPr>
        <w:t xml:space="preserve">חקיקה שאוזכרה: </w:t>
      </w:r>
    </w:p>
    <w:p w14:paraId="1CBBDD8B" w14:textId="77777777" w:rsidR="00FF15E2" w:rsidRPr="00FF15E2" w:rsidRDefault="00FF15E2" w:rsidP="00FF15E2">
      <w:pPr>
        <w:suppressLineNumbers/>
        <w:spacing w:before="120" w:after="120" w:line="240" w:lineRule="exact"/>
        <w:ind w:left="283" w:hanging="283"/>
        <w:jc w:val="both"/>
        <w:rPr>
          <w:rFonts w:ascii="FrankRuehl" w:hAnsi="FrankRuehl" w:cs="FrankRuehl"/>
          <w:rtl/>
        </w:rPr>
      </w:pPr>
      <w:hyperlink r:id="rId8" w:history="1">
        <w:r w:rsidRPr="00FF15E2">
          <w:rPr>
            <w:rFonts w:ascii="FrankRuehl" w:hAnsi="FrankRuehl" w:cs="FrankRuehl"/>
            <w:color w:val="0000FF"/>
            <w:rtl/>
          </w:rPr>
          <w:t>חוק העונשין, תשל"ז-1977</w:t>
        </w:r>
      </w:hyperlink>
      <w:r w:rsidRPr="00FF15E2">
        <w:rPr>
          <w:rFonts w:ascii="FrankRuehl" w:hAnsi="FrankRuehl" w:cs="FrankRuehl"/>
          <w:rtl/>
        </w:rPr>
        <w:t xml:space="preserve">: סע'  </w:t>
      </w:r>
      <w:hyperlink r:id="rId9" w:history="1">
        <w:r w:rsidRPr="00FF15E2">
          <w:rPr>
            <w:rFonts w:ascii="FrankRuehl" w:hAnsi="FrankRuehl" w:cs="FrankRuehl"/>
            <w:color w:val="0000FF"/>
            <w:rtl/>
          </w:rPr>
          <w:t>144</w:t>
        </w:r>
      </w:hyperlink>
      <w:r w:rsidRPr="00FF15E2">
        <w:rPr>
          <w:rFonts w:ascii="FrankRuehl" w:hAnsi="FrankRuehl" w:cs="FrankRuehl"/>
          <w:rtl/>
        </w:rPr>
        <w:t xml:space="preserve">, </w:t>
      </w:r>
      <w:hyperlink r:id="rId10" w:history="1">
        <w:r w:rsidRPr="00FF15E2">
          <w:rPr>
            <w:rFonts w:ascii="FrankRuehl" w:hAnsi="FrankRuehl" w:cs="FrankRuehl"/>
            <w:color w:val="0000FF"/>
            <w:rtl/>
          </w:rPr>
          <w:t>144(א)</w:t>
        </w:r>
      </w:hyperlink>
      <w:r w:rsidRPr="00FF15E2">
        <w:rPr>
          <w:rFonts w:ascii="FrankRuehl" w:hAnsi="FrankRuehl" w:cs="FrankRuehl"/>
          <w:rtl/>
        </w:rPr>
        <w:t xml:space="preserve">, </w:t>
      </w:r>
      <w:hyperlink r:id="rId11" w:history="1">
        <w:r w:rsidRPr="00FF15E2">
          <w:rPr>
            <w:rFonts w:ascii="FrankRuehl" w:hAnsi="FrankRuehl" w:cs="FrankRuehl"/>
            <w:color w:val="0000FF"/>
            <w:rtl/>
          </w:rPr>
          <w:t>186</w:t>
        </w:r>
      </w:hyperlink>
    </w:p>
    <w:p w14:paraId="6E2EDE62" w14:textId="77777777" w:rsidR="00FF15E2" w:rsidRPr="00FF15E2" w:rsidRDefault="00FF15E2" w:rsidP="00FF15E2">
      <w:pPr>
        <w:suppressLineNumbers/>
        <w:rPr>
          <w:rtl/>
        </w:rPr>
      </w:pPr>
      <w:bookmarkStart w:id="4" w:name="LawTable_End"/>
      <w:bookmarkEnd w:id="4"/>
    </w:p>
    <w:p w14:paraId="17163AFB" w14:textId="77777777" w:rsidR="00B6625B" w:rsidRPr="00F85F2D" w:rsidRDefault="00B6625B" w:rsidP="00F85F2D">
      <w:pPr>
        <w:suppressLineNumbers/>
      </w:pPr>
    </w:p>
    <w:tbl>
      <w:tblPr>
        <w:bidiVisual/>
        <w:tblW w:w="8820" w:type="dxa"/>
        <w:jc w:val="center"/>
        <w:tblLook w:val="01E0" w:firstRow="1" w:lastRow="1" w:firstColumn="1" w:lastColumn="1" w:noHBand="0" w:noVBand="0"/>
      </w:tblPr>
      <w:tblGrid>
        <w:gridCol w:w="8820"/>
      </w:tblGrid>
      <w:tr w:rsidR="00B6625B" w14:paraId="6EFE19EC" w14:textId="77777777" w:rsidTr="00B6625B">
        <w:trPr>
          <w:jc w:val="center"/>
        </w:trPr>
        <w:tc>
          <w:tcPr>
            <w:tcW w:w="8820" w:type="dxa"/>
            <w:shd w:val="clear" w:color="auto" w:fill="auto"/>
          </w:tcPr>
          <w:p w14:paraId="4AE17FE2" w14:textId="77777777" w:rsidR="00143496" w:rsidRPr="00143496" w:rsidRDefault="00143496" w:rsidP="00143496">
            <w:pPr>
              <w:bidi w:val="0"/>
              <w:jc w:val="center"/>
              <w:rPr>
                <w:rFonts w:ascii="Arial" w:hAnsi="Arial"/>
                <w:b/>
                <w:bCs/>
                <w:noProof w:val="0"/>
                <w:sz w:val="28"/>
                <w:szCs w:val="28"/>
                <w:u w:val="single"/>
              </w:rPr>
            </w:pPr>
            <w:bookmarkStart w:id="5" w:name="PsakDin" w:colFirst="0" w:colLast="0"/>
            <w:bookmarkEnd w:id="0"/>
            <w:bookmarkEnd w:id="1"/>
            <w:r w:rsidRPr="00143496">
              <w:rPr>
                <w:rFonts w:ascii="Arial" w:hAnsi="Arial"/>
                <w:b/>
                <w:bCs/>
                <w:noProof w:val="0"/>
                <w:sz w:val="28"/>
                <w:szCs w:val="28"/>
                <w:u w:val="single"/>
                <w:rtl/>
              </w:rPr>
              <w:t>גזר דין</w:t>
            </w:r>
          </w:p>
          <w:p w14:paraId="47F3CCA1" w14:textId="77777777" w:rsidR="00B6625B" w:rsidRPr="00143496" w:rsidRDefault="00B6625B" w:rsidP="00143496">
            <w:pPr>
              <w:bidi w:val="0"/>
              <w:jc w:val="center"/>
              <w:rPr>
                <w:rFonts w:ascii="Arial" w:hAnsi="Arial"/>
                <w:b/>
                <w:bCs/>
                <w:noProof w:val="0"/>
                <w:sz w:val="28"/>
                <w:szCs w:val="28"/>
                <w:u w:val="single"/>
              </w:rPr>
            </w:pPr>
          </w:p>
        </w:tc>
      </w:tr>
      <w:bookmarkEnd w:id="5"/>
    </w:tbl>
    <w:p w14:paraId="25355FFB" w14:textId="77777777" w:rsidR="00B6625B" w:rsidRDefault="00B6625B" w:rsidP="00B6625B">
      <w:pPr>
        <w:spacing w:line="360" w:lineRule="auto"/>
        <w:jc w:val="both"/>
        <w:rPr>
          <w:rFonts w:ascii="Arial" w:hAnsi="Arial"/>
          <w:noProof w:val="0"/>
          <w:rtl/>
        </w:rPr>
      </w:pPr>
    </w:p>
    <w:p w14:paraId="0BAFF3BB" w14:textId="77777777" w:rsidR="00B6625B" w:rsidRDefault="00B6625B" w:rsidP="00B6625B">
      <w:pPr>
        <w:spacing w:line="360" w:lineRule="auto"/>
        <w:jc w:val="both"/>
        <w:rPr>
          <w:rFonts w:ascii="Arial" w:hAnsi="Arial"/>
          <w:noProof w:val="0"/>
          <w:rtl/>
        </w:rPr>
      </w:pPr>
    </w:p>
    <w:p w14:paraId="782614B6" w14:textId="77777777" w:rsidR="00B6625B" w:rsidRPr="0090742B" w:rsidRDefault="00B6625B" w:rsidP="00B6625B">
      <w:pPr>
        <w:spacing w:line="360" w:lineRule="auto"/>
        <w:jc w:val="both"/>
        <w:rPr>
          <w:rFonts w:ascii="Arial" w:hAnsi="Arial"/>
          <w:b/>
          <w:bCs/>
          <w:noProof w:val="0"/>
        </w:rPr>
      </w:pPr>
      <w:r w:rsidRPr="0090742B">
        <w:rPr>
          <w:rFonts w:ascii="Arial" w:hAnsi="Arial"/>
          <w:b/>
          <w:bCs/>
          <w:noProof w:val="0"/>
          <w:rtl/>
        </w:rPr>
        <w:t>כתב האישום והשתלשלות הדיון</w:t>
      </w:r>
    </w:p>
    <w:p w14:paraId="67F58AC4" w14:textId="77777777" w:rsidR="00B6625B" w:rsidRPr="0090742B" w:rsidRDefault="00B6625B" w:rsidP="00B6625B">
      <w:pPr>
        <w:spacing w:line="360" w:lineRule="auto"/>
        <w:jc w:val="both"/>
        <w:rPr>
          <w:rFonts w:ascii="Arial" w:hAnsi="Arial"/>
          <w:noProof w:val="0"/>
          <w:rtl/>
        </w:rPr>
      </w:pPr>
      <w:bookmarkStart w:id="6" w:name="ABSTRACT_START"/>
      <w:bookmarkEnd w:id="6"/>
    </w:p>
    <w:p w14:paraId="51D97CC2" w14:textId="77777777" w:rsidR="00B6625B" w:rsidRPr="0090742B" w:rsidRDefault="00B6625B" w:rsidP="00B6625B">
      <w:pPr>
        <w:spacing w:line="360" w:lineRule="auto"/>
        <w:jc w:val="both"/>
        <w:rPr>
          <w:noProof w:val="0"/>
          <w:rtl/>
        </w:rPr>
      </w:pPr>
      <w:r>
        <w:rPr>
          <w:rFonts w:ascii="Arial" w:hAnsi="Arial" w:hint="cs"/>
          <w:noProof w:val="0"/>
          <w:rtl/>
        </w:rPr>
        <w:t>הנאשם שלפני נותן את הדין בגין</w:t>
      </w:r>
      <w:r w:rsidRPr="0090742B">
        <w:rPr>
          <w:rFonts w:ascii="Arial" w:hAnsi="Arial"/>
          <w:noProof w:val="0"/>
          <w:rtl/>
        </w:rPr>
        <w:t xml:space="preserve"> עביר</w:t>
      </w:r>
      <w:r>
        <w:rPr>
          <w:rFonts w:ascii="Arial" w:hAnsi="Arial" w:hint="cs"/>
          <w:noProof w:val="0"/>
          <w:rtl/>
        </w:rPr>
        <w:t>ה</w:t>
      </w:r>
      <w:r w:rsidRPr="0090742B">
        <w:rPr>
          <w:rFonts w:ascii="Arial" w:hAnsi="Arial"/>
          <w:noProof w:val="0"/>
          <w:rtl/>
        </w:rPr>
        <w:t xml:space="preserve"> של החזקת נשק ותחמושת, בניגוד </w:t>
      </w:r>
      <w:hyperlink r:id="rId12" w:history="1">
        <w:r w:rsidR="00BD0478" w:rsidRPr="00BD0478">
          <w:rPr>
            <w:rStyle w:val="Hyperlink"/>
            <w:rFonts w:ascii="Arial" w:hAnsi="Arial"/>
            <w:noProof w:val="0"/>
            <w:rtl/>
          </w:rPr>
          <w:t>לסעיף 144(א)</w:t>
        </w:r>
      </w:hyperlink>
      <w:r w:rsidRPr="0090742B">
        <w:rPr>
          <w:rFonts w:ascii="Arial" w:hAnsi="Arial"/>
          <w:noProof w:val="0"/>
          <w:rtl/>
        </w:rPr>
        <w:t xml:space="preserve"> רישא וסיפא </w:t>
      </w:r>
      <w:r w:rsidRPr="0090742B">
        <w:rPr>
          <w:noProof w:val="0"/>
          <w:rtl/>
        </w:rPr>
        <w:t>ל</w:t>
      </w:r>
      <w:hyperlink r:id="rId13" w:history="1">
        <w:r w:rsidR="00143496" w:rsidRPr="00143496">
          <w:rPr>
            <w:noProof w:val="0"/>
            <w:color w:val="0000FF"/>
            <w:u w:val="single"/>
            <w:rtl/>
          </w:rPr>
          <w:t>חוק העונשין</w:t>
        </w:r>
      </w:hyperlink>
      <w:r w:rsidRPr="0090742B">
        <w:rPr>
          <w:noProof w:val="0"/>
          <w:rtl/>
        </w:rPr>
        <w:t xml:space="preserve">, תשל"ז – 1977. </w:t>
      </w:r>
    </w:p>
    <w:p w14:paraId="1F940C79" w14:textId="77777777" w:rsidR="00B6625B" w:rsidRPr="0090742B" w:rsidRDefault="00B6625B" w:rsidP="00B6625B">
      <w:pPr>
        <w:spacing w:line="360" w:lineRule="auto"/>
        <w:jc w:val="both"/>
        <w:rPr>
          <w:noProof w:val="0"/>
          <w:rtl/>
        </w:rPr>
      </w:pPr>
    </w:p>
    <w:p w14:paraId="0DAF4A50" w14:textId="77777777" w:rsidR="00B6625B" w:rsidRPr="0090742B" w:rsidRDefault="00B6625B" w:rsidP="00B6625B">
      <w:pPr>
        <w:spacing w:line="360" w:lineRule="auto"/>
        <w:jc w:val="both"/>
        <w:rPr>
          <w:noProof w:val="0"/>
          <w:rtl/>
        </w:rPr>
      </w:pPr>
      <w:r w:rsidRPr="0090742B">
        <w:rPr>
          <w:noProof w:val="0"/>
          <w:rtl/>
        </w:rPr>
        <w:t>בהתאם לעובדות כתב האישום, סיכמו ביניהם הנאשם ובן משפחתו</w:t>
      </w:r>
      <w:r>
        <w:rPr>
          <w:rFonts w:hint="cs"/>
          <w:noProof w:val="0"/>
          <w:rtl/>
        </w:rPr>
        <w:t>,</w:t>
      </w:r>
      <w:r w:rsidRPr="0090742B">
        <w:rPr>
          <w:noProof w:val="0"/>
          <w:rtl/>
        </w:rPr>
        <w:t xml:space="preserve"> חליל אלקטנאני, כי חליל יחביא בביתו של הנאשם תיק ובו אמצעי לחימה מסוגים שונים.</w:t>
      </w:r>
    </w:p>
    <w:p w14:paraId="18C29610" w14:textId="77777777" w:rsidR="00B6625B" w:rsidRPr="0090742B" w:rsidRDefault="00B6625B" w:rsidP="00B6625B">
      <w:pPr>
        <w:spacing w:line="360" w:lineRule="auto"/>
        <w:jc w:val="both"/>
        <w:rPr>
          <w:noProof w:val="0"/>
          <w:rtl/>
        </w:rPr>
      </w:pPr>
      <w:bookmarkStart w:id="7" w:name="ABSTRACT_END"/>
      <w:bookmarkEnd w:id="7"/>
    </w:p>
    <w:p w14:paraId="7C03A3B9" w14:textId="77777777" w:rsidR="00B6625B" w:rsidRPr="0090742B" w:rsidRDefault="00B6625B" w:rsidP="00B6625B">
      <w:pPr>
        <w:spacing w:line="360" w:lineRule="auto"/>
        <w:jc w:val="both"/>
        <w:rPr>
          <w:noProof w:val="0"/>
          <w:rtl/>
        </w:rPr>
      </w:pPr>
      <w:r w:rsidRPr="0090742B">
        <w:rPr>
          <w:noProof w:val="0"/>
          <w:rtl/>
        </w:rPr>
        <w:lastRenderedPageBreak/>
        <w:t xml:space="preserve">במסגרת סיכום זה, במועד שאינו ידוע במדויק למאשימה אך לפני תאריך 05.11.18, מסר חליל לידי הנאשם ילקוט ובו, בין היתר, מטען חבלה ללא מקורות מתח הבנוי ממקלט אלחוטי, נפץ חבלה חשמלי, חומר נפץ מרסק במשקל 250 מיליגרם, המאוגדים באמצעות סרט בידוד בצבע שחור; 4 מחסניות </w:t>
      </w:r>
      <w:r w:rsidRPr="0090742B">
        <w:rPr>
          <w:noProof w:val="0"/>
        </w:rPr>
        <w:t>M16</w:t>
      </w:r>
      <w:r w:rsidRPr="0090742B">
        <w:rPr>
          <w:noProof w:val="0"/>
          <w:rtl/>
        </w:rPr>
        <w:t xml:space="preserve"> ובהן 188 כדורים בקוטר 5.56 מילימטר, 179 כדורי 5.56 מילימטר בתפזורת; זוג מחסניות </w:t>
      </w:r>
      <w:r w:rsidRPr="0090742B">
        <w:rPr>
          <w:noProof w:val="0"/>
        </w:rPr>
        <w:t>M16</w:t>
      </w:r>
      <w:r w:rsidRPr="0090742B">
        <w:rPr>
          <w:noProof w:val="0"/>
          <w:rtl/>
        </w:rPr>
        <w:t xml:space="preserve"> ריקות; רימון הלם </w:t>
      </w:r>
      <w:r w:rsidRPr="0090742B">
        <w:rPr>
          <w:noProof w:val="0"/>
        </w:rPr>
        <w:t>M7290</w:t>
      </w:r>
      <w:r w:rsidRPr="0090742B">
        <w:rPr>
          <w:noProof w:val="0"/>
          <w:rtl/>
        </w:rPr>
        <w:t>, כשהם עטופים בתוך חולצה וכובע "חם צוואר".</w:t>
      </w:r>
    </w:p>
    <w:p w14:paraId="32ACEE16" w14:textId="77777777" w:rsidR="00B6625B" w:rsidRPr="0090742B" w:rsidRDefault="00B6625B" w:rsidP="00B6625B">
      <w:pPr>
        <w:spacing w:line="360" w:lineRule="auto"/>
        <w:jc w:val="both"/>
        <w:rPr>
          <w:noProof w:val="0"/>
          <w:rtl/>
        </w:rPr>
      </w:pPr>
    </w:p>
    <w:p w14:paraId="2F36A1D4" w14:textId="77777777" w:rsidR="00B6625B" w:rsidRPr="0090742B" w:rsidRDefault="00B6625B" w:rsidP="00B6625B">
      <w:pPr>
        <w:spacing w:line="360" w:lineRule="auto"/>
        <w:jc w:val="both"/>
        <w:rPr>
          <w:noProof w:val="0"/>
          <w:rtl/>
        </w:rPr>
      </w:pPr>
      <w:r w:rsidRPr="0090742B">
        <w:rPr>
          <w:noProof w:val="0"/>
          <w:rtl/>
        </w:rPr>
        <w:t>הנאשם החביא את הילקוט בחדר השינה בביתו, שכונה 14, בית 153, רהט – מעל ארון הבגדים.</w:t>
      </w:r>
    </w:p>
    <w:p w14:paraId="5DEB01B4" w14:textId="77777777" w:rsidR="00B6625B" w:rsidRPr="0090742B" w:rsidRDefault="00B6625B" w:rsidP="00B6625B">
      <w:pPr>
        <w:spacing w:line="360" w:lineRule="auto"/>
        <w:jc w:val="both"/>
        <w:rPr>
          <w:noProof w:val="0"/>
          <w:rtl/>
        </w:rPr>
      </w:pPr>
    </w:p>
    <w:p w14:paraId="1BAD3F5E" w14:textId="77777777" w:rsidR="00B6625B" w:rsidRDefault="00B6625B" w:rsidP="00B6625B">
      <w:pPr>
        <w:spacing w:line="360" w:lineRule="auto"/>
        <w:jc w:val="both"/>
        <w:rPr>
          <w:noProof w:val="0"/>
          <w:rtl/>
        </w:rPr>
      </w:pPr>
      <w:r w:rsidRPr="0090742B">
        <w:rPr>
          <w:noProof w:val="0"/>
          <w:rtl/>
        </w:rPr>
        <w:t xml:space="preserve">לנאשם יוחס, כי החזיק </w:t>
      </w:r>
      <w:r>
        <w:rPr>
          <w:rFonts w:hint="cs"/>
          <w:noProof w:val="0"/>
          <w:rtl/>
        </w:rPr>
        <w:t>באמצעי הלחימה</w:t>
      </w:r>
      <w:r w:rsidRPr="0090742B">
        <w:rPr>
          <w:noProof w:val="0"/>
          <w:rtl/>
        </w:rPr>
        <w:t xml:space="preserve"> בצוותא עם אותו חליל.</w:t>
      </w:r>
    </w:p>
    <w:p w14:paraId="6064BEFB" w14:textId="77777777" w:rsidR="00B6625B" w:rsidRDefault="00B6625B" w:rsidP="00B6625B">
      <w:pPr>
        <w:spacing w:line="360" w:lineRule="auto"/>
        <w:jc w:val="both"/>
        <w:rPr>
          <w:noProof w:val="0"/>
          <w:rtl/>
        </w:rPr>
      </w:pPr>
    </w:p>
    <w:p w14:paraId="13FF881D" w14:textId="77777777" w:rsidR="00B6625B" w:rsidRDefault="00B6625B" w:rsidP="00B6625B">
      <w:pPr>
        <w:spacing w:line="360" w:lineRule="auto"/>
        <w:jc w:val="both"/>
        <w:rPr>
          <w:noProof w:val="0"/>
          <w:rtl/>
        </w:rPr>
      </w:pPr>
      <w:r>
        <w:rPr>
          <w:noProof w:val="0"/>
          <w:rtl/>
        </w:rPr>
        <w:t>ההגנה כפרה בעבירה שבכתב האישום</w:t>
      </w:r>
      <w:r>
        <w:rPr>
          <w:rFonts w:hint="cs"/>
          <w:noProof w:val="0"/>
          <w:rtl/>
        </w:rPr>
        <w:t>, ולאחר שמיעת הראיות וסיכומי הצדדים, הורשע הנאשם בעבירה שבכתב האישום.</w:t>
      </w:r>
    </w:p>
    <w:p w14:paraId="4D158DB6" w14:textId="77777777" w:rsidR="00B6625B" w:rsidRDefault="00B6625B" w:rsidP="00B6625B">
      <w:pPr>
        <w:spacing w:line="360" w:lineRule="auto"/>
        <w:jc w:val="both"/>
        <w:rPr>
          <w:noProof w:val="0"/>
          <w:rtl/>
        </w:rPr>
      </w:pPr>
    </w:p>
    <w:p w14:paraId="4EEA5C67" w14:textId="77777777" w:rsidR="00B6625B" w:rsidRDefault="00B6625B" w:rsidP="00B6625B">
      <w:pPr>
        <w:spacing w:line="360" w:lineRule="auto"/>
        <w:jc w:val="both"/>
        <w:rPr>
          <w:noProof w:val="0"/>
          <w:rtl/>
        </w:rPr>
      </w:pPr>
      <w:r>
        <w:rPr>
          <w:rFonts w:hint="cs"/>
          <w:noProof w:val="0"/>
          <w:rtl/>
        </w:rPr>
        <w:t>לאור גילו של הנאשם, הופנה להערכת שירות המבחן למבוגרים.</w:t>
      </w:r>
    </w:p>
    <w:p w14:paraId="0FE7BABB" w14:textId="77777777" w:rsidR="00B6625B" w:rsidRDefault="00B6625B" w:rsidP="00B6625B">
      <w:pPr>
        <w:spacing w:line="360" w:lineRule="auto"/>
        <w:jc w:val="both"/>
        <w:rPr>
          <w:noProof w:val="0"/>
          <w:rtl/>
        </w:rPr>
      </w:pPr>
    </w:p>
    <w:p w14:paraId="47F34D35" w14:textId="77777777" w:rsidR="00B6625B" w:rsidRDefault="00B6625B" w:rsidP="00B6625B">
      <w:pPr>
        <w:spacing w:line="360" w:lineRule="auto"/>
        <w:jc w:val="both"/>
        <w:rPr>
          <w:noProof w:val="0"/>
          <w:rtl/>
        </w:rPr>
      </w:pPr>
      <w:r>
        <w:rPr>
          <w:rFonts w:hint="cs"/>
          <w:noProof w:val="0"/>
          <w:rtl/>
        </w:rPr>
        <w:t xml:space="preserve">לאחר הרשעת הנאשם בדין, בטרם נשמעה פרשת העונש, לאור חילוקי דעות בין הנאשם לבין סניגורו דאז, פוטר סניגורו של הנאשם מייצוג, ולאחר קבלת תסקיר שירות המבחן למבוגרים וכן לאחר הסדרת הייצוג על ידי סניגור אחר </w:t>
      </w:r>
      <w:r>
        <w:rPr>
          <w:noProof w:val="0"/>
          <w:rtl/>
        </w:rPr>
        <w:t>–</w:t>
      </w:r>
      <w:r>
        <w:rPr>
          <w:rFonts w:hint="cs"/>
          <w:noProof w:val="0"/>
          <w:rtl/>
        </w:rPr>
        <w:t xml:space="preserve"> נשמעה פרשת העונש.</w:t>
      </w:r>
    </w:p>
    <w:p w14:paraId="5BE5C9B6" w14:textId="77777777" w:rsidR="00B6625B" w:rsidRDefault="00B6625B" w:rsidP="00B6625B">
      <w:pPr>
        <w:spacing w:line="360" w:lineRule="auto"/>
        <w:jc w:val="both"/>
        <w:rPr>
          <w:noProof w:val="0"/>
          <w:rtl/>
        </w:rPr>
      </w:pPr>
    </w:p>
    <w:p w14:paraId="197834B2" w14:textId="77777777" w:rsidR="00B6625B" w:rsidRDefault="00B6625B" w:rsidP="00B6625B">
      <w:pPr>
        <w:spacing w:line="360" w:lineRule="auto"/>
        <w:jc w:val="both"/>
        <w:rPr>
          <w:noProof w:val="0"/>
          <w:rtl/>
        </w:rPr>
      </w:pPr>
      <w:r>
        <w:rPr>
          <w:rFonts w:hint="cs"/>
          <w:noProof w:val="0"/>
          <w:rtl/>
        </w:rPr>
        <w:t xml:space="preserve">מכאן </w:t>
      </w:r>
      <w:r>
        <w:rPr>
          <w:noProof w:val="0"/>
          <w:rtl/>
        </w:rPr>
        <w:t>–</w:t>
      </w:r>
      <w:r>
        <w:rPr>
          <w:rFonts w:hint="cs"/>
          <w:noProof w:val="0"/>
          <w:rtl/>
        </w:rPr>
        <w:t xml:space="preserve"> גזר דין זה.</w:t>
      </w:r>
    </w:p>
    <w:p w14:paraId="338A4185" w14:textId="77777777" w:rsidR="00B6625B" w:rsidRDefault="00B6625B" w:rsidP="00B6625B">
      <w:pPr>
        <w:spacing w:line="360" w:lineRule="auto"/>
        <w:jc w:val="both"/>
        <w:rPr>
          <w:noProof w:val="0"/>
          <w:rtl/>
        </w:rPr>
      </w:pPr>
    </w:p>
    <w:p w14:paraId="5A004F46" w14:textId="77777777" w:rsidR="00B6625B" w:rsidRDefault="00B6625B" w:rsidP="00B6625B">
      <w:pPr>
        <w:spacing w:line="360" w:lineRule="auto"/>
        <w:jc w:val="both"/>
        <w:rPr>
          <w:noProof w:val="0"/>
          <w:rtl/>
        </w:rPr>
      </w:pPr>
    </w:p>
    <w:p w14:paraId="58EE26F7" w14:textId="77777777" w:rsidR="00B6625B" w:rsidRDefault="00B6625B" w:rsidP="00B6625B">
      <w:pPr>
        <w:spacing w:line="360" w:lineRule="auto"/>
        <w:jc w:val="both"/>
        <w:rPr>
          <w:noProof w:val="0"/>
          <w:rtl/>
        </w:rPr>
      </w:pPr>
      <w:r>
        <w:rPr>
          <w:rFonts w:hint="cs"/>
          <w:b/>
          <w:bCs/>
          <w:noProof w:val="0"/>
          <w:rtl/>
        </w:rPr>
        <w:t>ראיות לעונש</w:t>
      </w:r>
    </w:p>
    <w:p w14:paraId="4359B935" w14:textId="77777777" w:rsidR="00B6625B" w:rsidRDefault="00B6625B" w:rsidP="00B6625B">
      <w:pPr>
        <w:spacing w:line="360" w:lineRule="auto"/>
        <w:jc w:val="both"/>
        <w:rPr>
          <w:noProof w:val="0"/>
          <w:rtl/>
        </w:rPr>
      </w:pPr>
    </w:p>
    <w:p w14:paraId="6422FA2C" w14:textId="77777777" w:rsidR="00B6625B" w:rsidRDefault="00B6625B" w:rsidP="00B6625B">
      <w:pPr>
        <w:spacing w:line="360" w:lineRule="auto"/>
        <w:jc w:val="both"/>
        <w:rPr>
          <w:noProof w:val="0"/>
          <w:rtl/>
        </w:rPr>
      </w:pPr>
      <w:r>
        <w:rPr>
          <w:rFonts w:hint="cs"/>
          <w:noProof w:val="0"/>
          <w:u w:val="single"/>
          <w:rtl/>
        </w:rPr>
        <w:t>התביעה</w:t>
      </w:r>
      <w:r>
        <w:rPr>
          <w:rFonts w:hint="cs"/>
          <w:noProof w:val="0"/>
          <w:rtl/>
        </w:rPr>
        <w:t xml:space="preserve"> הגישה, לענין העונש, תמונות צבעוניות מתיק העבודה (ת/27) שם נראים אמצעי הלחימה שנתפסו.</w:t>
      </w:r>
    </w:p>
    <w:p w14:paraId="2CE4549C" w14:textId="77777777" w:rsidR="00B6625B" w:rsidRDefault="00B6625B" w:rsidP="00B6625B">
      <w:pPr>
        <w:spacing w:line="360" w:lineRule="auto"/>
        <w:jc w:val="both"/>
        <w:rPr>
          <w:noProof w:val="0"/>
          <w:rtl/>
        </w:rPr>
      </w:pPr>
    </w:p>
    <w:p w14:paraId="4E8EAA5B" w14:textId="77777777" w:rsidR="00B6625B" w:rsidRDefault="00B6625B" w:rsidP="00B6625B">
      <w:pPr>
        <w:spacing w:line="360" w:lineRule="auto"/>
        <w:jc w:val="both"/>
        <w:rPr>
          <w:noProof w:val="0"/>
          <w:rtl/>
        </w:rPr>
      </w:pPr>
      <w:r>
        <w:rPr>
          <w:rFonts w:hint="cs"/>
          <w:noProof w:val="0"/>
          <w:u w:val="single"/>
          <w:rtl/>
        </w:rPr>
        <w:t>ההגנה</w:t>
      </w:r>
      <w:r>
        <w:rPr>
          <w:rFonts w:hint="cs"/>
          <w:noProof w:val="0"/>
          <w:rtl/>
        </w:rPr>
        <w:t xml:space="preserve"> לא הגישה ראיות לעונש, אולם ביקשה להעיד את אשתו של הנאשם, סונדוס אלקטנאני.</w:t>
      </w:r>
    </w:p>
    <w:p w14:paraId="522A3C0D" w14:textId="77777777" w:rsidR="00B6625B" w:rsidRDefault="00B6625B" w:rsidP="00B6625B">
      <w:pPr>
        <w:spacing w:line="360" w:lineRule="auto"/>
        <w:jc w:val="both"/>
        <w:rPr>
          <w:noProof w:val="0"/>
          <w:rtl/>
        </w:rPr>
      </w:pPr>
    </w:p>
    <w:p w14:paraId="394E9424" w14:textId="77777777" w:rsidR="00B6625B" w:rsidRDefault="00B6625B" w:rsidP="00B6625B">
      <w:pPr>
        <w:spacing w:line="360" w:lineRule="auto"/>
        <w:jc w:val="both"/>
        <w:rPr>
          <w:noProof w:val="0"/>
          <w:rtl/>
        </w:rPr>
      </w:pPr>
      <w:r>
        <w:rPr>
          <w:rFonts w:hint="cs"/>
          <w:noProof w:val="0"/>
          <w:rtl/>
        </w:rPr>
        <w:t>אשת הנאשם מסרה, כי הנאשם היה "ילד" כאשר עבר את העבירה וכי "עבדו עליו", והוא בסך הכל שמר את התיק אצלו.</w:t>
      </w:r>
    </w:p>
    <w:p w14:paraId="1696059E" w14:textId="77777777" w:rsidR="00B6625B" w:rsidRDefault="00B6625B" w:rsidP="00B6625B">
      <w:pPr>
        <w:spacing w:line="360" w:lineRule="auto"/>
        <w:jc w:val="both"/>
        <w:rPr>
          <w:noProof w:val="0"/>
          <w:rtl/>
        </w:rPr>
      </w:pPr>
    </w:p>
    <w:p w14:paraId="14623E64" w14:textId="77777777" w:rsidR="00B6625B" w:rsidRDefault="00B6625B" w:rsidP="00B6625B">
      <w:pPr>
        <w:spacing w:line="360" w:lineRule="auto"/>
        <w:jc w:val="both"/>
        <w:rPr>
          <w:noProof w:val="0"/>
          <w:rtl/>
        </w:rPr>
      </w:pPr>
      <w:r>
        <w:rPr>
          <w:rFonts w:hint="cs"/>
          <w:noProof w:val="0"/>
          <w:rtl/>
        </w:rPr>
        <w:t>לדברי העדה, לא יחזור שוב על אותה טעות.</w:t>
      </w:r>
    </w:p>
    <w:p w14:paraId="18003A74" w14:textId="77777777" w:rsidR="00B6625B" w:rsidRDefault="00B6625B" w:rsidP="00B6625B">
      <w:pPr>
        <w:spacing w:line="360" w:lineRule="auto"/>
        <w:jc w:val="both"/>
        <w:rPr>
          <w:noProof w:val="0"/>
          <w:rtl/>
        </w:rPr>
      </w:pPr>
    </w:p>
    <w:p w14:paraId="5BCF297D" w14:textId="77777777" w:rsidR="00B6625B" w:rsidRDefault="00B6625B" w:rsidP="00B6625B">
      <w:pPr>
        <w:spacing w:line="360" w:lineRule="auto"/>
        <w:jc w:val="both"/>
        <w:rPr>
          <w:noProof w:val="0"/>
          <w:rtl/>
        </w:rPr>
      </w:pPr>
      <w:r>
        <w:rPr>
          <w:rFonts w:hint="cs"/>
          <w:noProof w:val="0"/>
          <w:rtl/>
        </w:rPr>
        <w:t>העדה מסרה, כי היא הרה מהנאשם וכי הוא המפרנס היחיד של התא המשפחתי.</w:t>
      </w:r>
    </w:p>
    <w:p w14:paraId="357786D7" w14:textId="77777777" w:rsidR="00B6625B" w:rsidRDefault="00B6625B" w:rsidP="00B6625B">
      <w:pPr>
        <w:spacing w:line="360" w:lineRule="auto"/>
        <w:jc w:val="both"/>
        <w:rPr>
          <w:noProof w:val="0"/>
          <w:rtl/>
        </w:rPr>
      </w:pPr>
    </w:p>
    <w:p w14:paraId="457CA532" w14:textId="77777777" w:rsidR="00B6625B" w:rsidRDefault="00B6625B" w:rsidP="00B6625B">
      <w:pPr>
        <w:spacing w:line="360" w:lineRule="auto"/>
        <w:jc w:val="both"/>
        <w:rPr>
          <w:noProof w:val="0"/>
          <w:rtl/>
        </w:rPr>
      </w:pPr>
    </w:p>
    <w:p w14:paraId="59DA46C1" w14:textId="77777777" w:rsidR="00B6625B" w:rsidRDefault="00B6625B" w:rsidP="00B6625B">
      <w:pPr>
        <w:spacing w:line="360" w:lineRule="auto"/>
        <w:jc w:val="both"/>
        <w:rPr>
          <w:noProof w:val="0"/>
          <w:rtl/>
        </w:rPr>
      </w:pPr>
    </w:p>
    <w:p w14:paraId="25D940EB" w14:textId="77777777" w:rsidR="00B6625B" w:rsidRDefault="00B6625B" w:rsidP="00B6625B">
      <w:pPr>
        <w:spacing w:line="360" w:lineRule="auto"/>
        <w:jc w:val="both"/>
        <w:rPr>
          <w:noProof w:val="0"/>
          <w:rtl/>
        </w:rPr>
      </w:pPr>
    </w:p>
    <w:p w14:paraId="1A9C32F1" w14:textId="77777777" w:rsidR="00B6625B" w:rsidRPr="00D20B4F" w:rsidRDefault="00B6625B" w:rsidP="00B6625B">
      <w:pPr>
        <w:spacing w:line="360" w:lineRule="auto"/>
        <w:jc w:val="both"/>
        <w:rPr>
          <w:noProof w:val="0"/>
          <w:rtl/>
        </w:rPr>
      </w:pPr>
      <w:r>
        <w:rPr>
          <w:rFonts w:hint="cs"/>
          <w:b/>
          <w:bCs/>
          <w:noProof w:val="0"/>
          <w:rtl/>
        </w:rPr>
        <w:t>הערכת שירות המבחן למבוגרים</w:t>
      </w:r>
    </w:p>
    <w:p w14:paraId="755B0A89" w14:textId="77777777" w:rsidR="00B6625B" w:rsidRDefault="00B6625B" w:rsidP="00B6625B">
      <w:pPr>
        <w:spacing w:line="360" w:lineRule="auto"/>
        <w:jc w:val="both"/>
        <w:rPr>
          <w:noProof w:val="0"/>
          <w:rtl/>
        </w:rPr>
      </w:pPr>
    </w:p>
    <w:p w14:paraId="40B01272" w14:textId="77777777" w:rsidR="00B6625B" w:rsidRDefault="00B6625B" w:rsidP="00B6625B">
      <w:pPr>
        <w:spacing w:line="360" w:lineRule="auto"/>
        <w:jc w:val="both"/>
        <w:rPr>
          <w:noProof w:val="0"/>
          <w:rtl/>
        </w:rPr>
      </w:pPr>
      <w:r>
        <w:rPr>
          <w:rFonts w:hint="cs"/>
          <w:noProof w:val="0"/>
          <w:rtl/>
        </w:rPr>
        <w:t>בענינו של הנאשם הוגש תסקיר המפרט את נסיבותיו האישיות, כבן 22, נשוי, מתגורר ברהט ועובד במחצבה במפעל "רותם" מזה כששה חודשים.</w:t>
      </w:r>
    </w:p>
    <w:p w14:paraId="3DC06FD0" w14:textId="77777777" w:rsidR="00B6625B" w:rsidRDefault="00B6625B" w:rsidP="00B6625B">
      <w:pPr>
        <w:spacing w:line="360" w:lineRule="auto"/>
        <w:jc w:val="both"/>
        <w:rPr>
          <w:noProof w:val="0"/>
          <w:rtl/>
        </w:rPr>
      </w:pPr>
    </w:p>
    <w:p w14:paraId="1A8E5495" w14:textId="77777777" w:rsidR="00B6625B" w:rsidRDefault="00B6625B" w:rsidP="00B6625B">
      <w:pPr>
        <w:spacing w:line="360" w:lineRule="auto"/>
        <w:jc w:val="both"/>
        <w:rPr>
          <w:noProof w:val="0"/>
          <w:rtl/>
        </w:rPr>
      </w:pPr>
      <w:r>
        <w:rPr>
          <w:rFonts w:hint="cs"/>
          <w:noProof w:val="0"/>
          <w:rtl/>
        </w:rPr>
        <w:t>הנאשם סיים 12 שנות לימוד, אך אינו יודע אם זכאי לתעודת בגרות, כיוון שנעצר במהלך שנת הלימודים האחרונה.</w:t>
      </w:r>
    </w:p>
    <w:p w14:paraId="614F9FAF" w14:textId="77777777" w:rsidR="00B6625B" w:rsidRDefault="00B6625B" w:rsidP="00B6625B">
      <w:pPr>
        <w:spacing w:line="360" w:lineRule="auto"/>
        <w:jc w:val="both"/>
        <w:rPr>
          <w:noProof w:val="0"/>
          <w:rtl/>
        </w:rPr>
      </w:pPr>
    </w:p>
    <w:p w14:paraId="46ADE852" w14:textId="77777777" w:rsidR="00B6625B" w:rsidRDefault="00B6625B" w:rsidP="00B6625B">
      <w:pPr>
        <w:spacing w:line="360" w:lineRule="auto"/>
        <w:jc w:val="both"/>
        <w:rPr>
          <w:noProof w:val="0"/>
          <w:rtl/>
        </w:rPr>
      </w:pPr>
      <w:r>
        <w:rPr>
          <w:rFonts w:hint="cs"/>
          <w:noProof w:val="0"/>
          <w:rtl/>
        </w:rPr>
        <w:t>הנאשם מסר, כי בשנת 2018 עבר תאונת דרכים, אשר לדבריו, נחבל במהלכה באופן העשוי להשפיע עליו בעתיד, אך לא הוצגו אישורים רפואיים.</w:t>
      </w:r>
    </w:p>
    <w:p w14:paraId="18B67346" w14:textId="77777777" w:rsidR="00B6625B" w:rsidRDefault="00B6625B" w:rsidP="00B6625B">
      <w:pPr>
        <w:spacing w:line="360" w:lineRule="auto"/>
        <w:jc w:val="both"/>
        <w:rPr>
          <w:noProof w:val="0"/>
          <w:rtl/>
        </w:rPr>
      </w:pPr>
    </w:p>
    <w:p w14:paraId="2A7103F8" w14:textId="77777777" w:rsidR="00B6625B" w:rsidRDefault="00B6625B" w:rsidP="00B6625B">
      <w:pPr>
        <w:spacing w:line="360" w:lineRule="auto"/>
        <w:jc w:val="both"/>
        <w:rPr>
          <w:noProof w:val="0"/>
          <w:rtl/>
        </w:rPr>
      </w:pPr>
      <w:r>
        <w:rPr>
          <w:rFonts w:hint="cs"/>
          <w:noProof w:val="0"/>
          <w:rtl/>
        </w:rPr>
        <w:t>הנאשם נעדר הרשעות קודמות.</w:t>
      </w:r>
    </w:p>
    <w:p w14:paraId="4CB21C22" w14:textId="77777777" w:rsidR="00B6625B" w:rsidRDefault="00B6625B" w:rsidP="00B6625B">
      <w:pPr>
        <w:spacing w:line="360" w:lineRule="auto"/>
        <w:jc w:val="both"/>
        <w:rPr>
          <w:noProof w:val="0"/>
          <w:rtl/>
        </w:rPr>
      </w:pPr>
    </w:p>
    <w:p w14:paraId="67EE126D" w14:textId="77777777" w:rsidR="00B6625B" w:rsidRDefault="00B6625B" w:rsidP="00B6625B">
      <w:pPr>
        <w:spacing w:line="360" w:lineRule="auto"/>
        <w:jc w:val="both"/>
        <w:rPr>
          <w:noProof w:val="0"/>
          <w:rtl/>
        </w:rPr>
      </w:pPr>
      <w:r>
        <w:rPr>
          <w:rFonts w:hint="cs"/>
          <w:noProof w:val="0"/>
          <w:rtl/>
        </w:rPr>
        <w:t>הנאשם נטל אחריות חלקית בנוגע לעבירה דנן ושירות המבחן התרשם, כי אינו מגלה הבנה לחומרת המעשים.</w:t>
      </w:r>
    </w:p>
    <w:p w14:paraId="3345C3C7" w14:textId="77777777" w:rsidR="00B6625B" w:rsidRDefault="00B6625B" w:rsidP="00B6625B">
      <w:pPr>
        <w:spacing w:line="360" w:lineRule="auto"/>
        <w:jc w:val="both"/>
        <w:rPr>
          <w:noProof w:val="0"/>
          <w:rtl/>
        </w:rPr>
      </w:pPr>
    </w:p>
    <w:p w14:paraId="16747D84" w14:textId="77777777" w:rsidR="00B6625B" w:rsidRDefault="00B6625B" w:rsidP="00B6625B">
      <w:pPr>
        <w:spacing w:line="360" w:lineRule="auto"/>
        <w:jc w:val="both"/>
        <w:rPr>
          <w:noProof w:val="0"/>
          <w:rtl/>
        </w:rPr>
      </w:pPr>
      <w:r>
        <w:rPr>
          <w:rFonts w:hint="cs"/>
          <w:noProof w:val="0"/>
          <w:rtl/>
        </w:rPr>
        <w:t>לדברי הנאשם, ביום העבירה, בן דודו חליל הגיע אליו ואמר לו שהוא משאיר אצלו תיק והוא יבוא לקחת אותו מאוחר יותר. הנאשם נתן אמון בבן דודו ולכן לא שאל בנוגע לתכולת התיק. כאשר חליל לא חזר לקחת את התיק, פתח הנאשם את התיק והבחין במחסניות בלבד ולא ביתר תכולת התיק.</w:t>
      </w:r>
    </w:p>
    <w:p w14:paraId="0DFFEABA" w14:textId="77777777" w:rsidR="00B6625B" w:rsidRDefault="00B6625B" w:rsidP="00B6625B">
      <w:pPr>
        <w:spacing w:line="360" w:lineRule="auto"/>
        <w:jc w:val="both"/>
        <w:rPr>
          <w:noProof w:val="0"/>
          <w:rtl/>
        </w:rPr>
      </w:pPr>
    </w:p>
    <w:p w14:paraId="2DDC96C5" w14:textId="77777777" w:rsidR="00B6625B" w:rsidRDefault="00B6625B" w:rsidP="00B6625B">
      <w:pPr>
        <w:spacing w:line="360" w:lineRule="auto"/>
        <w:jc w:val="both"/>
        <w:rPr>
          <w:noProof w:val="0"/>
          <w:rtl/>
        </w:rPr>
      </w:pPr>
      <w:r>
        <w:rPr>
          <w:rFonts w:hint="cs"/>
          <w:noProof w:val="0"/>
          <w:rtl/>
        </w:rPr>
        <w:t>הנאשם מסר, כי מערכת היחסים שלו עם חליל מושתת על כבוד ופחד ולכן הסכים לבקשתו.</w:t>
      </w:r>
    </w:p>
    <w:p w14:paraId="0290DC10" w14:textId="77777777" w:rsidR="00B6625B" w:rsidRDefault="00B6625B" w:rsidP="00B6625B">
      <w:pPr>
        <w:spacing w:line="360" w:lineRule="auto"/>
        <w:jc w:val="both"/>
        <w:rPr>
          <w:noProof w:val="0"/>
          <w:rtl/>
        </w:rPr>
      </w:pPr>
    </w:p>
    <w:p w14:paraId="0A56F2C9" w14:textId="77777777" w:rsidR="00B6625B" w:rsidRDefault="00B6625B" w:rsidP="00B6625B">
      <w:pPr>
        <w:spacing w:line="360" w:lineRule="auto"/>
        <w:jc w:val="both"/>
        <w:rPr>
          <w:noProof w:val="0"/>
          <w:rtl/>
        </w:rPr>
      </w:pPr>
      <w:r>
        <w:rPr>
          <w:rFonts w:hint="cs"/>
          <w:noProof w:val="0"/>
          <w:rtl/>
        </w:rPr>
        <w:t>לדבריו, גם כאשר הבחין, כי בתיק ישנן מחסניות נשק, לא ידע שאסור להחזיקן, אך יצר קשר עם חליל שיבוא לקחת אותן, והאחרון לא הגיע ואף איים על הנאשם.</w:t>
      </w:r>
    </w:p>
    <w:p w14:paraId="44ACB980" w14:textId="77777777" w:rsidR="00B6625B" w:rsidRDefault="00B6625B" w:rsidP="00B6625B">
      <w:pPr>
        <w:spacing w:line="360" w:lineRule="auto"/>
        <w:jc w:val="both"/>
        <w:rPr>
          <w:noProof w:val="0"/>
          <w:rtl/>
        </w:rPr>
      </w:pPr>
    </w:p>
    <w:p w14:paraId="315541FA" w14:textId="77777777" w:rsidR="00B6625B" w:rsidRDefault="00B6625B" w:rsidP="00B6625B">
      <w:pPr>
        <w:spacing w:line="360" w:lineRule="auto"/>
        <w:jc w:val="both"/>
        <w:rPr>
          <w:noProof w:val="0"/>
          <w:rtl/>
        </w:rPr>
      </w:pPr>
      <w:r>
        <w:rPr>
          <w:rFonts w:hint="cs"/>
          <w:noProof w:val="0"/>
          <w:rtl/>
        </w:rPr>
        <w:t>שירות המבחן התרשם מפער בדבריו של הנאשם, כאשר מחד, טען, כי לא ידע שקיים איסור להחזיק מחסניות נשק, ומנגד, נרתע מכך וביקש מחליל לבוא לקחת את התיק.</w:t>
      </w:r>
    </w:p>
    <w:p w14:paraId="2ED0E040" w14:textId="77777777" w:rsidR="00B6625B" w:rsidRDefault="00B6625B" w:rsidP="00B6625B">
      <w:pPr>
        <w:spacing w:line="360" w:lineRule="auto"/>
        <w:jc w:val="both"/>
        <w:rPr>
          <w:noProof w:val="0"/>
          <w:rtl/>
        </w:rPr>
      </w:pPr>
    </w:p>
    <w:p w14:paraId="1E37B538" w14:textId="77777777" w:rsidR="00B6625B" w:rsidRDefault="00B6625B" w:rsidP="00B6625B">
      <w:pPr>
        <w:spacing w:line="360" w:lineRule="auto"/>
        <w:jc w:val="both"/>
        <w:rPr>
          <w:noProof w:val="0"/>
          <w:rtl/>
        </w:rPr>
      </w:pPr>
      <w:r>
        <w:rPr>
          <w:rFonts w:hint="cs"/>
          <w:noProof w:val="0"/>
          <w:rtl/>
        </w:rPr>
        <w:t>הנאשם שלל השתייכות לארגון טרור, ומסר, כי תופס את גורמי אכיפת החוק, המשטרה והצבא כגופים חיוניים שמטרתם לעצור את האלימות.</w:t>
      </w:r>
    </w:p>
    <w:p w14:paraId="5A2FE123" w14:textId="77777777" w:rsidR="00B6625B" w:rsidRDefault="00B6625B" w:rsidP="00B6625B">
      <w:pPr>
        <w:spacing w:line="360" w:lineRule="auto"/>
        <w:jc w:val="both"/>
        <w:rPr>
          <w:noProof w:val="0"/>
          <w:rtl/>
        </w:rPr>
      </w:pPr>
    </w:p>
    <w:p w14:paraId="79DCD39A" w14:textId="77777777" w:rsidR="00B6625B" w:rsidRDefault="00B6625B" w:rsidP="00B6625B">
      <w:pPr>
        <w:spacing w:line="360" w:lineRule="auto"/>
        <w:jc w:val="both"/>
        <w:rPr>
          <w:noProof w:val="0"/>
          <w:rtl/>
        </w:rPr>
      </w:pPr>
      <w:r>
        <w:rPr>
          <w:rFonts w:hint="cs"/>
          <w:noProof w:val="0"/>
          <w:rtl/>
        </w:rPr>
        <w:t>הנאשם שלל שימוש בחומרים ממכרים.</w:t>
      </w:r>
    </w:p>
    <w:p w14:paraId="27AEBD9F" w14:textId="77777777" w:rsidR="00B6625B" w:rsidRDefault="00B6625B" w:rsidP="00B6625B">
      <w:pPr>
        <w:spacing w:line="360" w:lineRule="auto"/>
        <w:jc w:val="both"/>
        <w:rPr>
          <w:noProof w:val="0"/>
          <w:rtl/>
        </w:rPr>
      </w:pPr>
    </w:p>
    <w:p w14:paraId="75AD4E35" w14:textId="77777777" w:rsidR="00B6625B" w:rsidRDefault="00B6625B" w:rsidP="00B6625B">
      <w:pPr>
        <w:spacing w:line="360" w:lineRule="auto"/>
        <w:jc w:val="both"/>
        <w:rPr>
          <w:noProof w:val="0"/>
          <w:rtl/>
        </w:rPr>
      </w:pPr>
      <w:r>
        <w:rPr>
          <w:rFonts w:hint="cs"/>
          <w:noProof w:val="0"/>
          <w:rtl/>
        </w:rPr>
        <w:t>שירות המבחן התרשם, כי הנאשם מביע שאיפות נורמטיביות להמשך, ומביע אחריות כלפי משפחתו.</w:t>
      </w:r>
    </w:p>
    <w:p w14:paraId="149E321B" w14:textId="77777777" w:rsidR="00B6625B" w:rsidRDefault="00B6625B" w:rsidP="00B6625B">
      <w:pPr>
        <w:spacing w:line="360" w:lineRule="auto"/>
        <w:jc w:val="both"/>
        <w:rPr>
          <w:noProof w:val="0"/>
          <w:rtl/>
        </w:rPr>
      </w:pPr>
    </w:p>
    <w:p w14:paraId="13F4EA30" w14:textId="77777777" w:rsidR="00B6625B" w:rsidRDefault="00B6625B" w:rsidP="00B6625B">
      <w:pPr>
        <w:spacing w:line="360" w:lineRule="auto"/>
        <w:jc w:val="both"/>
        <w:rPr>
          <w:noProof w:val="0"/>
          <w:rtl/>
        </w:rPr>
      </w:pPr>
      <w:r>
        <w:rPr>
          <w:rFonts w:hint="cs"/>
          <w:noProof w:val="0"/>
          <w:rtl/>
        </w:rPr>
        <w:t>שירות המבחן התרשם, כי חווית המעצר וההליך הפלילי מהווים גורם מרתיע עבור הנאשם, על רקע המחיר אותו משלם.</w:t>
      </w:r>
    </w:p>
    <w:p w14:paraId="35C8E5A4" w14:textId="77777777" w:rsidR="00B6625B" w:rsidRDefault="00B6625B" w:rsidP="00B6625B">
      <w:pPr>
        <w:spacing w:line="360" w:lineRule="auto"/>
        <w:jc w:val="both"/>
        <w:rPr>
          <w:noProof w:val="0"/>
          <w:rtl/>
        </w:rPr>
      </w:pPr>
    </w:p>
    <w:p w14:paraId="771E92E0" w14:textId="77777777" w:rsidR="00B6625B" w:rsidRDefault="00B6625B" w:rsidP="00B6625B">
      <w:pPr>
        <w:spacing w:line="360" w:lineRule="auto"/>
        <w:jc w:val="both"/>
        <w:rPr>
          <w:noProof w:val="0"/>
          <w:rtl/>
        </w:rPr>
      </w:pPr>
      <w:r>
        <w:rPr>
          <w:rFonts w:hint="cs"/>
          <w:noProof w:val="0"/>
          <w:rtl/>
        </w:rPr>
        <w:t>שירות המבחן התרשם, כי הנאשם הרבה לעסוק בפגיעה שחווה בשל מעורבותו בהליך פלילי ובהשלכותיו על חייו.</w:t>
      </w:r>
    </w:p>
    <w:p w14:paraId="6AF59475" w14:textId="77777777" w:rsidR="00B6625B" w:rsidRDefault="00B6625B" w:rsidP="00B6625B">
      <w:pPr>
        <w:spacing w:line="360" w:lineRule="auto"/>
        <w:jc w:val="both"/>
        <w:rPr>
          <w:noProof w:val="0"/>
          <w:rtl/>
        </w:rPr>
      </w:pPr>
    </w:p>
    <w:p w14:paraId="6A4D3AB9" w14:textId="77777777" w:rsidR="00B6625B" w:rsidRDefault="00B6625B" w:rsidP="00B6625B">
      <w:pPr>
        <w:spacing w:line="360" w:lineRule="auto"/>
        <w:jc w:val="both"/>
        <w:rPr>
          <w:noProof w:val="0"/>
          <w:rtl/>
        </w:rPr>
      </w:pPr>
      <w:r>
        <w:rPr>
          <w:rFonts w:hint="cs"/>
          <w:noProof w:val="0"/>
          <w:rtl/>
        </w:rPr>
        <w:t>שירות המבחן התרשם, כי הנאשם אינו נוטל אחריות מלאה על מעשיו, מטשטש ומצמצם מחלקו בעבירה, מחזיק בעמדה קרבנית, תוך שמשליך את האחריות על גורמים חיצוניים, מתקשה להפעיל שיקול דעת מעמיק אודות מעשיו, ועלול לפעול בצורה מרצה, מבלי לבחון את ההשלכות לכך, מתוך רצון לזכות בהערכה.</w:t>
      </w:r>
    </w:p>
    <w:p w14:paraId="2FD2AC8A" w14:textId="77777777" w:rsidR="00B6625B" w:rsidRDefault="00B6625B" w:rsidP="00B6625B">
      <w:pPr>
        <w:spacing w:line="360" w:lineRule="auto"/>
        <w:jc w:val="both"/>
        <w:rPr>
          <w:noProof w:val="0"/>
          <w:rtl/>
        </w:rPr>
      </w:pPr>
    </w:p>
    <w:p w14:paraId="40320219" w14:textId="77777777" w:rsidR="00B6625B" w:rsidRDefault="00B6625B" w:rsidP="00B6625B">
      <w:pPr>
        <w:spacing w:line="360" w:lineRule="auto"/>
        <w:jc w:val="both"/>
        <w:rPr>
          <w:noProof w:val="0"/>
          <w:rtl/>
        </w:rPr>
      </w:pPr>
      <w:r>
        <w:rPr>
          <w:rFonts w:hint="cs"/>
          <w:noProof w:val="0"/>
          <w:rtl/>
        </w:rPr>
        <w:t>הנאשם הביע הסכמתו להשתלב בהליך טיפולי.</w:t>
      </w:r>
    </w:p>
    <w:p w14:paraId="59875C5C" w14:textId="77777777" w:rsidR="00B6625B" w:rsidRDefault="00B6625B" w:rsidP="00B6625B">
      <w:pPr>
        <w:spacing w:line="360" w:lineRule="auto"/>
        <w:jc w:val="both"/>
        <w:rPr>
          <w:noProof w:val="0"/>
          <w:rtl/>
        </w:rPr>
      </w:pPr>
    </w:p>
    <w:p w14:paraId="38EF291D" w14:textId="77777777" w:rsidR="00B6625B" w:rsidRPr="005451F8" w:rsidRDefault="00B6625B" w:rsidP="00B6625B">
      <w:pPr>
        <w:spacing w:line="360" w:lineRule="auto"/>
        <w:jc w:val="both"/>
        <w:rPr>
          <w:noProof w:val="0"/>
          <w:rtl/>
        </w:rPr>
      </w:pPr>
      <w:r>
        <w:rPr>
          <w:rFonts w:hint="cs"/>
          <w:noProof w:val="0"/>
          <w:rtl/>
        </w:rPr>
        <w:t xml:space="preserve">שירות המבחן למבוגרים המליץ על ענישה </w:t>
      </w:r>
      <w:r>
        <w:rPr>
          <w:rFonts w:hint="cs"/>
          <w:noProof w:val="0"/>
          <w:u w:val="single"/>
          <w:rtl/>
        </w:rPr>
        <w:t>מוחשית</w:t>
      </w:r>
      <w:r>
        <w:rPr>
          <w:rFonts w:hint="cs"/>
          <w:noProof w:val="0"/>
          <w:rtl/>
        </w:rPr>
        <w:t xml:space="preserve"> לצד מאסר מותנה, והמליץ, כי גורמי הטיפול בשב"ס יבחנו את האפשרות לשלב את הנאשם בהליך טיפולי במסגרת מאסרו.</w:t>
      </w:r>
    </w:p>
    <w:p w14:paraId="4A090265" w14:textId="77777777" w:rsidR="00B6625B" w:rsidRDefault="00B6625B" w:rsidP="00B6625B">
      <w:pPr>
        <w:spacing w:line="360" w:lineRule="auto"/>
        <w:jc w:val="both"/>
        <w:rPr>
          <w:noProof w:val="0"/>
          <w:rtl/>
        </w:rPr>
      </w:pPr>
    </w:p>
    <w:p w14:paraId="56ADB3C2" w14:textId="77777777" w:rsidR="00B6625B" w:rsidRDefault="00B6625B" w:rsidP="00B6625B">
      <w:pPr>
        <w:spacing w:line="360" w:lineRule="auto"/>
        <w:jc w:val="both"/>
        <w:rPr>
          <w:noProof w:val="0"/>
          <w:rtl/>
        </w:rPr>
      </w:pPr>
    </w:p>
    <w:p w14:paraId="60D5F5DD" w14:textId="77777777" w:rsidR="00B6625B" w:rsidRDefault="00B6625B" w:rsidP="00B6625B">
      <w:pPr>
        <w:spacing w:line="360" w:lineRule="auto"/>
        <w:jc w:val="both"/>
        <w:rPr>
          <w:noProof w:val="0"/>
          <w:rtl/>
        </w:rPr>
      </w:pPr>
      <w:r>
        <w:rPr>
          <w:rFonts w:hint="cs"/>
          <w:b/>
          <w:bCs/>
          <w:noProof w:val="0"/>
          <w:rtl/>
        </w:rPr>
        <w:t>טענות הצדדים</w:t>
      </w:r>
    </w:p>
    <w:p w14:paraId="0B45F7B4" w14:textId="77777777" w:rsidR="00B6625B" w:rsidRDefault="00B6625B" w:rsidP="00B6625B">
      <w:pPr>
        <w:spacing w:line="360" w:lineRule="auto"/>
        <w:jc w:val="both"/>
        <w:rPr>
          <w:noProof w:val="0"/>
          <w:rtl/>
        </w:rPr>
      </w:pPr>
    </w:p>
    <w:p w14:paraId="163C74C2" w14:textId="77777777" w:rsidR="00B6625B" w:rsidRDefault="00B6625B" w:rsidP="00B6625B">
      <w:pPr>
        <w:spacing w:line="360" w:lineRule="auto"/>
        <w:jc w:val="both"/>
        <w:rPr>
          <w:noProof w:val="0"/>
          <w:rtl/>
        </w:rPr>
      </w:pPr>
      <w:r>
        <w:rPr>
          <w:rFonts w:hint="cs"/>
          <w:noProof w:val="0"/>
          <w:u w:val="single"/>
          <w:rtl/>
        </w:rPr>
        <w:t>התביעה</w:t>
      </w:r>
      <w:r>
        <w:rPr>
          <w:rFonts w:hint="cs"/>
          <w:noProof w:val="0"/>
          <w:rtl/>
        </w:rPr>
        <w:t xml:space="preserve"> הגישה טיעוניה בכתב (ת/28) והשלימה אותן על פה.</w:t>
      </w:r>
    </w:p>
    <w:p w14:paraId="2857EB14" w14:textId="77777777" w:rsidR="00B6625B" w:rsidRDefault="00B6625B" w:rsidP="00B6625B">
      <w:pPr>
        <w:spacing w:line="360" w:lineRule="auto"/>
        <w:jc w:val="both"/>
        <w:rPr>
          <w:noProof w:val="0"/>
          <w:rtl/>
        </w:rPr>
      </w:pPr>
    </w:p>
    <w:p w14:paraId="4FE2255F" w14:textId="77777777" w:rsidR="00B6625B" w:rsidRDefault="00B6625B" w:rsidP="00B6625B">
      <w:pPr>
        <w:spacing w:line="360" w:lineRule="auto"/>
        <w:jc w:val="both"/>
        <w:rPr>
          <w:noProof w:val="0"/>
          <w:rtl/>
        </w:rPr>
      </w:pPr>
      <w:r>
        <w:rPr>
          <w:rFonts w:hint="cs"/>
          <w:noProof w:val="0"/>
          <w:rtl/>
        </w:rPr>
        <w:t>התביעה טענה, כי מעשי הנאשם פגעו בערכים המוגנים של הגנה על שלום הציבור ובטחונו, ושמירה על גופו וחייו של אדם.</w:t>
      </w:r>
    </w:p>
    <w:p w14:paraId="31C095D0" w14:textId="77777777" w:rsidR="00B6625B" w:rsidRDefault="00B6625B" w:rsidP="00B6625B">
      <w:pPr>
        <w:spacing w:line="360" w:lineRule="auto"/>
        <w:jc w:val="both"/>
        <w:rPr>
          <w:noProof w:val="0"/>
          <w:rtl/>
        </w:rPr>
      </w:pPr>
    </w:p>
    <w:p w14:paraId="44402068" w14:textId="77777777" w:rsidR="00B6625B" w:rsidRDefault="00B6625B" w:rsidP="00B6625B">
      <w:pPr>
        <w:spacing w:line="360" w:lineRule="auto"/>
        <w:jc w:val="both"/>
        <w:rPr>
          <w:noProof w:val="0"/>
          <w:rtl/>
        </w:rPr>
      </w:pPr>
      <w:r>
        <w:rPr>
          <w:rFonts w:hint="cs"/>
          <w:noProof w:val="0"/>
          <w:rtl/>
        </w:rPr>
        <w:t>התביעה הדגישה הנזקים הפוטנציאליים מעבירות נשק, אשר יש בהן כדי לגדוע חיי אדם.</w:t>
      </w:r>
    </w:p>
    <w:p w14:paraId="6B28196F" w14:textId="77777777" w:rsidR="00B6625B" w:rsidRDefault="00B6625B" w:rsidP="00B6625B">
      <w:pPr>
        <w:spacing w:line="360" w:lineRule="auto"/>
        <w:jc w:val="both"/>
        <w:rPr>
          <w:noProof w:val="0"/>
          <w:rtl/>
        </w:rPr>
      </w:pPr>
    </w:p>
    <w:p w14:paraId="7C64A77D" w14:textId="77777777" w:rsidR="00B6625B" w:rsidRDefault="00B6625B" w:rsidP="00B6625B">
      <w:pPr>
        <w:spacing w:line="360" w:lineRule="auto"/>
        <w:jc w:val="both"/>
        <w:rPr>
          <w:noProof w:val="0"/>
          <w:rtl/>
        </w:rPr>
      </w:pPr>
      <w:r>
        <w:rPr>
          <w:rFonts w:hint="cs"/>
          <w:noProof w:val="0"/>
          <w:rtl/>
        </w:rPr>
        <w:t xml:space="preserve">התביעה טענה, כי נשק לא חוקי עלול להגיע לידיים עברייניות או חמור מכך </w:t>
      </w:r>
      <w:r>
        <w:rPr>
          <w:noProof w:val="0"/>
          <w:rtl/>
        </w:rPr>
        <w:t>–</w:t>
      </w:r>
      <w:r>
        <w:rPr>
          <w:rFonts w:hint="cs"/>
          <w:noProof w:val="0"/>
          <w:rtl/>
        </w:rPr>
        <w:t xml:space="preserve"> לשמש גם לעבירות נגד בטחון המדינה.</w:t>
      </w:r>
    </w:p>
    <w:p w14:paraId="3C7A6377" w14:textId="77777777" w:rsidR="00B6625B" w:rsidRDefault="00B6625B" w:rsidP="00B6625B">
      <w:pPr>
        <w:spacing w:line="360" w:lineRule="auto"/>
        <w:jc w:val="both"/>
        <w:rPr>
          <w:noProof w:val="0"/>
          <w:rtl/>
        </w:rPr>
      </w:pPr>
    </w:p>
    <w:p w14:paraId="3E46AC37" w14:textId="77777777" w:rsidR="00B6625B" w:rsidRDefault="00B6625B" w:rsidP="00B6625B">
      <w:pPr>
        <w:spacing w:line="360" w:lineRule="auto"/>
        <w:jc w:val="both"/>
        <w:rPr>
          <w:noProof w:val="0"/>
          <w:rtl/>
        </w:rPr>
      </w:pPr>
      <w:r>
        <w:rPr>
          <w:rFonts w:hint="cs"/>
          <w:noProof w:val="0"/>
          <w:rtl/>
        </w:rPr>
        <w:t>התביעה עמדה על הנסיבות לחומרה, שכן, במקרה דנן, החזיק הנאשם, בין היתר, מטען חבלה מוכן להפעלה מרחוק, בבית בו נמצאים ילדים ומבוגרים.</w:t>
      </w:r>
    </w:p>
    <w:p w14:paraId="3849879B" w14:textId="77777777" w:rsidR="00B6625B" w:rsidRDefault="00B6625B" w:rsidP="00B6625B">
      <w:pPr>
        <w:spacing w:line="360" w:lineRule="auto"/>
        <w:jc w:val="both"/>
        <w:rPr>
          <w:noProof w:val="0"/>
          <w:rtl/>
        </w:rPr>
      </w:pPr>
    </w:p>
    <w:p w14:paraId="77E4260A" w14:textId="77777777" w:rsidR="00B6625B" w:rsidRDefault="00B6625B" w:rsidP="00B6625B">
      <w:pPr>
        <w:spacing w:line="360" w:lineRule="auto"/>
        <w:jc w:val="both"/>
        <w:rPr>
          <w:noProof w:val="0"/>
          <w:rtl/>
        </w:rPr>
      </w:pPr>
      <w:r>
        <w:rPr>
          <w:rFonts w:hint="cs"/>
          <w:noProof w:val="0"/>
          <w:rtl/>
        </w:rPr>
        <w:t>בנוסף, החזיק הנאשם ברימון סינוור וכן, מאות כדורי רובה, חלקם מוכנים בתוך מחסניות.</w:t>
      </w:r>
    </w:p>
    <w:p w14:paraId="06943A95" w14:textId="77777777" w:rsidR="00B6625B" w:rsidRDefault="00B6625B" w:rsidP="00B6625B">
      <w:pPr>
        <w:spacing w:line="360" w:lineRule="auto"/>
        <w:jc w:val="both"/>
        <w:rPr>
          <w:noProof w:val="0"/>
          <w:rtl/>
        </w:rPr>
      </w:pPr>
    </w:p>
    <w:p w14:paraId="7F981DCC" w14:textId="77777777" w:rsidR="00B6625B" w:rsidRDefault="00B6625B" w:rsidP="00B6625B">
      <w:pPr>
        <w:spacing w:line="360" w:lineRule="auto"/>
        <w:jc w:val="both"/>
        <w:rPr>
          <w:noProof w:val="0"/>
          <w:rtl/>
        </w:rPr>
      </w:pPr>
      <w:r>
        <w:rPr>
          <w:rFonts w:hint="cs"/>
          <w:noProof w:val="0"/>
          <w:rtl/>
        </w:rPr>
        <w:t>התביעה הדגישה התכנון שקדם לעבירה, שעה שתיאם הנאשם עם חליל את מסירת התיק.</w:t>
      </w:r>
    </w:p>
    <w:p w14:paraId="09BC19BE" w14:textId="77777777" w:rsidR="00B6625B" w:rsidRDefault="00B6625B" w:rsidP="00B6625B">
      <w:pPr>
        <w:spacing w:line="360" w:lineRule="auto"/>
        <w:jc w:val="both"/>
        <w:rPr>
          <w:noProof w:val="0"/>
          <w:rtl/>
        </w:rPr>
      </w:pPr>
    </w:p>
    <w:p w14:paraId="1034409A" w14:textId="77777777" w:rsidR="00B6625B" w:rsidRDefault="00B6625B" w:rsidP="00B6625B">
      <w:pPr>
        <w:spacing w:line="360" w:lineRule="auto"/>
        <w:jc w:val="both"/>
        <w:rPr>
          <w:noProof w:val="0"/>
          <w:rtl/>
        </w:rPr>
      </w:pPr>
      <w:r>
        <w:rPr>
          <w:rFonts w:hint="cs"/>
          <w:noProof w:val="0"/>
          <w:rtl/>
        </w:rPr>
        <w:t>התביעה הפנתה לענינו של חליל, אשר נדון לפני מותב אחר, ונגזרו עליו 30 חודשי מאסר בפועל. חליל ערער על גזר דינו, אך בית המשפט המחוזי המליץ לו לשקול את ערעורו ולבסוף, חזר בו חליל מהערעור.</w:t>
      </w:r>
    </w:p>
    <w:p w14:paraId="3F9F1EB9" w14:textId="77777777" w:rsidR="00B6625B" w:rsidRDefault="00B6625B" w:rsidP="00B6625B">
      <w:pPr>
        <w:spacing w:line="360" w:lineRule="auto"/>
        <w:jc w:val="both"/>
        <w:rPr>
          <w:noProof w:val="0"/>
          <w:rtl/>
        </w:rPr>
      </w:pPr>
    </w:p>
    <w:p w14:paraId="566A83AF" w14:textId="77777777" w:rsidR="00B6625B" w:rsidRDefault="00B6625B" w:rsidP="00B6625B">
      <w:pPr>
        <w:spacing w:line="360" w:lineRule="auto"/>
        <w:jc w:val="both"/>
        <w:rPr>
          <w:noProof w:val="0"/>
          <w:rtl/>
        </w:rPr>
      </w:pPr>
      <w:r>
        <w:rPr>
          <w:rFonts w:hint="cs"/>
          <w:noProof w:val="0"/>
          <w:rtl/>
        </w:rPr>
        <w:t>התביעה הפנתה להנחיית פרקליט המדינה 9.16, שענינה מדיניות ענישה בעבירות נשק ומטעני חבלה, שם נקבעו "מתחמי מוצא" שנגזרו מפסיקת בית המשפט העליון, תוך שהמאשימה תעתור למתחמים גבוהים יותר בהתאם לנסיבות.</w:t>
      </w:r>
    </w:p>
    <w:p w14:paraId="4F4AC0AB" w14:textId="77777777" w:rsidR="00B6625B" w:rsidRDefault="00B6625B" w:rsidP="00B6625B">
      <w:pPr>
        <w:spacing w:line="360" w:lineRule="auto"/>
        <w:jc w:val="both"/>
        <w:rPr>
          <w:noProof w:val="0"/>
          <w:rtl/>
        </w:rPr>
      </w:pPr>
    </w:p>
    <w:p w14:paraId="01CE2FC6" w14:textId="77777777" w:rsidR="00B6625B" w:rsidRDefault="00B6625B" w:rsidP="00B6625B">
      <w:pPr>
        <w:spacing w:line="360" w:lineRule="auto"/>
        <w:jc w:val="both"/>
        <w:rPr>
          <w:noProof w:val="0"/>
          <w:rtl/>
        </w:rPr>
      </w:pPr>
      <w:r>
        <w:rPr>
          <w:rFonts w:hint="cs"/>
          <w:noProof w:val="0"/>
          <w:rtl/>
        </w:rPr>
        <w:t>התביעה עתרה למתחם ענישה הנע בין 40 ועד 80 חודשי מאסר בפועל.</w:t>
      </w:r>
    </w:p>
    <w:p w14:paraId="5E0B75A0" w14:textId="77777777" w:rsidR="00B6625B" w:rsidRDefault="00B6625B" w:rsidP="00B6625B">
      <w:pPr>
        <w:spacing w:line="360" w:lineRule="auto"/>
        <w:jc w:val="both"/>
        <w:rPr>
          <w:noProof w:val="0"/>
          <w:rtl/>
        </w:rPr>
      </w:pPr>
    </w:p>
    <w:p w14:paraId="78AC6BE4" w14:textId="77777777" w:rsidR="00B6625B" w:rsidRDefault="00B6625B" w:rsidP="00B6625B">
      <w:pPr>
        <w:spacing w:line="360" w:lineRule="auto"/>
        <w:jc w:val="both"/>
        <w:rPr>
          <w:noProof w:val="0"/>
          <w:rtl/>
        </w:rPr>
      </w:pPr>
      <w:r>
        <w:rPr>
          <w:rFonts w:hint="cs"/>
          <w:noProof w:val="0"/>
          <w:rtl/>
        </w:rPr>
        <w:t>התביעה הפנתה לתסקיר שירות המבחן למבוגרים, אשר נערך אך ורק בשל גילו של הנאשם, ממנו עולה, כי הנאשם אינו מפנים את חומרת המעשים ואינו נוטל אחריות על מעשיו, תוך ששירות המבחן המליץ על ענישה מוחשית ומרתיעה.</w:t>
      </w:r>
    </w:p>
    <w:p w14:paraId="09B408D6" w14:textId="77777777" w:rsidR="00B6625B" w:rsidRDefault="00B6625B" w:rsidP="00B6625B">
      <w:pPr>
        <w:spacing w:line="360" w:lineRule="auto"/>
        <w:jc w:val="both"/>
        <w:rPr>
          <w:noProof w:val="0"/>
          <w:rtl/>
        </w:rPr>
      </w:pPr>
    </w:p>
    <w:p w14:paraId="5AC3A8B9" w14:textId="77777777" w:rsidR="00B6625B" w:rsidRDefault="00B6625B" w:rsidP="00B6625B">
      <w:pPr>
        <w:spacing w:line="360" w:lineRule="auto"/>
        <w:jc w:val="both"/>
        <w:rPr>
          <w:noProof w:val="0"/>
          <w:rtl/>
        </w:rPr>
      </w:pPr>
      <w:r>
        <w:rPr>
          <w:rFonts w:hint="cs"/>
          <w:noProof w:val="0"/>
          <w:rtl/>
        </w:rPr>
        <w:t>התביעה טענה, כי אין לייחס משקל לחלוף הזמן, אשר נגרם בשל ניהול ההליך, לרבות בקשות דחיה רבות מצד ההגנה; אי התייצבות העדים שהינם קרובי משפחתו של הנאשם; והוצאת צווי הבאה.</w:t>
      </w:r>
    </w:p>
    <w:p w14:paraId="1F2C96C7" w14:textId="77777777" w:rsidR="00B6625B" w:rsidRDefault="00B6625B" w:rsidP="00B6625B">
      <w:pPr>
        <w:spacing w:line="360" w:lineRule="auto"/>
        <w:jc w:val="both"/>
        <w:rPr>
          <w:noProof w:val="0"/>
          <w:rtl/>
        </w:rPr>
      </w:pPr>
    </w:p>
    <w:p w14:paraId="0CA11468" w14:textId="77777777" w:rsidR="00B6625B" w:rsidRDefault="00B6625B" w:rsidP="00B6625B">
      <w:pPr>
        <w:spacing w:line="360" w:lineRule="auto"/>
        <w:jc w:val="both"/>
        <w:rPr>
          <w:noProof w:val="0"/>
          <w:rtl/>
        </w:rPr>
      </w:pPr>
      <w:r>
        <w:rPr>
          <w:rFonts w:hint="cs"/>
          <w:noProof w:val="0"/>
          <w:rtl/>
        </w:rPr>
        <w:t>לאור גילו הצעיר של הנאשם והיעדר הרשעות קודמות, עתרה התביעה למקם את עונשו של הנאשם סמוך לתחתית מתחם הענישה, ולהטיל עליו מאסר מותנה וקנס משמעותי.</w:t>
      </w:r>
    </w:p>
    <w:p w14:paraId="1A989188" w14:textId="77777777" w:rsidR="00B6625B" w:rsidRDefault="00B6625B" w:rsidP="00B6625B">
      <w:pPr>
        <w:spacing w:line="360" w:lineRule="auto"/>
        <w:jc w:val="both"/>
        <w:rPr>
          <w:noProof w:val="0"/>
          <w:rtl/>
        </w:rPr>
      </w:pPr>
    </w:p>
    <w:p w14:paraId="6A13C746" w14:textId="77777777" w:rsidR="00B6625B" w:rsidRDefault="00B6625B" w:rsidP="00B6625B">
      <w:pPr>
        <w:spacing w:line="360" w:lineRule="auto"/>
        <w:jc w:val="both"/>
        <w:rPr>
          <w:noProof w:val="0"/>
          <w:rtl/>
        </w:rPr>
      </w:pPr>
      <w:r>
        <w:rPr>
          <w:rFonts w:hint="cs"/>
          <w:noProof w:val="0"/>
          <w:u w:val="single"/>
          <w:rtl/>
        </w:rPr>
        <w:t>ההגנה</w:t>
      </w:r>
      <w:r>
        <w:rPr>
          <w:rFonts w:hint="cs"/>
          <w:noProof w:val="0"/>
          <w:rtl/>
        </w:rPr>
        <w:t xml:space="preserve"> הגישה טיעוניה בכתב (נ/1) והשלימה אותן על פה.</w:t>
      </w:r>
    </w:p>
    <w:p w14:paraId="13D0C377" w14:textId="77777777" w:rsidR="00B6625B" w:rsidRDefault="00B6625B" w:rsidP="00B6625B">
      <w:pPr>
        <w:spacing w:line="360" w:lineRule="auto"/>
        <w:jc w:val="both"/>
        <w:rPr>
          <w:noProof w:val="0"/>
          <w:rtl/>
        </w:rPr>
      </w:pPr>
    </w:p>
    <w:p w14:paraId="4AE76972" w14:textId="77777777" w:rsidR="00B6625B" w:rsidRDefault="00B6625B" w:rsidP="00B6625B">
      <w:pPr>
        <w:spacing w:line="360" w:lineRule="auto"/>
        <w:jc w:val="both"/>
        <w:rPr>
          <w:noProof w:val="0"/>
          <w:rtl/>
        </w:rPr>
      </w:pPr>
      <w:r>
        <w:rPr>
          <w:rFonts w:hint="cs"/>
          <w:noProof w:val="0"/>
          <w:rtl/>
        </w:rPr>
        <w:t>ההגנה טענה, כי הנאשם היה בגיר צעיר בעת שעבר את העבירה, כבן 18, ובכך יש נסיבה לקולה.</w:t>
      </w:r>
    </w:p>
    <w:p w14:paraId="2AC5239D" w14:textId="77777777" w:rsidR="00B6625B" w:rsidRDefault="00B6625B" w:rsidP="00B6625B">
      <w:pPr>
        <w:spacing w:line="360" w:lineRule="auto"/>
        <w:jc w:val="both"/>
        <w:rPr>
          <w:noProof w:val="0"/>
          <w:rtl/>
        </w:rPr>
      </w:pPr>
    </w:p>
    <w:p w14:paraId="67F418C5" w14:textId="77777777" w:rsidR="00B6625B" w:rsidRDefault="00B6625B" w:rsidP="00B6625B">
      <w:pPr>
        <w:spacing w:line="360" w:lineRule="auto"/>
        <w:jc w:val="both"/>
        <w:rPr>
          <w:noProof w:val="0"/>
          <w:rtl/>
        </w:rPr>
      </w:pPr>
      <w:r>
        <w:rPr>
          <w:rFonts w:hint="cs"/>
          <w:noProof w:val="0"/>
          <w:rtl/>
        </w:rPr>
        <w:t>ההגנה טענה, כי בגיר בחברה הבדואית אינו אותו הדבר כמו בגיר בחברה היהודית והוא אינו "מפותח דיו" לכן מודעותו לדברים רגילים אינה שווה. כבר כעת, מוצא בית המשפט להעיר, כי טענה זו אינה ראויה, איננה אמת, ומוטב אילו לא היתה עולה על הכתב.</w:t>
      </w:r>
    </w:p>
    <w:p w14:paraId="1A673C7F" w14:textId="77777777" w:rsidR="00B6625B" w:rsidRDefault="00B6625B" w:rsidP="00B6625B">
      <w:pPr>
        <w:spacing w:line="360" w:lineRule="auto"/>
        <w:jc w:val="both"/>
        <w:rPr>
          <w:noProof w:val="0"/>
          <w:rtl/>
        </w:rPr>
      </w:pPr>
    </w:p>
    <w:p w14:paraId="0588A271" w14:textId="77777777" w:rsidR="00B6625B" w:rsidRDefault="00B6625B" w:rsidP="00B6625B">
      <w:pPr>
        <w:spacing w:line="360" w:lineRule="auto"/>
        <w:jc w:val="both"/>
        <w:rPr>
          <w:noProof w:val="0"/>
          <w:rtl/>
        </w:rPr>
      </w:pPr>
      <w:r>
        <w:rPr>
          <w:rFonts w:hint="cs"/>
          <w:noProof w:val="0"/>
          <w:rtl/>
        </w:rPr>
        <w:t>ההגנה טענה, כי לנאשם נגרם עיוות דין בכך שההליך התנהל קרוב לארבע שנים ומחצה.</w:t>
      </w:r>
    </w:p>
    <w:p w14:paraId="65CC7568" w14:textId="77777777" w:rsidR="00B6625B" w:rsidRDefault="00B6625B" w:rsidP="00B6625B">
      <w:pPr>
        <w:spacing w:line="360" w:lineRule="auto"/>
        <w:jc w:val="both"/>
        <w:rPr>
          <w:noProof w:val="0"/>
          <w:rtl/>
        </w:rPr>
      </w:pPr>
    </w:p>
    <w:p w14:paraId="6FC10500" w14:textId="77777777" w:rsidR="00B6625B" w:rsidRDefault="00B6625B" w:rsidP="00B6625B">
      <w:pPr>
        <w:spacing w:line="360" w:lineRule="auto"/>
        <w:jc w:val="both"/>
        <w:rPr>
          <w:noProof w:val="0"/>
          <w:rtl/>
        </w:rPr>
      </w:pPr>
      <w:r>
        <w:rPr>
          <w:rFonts w:hint="cs"/>
          <w:noProof w:val="0"/>
          <w:rtl/>
        </w:rPr>
        <w:t xml:space="preserve">ההגנה טענה, כי הנאשם נעדר הרשעות קודמות, וכי לא נפתחו נגדו תיקים נוספים מאז האירוע. על טענה זו, השיב התובע, כי הדברים אינם נכונים, וההגנה תיקנה את טיעונה זה ומסרה, כי מכל מקום הנאשם לא הורשע בתיקים נוספים. </w:t>
      </w:r>
    </w:p>
    <w:p w14:paraId="5AE9B241" w14:textId="77777777" w:rsidR="00B6625B" w:rsidRDefault="00B6625B" w:rsidP="00B6625B">
      <w:pPr>
        <w:spacing w:line="360" w:lineRule="auto"/>
        <w:jc w:val="both"/>
        <w:rPr>
          <w:noProof w:val="0"/>
          <w:rtl/>
        </w:rPr>
      </w:pPr>
    </w:p>
    <w:p w14:paraId="52685F20" w14:textId="77777777" w:rsidR="00B6625B" w:rsidRDefault="00B6625B" w:rsidP="00B6625B">
      <w:pPr>
        <w:spacing w:line="360" w:lineRule="auto"/>
        <w:jc w:val="both"/>
        <w:rPr>
          <w:noProof w:val="0"/>
          <w:rtl/>
        </w:rPr>
      </w:pPr>
      <w:r>
        <w:rPr>
          <w:rFonts w:hint="cs"/>
          <w:noProof w:val="0"/>
          <w:rtl/>
        </w:rPr>
        <w:t>ההגנה טענה, כי למעשים לא קדם תכנון מוקדם מצד הנאשם, ולכל היותר, מדובר בלחץ חברתי מטעם "חליל הידוע לשמצה".</w:t>
      </w:r>
    </w:p>
    <w:p w14:paraId="09161D9A" w14:textId="77777777" w:rsidR="00B6625B" w:rsidRDefault="00B6625B" w:rsidP="00B6625B">
      <w:pPr>
        <w:spacing w:line="360" w:lineRule="auto"/>
        <w:jc w:val="both"/>
        <w:rPr>
          <w:noProof w:val="0"/>
          <w:rtl/>
        </w:rPr>
      </w:pPr>
    </w:p>
    <w:p w14:paraId="307A61A8" w14:textId="77777777" w:rsidR="00B6625B" w:rsidRDefault="00B6625B" w:rsidP="00B6625B">
      <w:pPr>
        <w:spacing w:line="360" w:lineRule="auto"/>
        <w:jc w:val="both"/>
        <w:rPr>
          <w:noProof w:val="0"/>
          <w:rtl/>
        </w:rPr>
      </w:pPr>
      <w:r>
        <w:rPr>
          <w:rFonts w:hint="cs"/>
          <w:noProof w:val="0"/>
          <w:rtl/>
        </w:rPr>
        <w:t>ההגנה טענה, כי העבירה נעברה ללא תחכום והנאשם לא תכנן להשתמש בנשק והאמל"ח שנתפסו.</w:t>
      </w:r>
    </w:p>
    <w:p w14:paraId="62013329" w14:textId="77777777" w:rsidR="00B6625B" w:rsidRDefault="00B6625B" w:rsidP="00B6625B">
      <w:pPr>
        <w:spacing w:line="360" w:lineRule="auto"/>
        <w:jc w:val="both"/>
        <w:rPr>
          <w:noProof w:val="0"/>
          <w:rtl/>
        </w:rPr>
      </w:pPr>
    </w:p>
    <w:p w14:paraId="63149085" w14:textId="77777777" w:rsidR="00B6625B" w:rsidRDefault="00B6625B" w:rsidP="00B6625B">
      <w:pPr>
        <w:spacing w:line="360" w:lineRule="auto"/>
        <w:jc w:val="both"/>
        <w:rPr>
          <w:noProof w:val="0"/>
          <w:rtl/>
        </w:rPr>
      </w:pPr>
      <w:r>
        <w:rPr>
          <w:rFonts w:hint="cs"/>
          <w:noProof w:val="0"/>
          <w:rtl/>
        </w:rPr>
        <w:t>ההגנה טענה, כי חליל ניצל את תמימותו של הנאשם ושכנע אותו לשמור אצלו את התיק מפני הרשויות, אשר היו אמורים לערוך חיפוש בביתו.</w:t>
      </w:r>
    </w:p>
    <w:p w14:paraId="26F93C59" w14:textId="77777777" w:rsidR="00B6625B" w:rsidRDefault="00B6625B" w:rsidP="00B6625B">
      <w:pPr>
        <w:spacing w:line="360" w:lineRule="auto"/>
        <w:jc w:val="both"/>
        <w:rPr>
          <w:noProof w:val="0"/>
          <w:rtl/>
        </w:rPr>
      </w:pPr>
    </w:p>
    <w:p w14:paraId="428CE9BD" w14:textId="77777777" w:rsidR="00B6625B" w:rsidRDefault="00B6625B" w:rsidP="00B6625B">
      <w:pPr>
        <w:spacing w:line="360" w:lineRule="auto"/>
        <w:jc w:val="both"/>
        <w:rPr>
          <w:noProof w:val="0"/>
          <w:rtl/>
        </w:rPr>
      </w:pPr>
      <w:r>
        <w:rPr>
          <w:rFonts w:hint="cs"/>
          <w:noProof w:val="0"/>
          <w:rtl/>
        </w:rPr>
        <w:t>ההגנה טענה, כי אין אינדיקציה שהנאשם קיבל תשלום על כך ששמר על התיק עבור חליל, ומכאן, שיותר הגיוני להניח, כי חליל ניצל את תמימותו של הנאשם, אשר נסחף אחריו ורצה להרשים אותו.</w:t>
      </w:r>
    </w:p>
    <w:p w14:paraId="32EFD579" w14:textId="77777777" w:rsidR="00B6625B" w:rsidRDefault="00B6625B" w:rsidP="00B6625B">
      <w:pPr>
        <w:spacing w:line="360" w:lineRule="auto"/>
        <w:jc w:val="both"/>
        <w:rPr>
          <w:noProof w:val="0"/>
          <w:rtl/>
        </w:rPr>
      </w:pPr>
    </w:p>
    <w:p w14:paraId="35DD4652" w14:textId="77777777" w:rsidR="00B6625B" w:rsidRDefault="00B6625B" w:rsidP="00B6625B">
      <w:pPr>
        <w:spacing w:line="360" w:lineRule="auto"/>
        <w:jc w:val="both"/>
        <w:rPr>
          <w:noProof w:val="0"/>
          <w:rtl/>
        </w:rPr>
      </w:pPr>
      <w:r>
        <w:rPr>
          <w:rFonts w:hint="cs"/>
          <w:noProof w:val="0"/>
          <w:rtl/>
        </w:rPr>
        <w:t>ההגנה טענה, כי הנאשם לא רכש את האמל"ח ולכן חלקו בעבירה זניח.</w:t>
      </w:r>
    </w:p>
    <w:p w14:paraId="04DF7695" w14:textId="77777777" w:rsidR="00B6625B" w:rsidRDefault="00B6625B" w:rsidP="00B6625B">
      <w:pPr>
        <w:spacing w:line="360" w:lineRule="auto"/>
        <w:jc w:val="both"/>
        <w:rPr>
          <w:noProof w:val="0"/>
          <w:rtl/>
        </w:rPr>
      </w:pPr>
    </w:p>
    <w:p w14:paraId="0BD4EDDA" w14:textId="77777777" w:rsidR="00B6625B" w:rsidRDefault="00B6625B" w:rsidP="00B6625B">
      <w:pPr>
        <w:spacing w:line="360" w:lineRule="auto"/>
        <w:jc w:val="both"/>
        <w:rPr>
          <w:noProof w:val="0"/>
          <w:rtl/>
        </w:rPr>
      </w:pPr>
      <w:r>
        <w:rPr>
          <w:rFonts w:hint="cs"/>
          <w:noProof w:val="0"/>
          <w:rtl/>
        </w:rPr>
        <w:t>ההגנה טענה, כי הצעירים בחברה הבדואית רוכשים כבוד לאנשים מבוגרים מהם והנאשם "נפל בפח" של חליל, אשר ניצל את פערי הגילאים בינו לבין הנאשם ואת מעמדו ה"עברייני" בקרב בני המשפחה.</w:t>
      </w:r>
    </w:p>
    <w:p w14:paraId="02B56EC2" w14:textId="77777777" w:rsidR="00B6625B" w:rsidRDefault="00B6625B" w:rsidP="00B6625B">
      <w:pPr>
        <w:spacing w:line="360" w:lineRule="auto"/>
        <w:jc w:val="both"/>
        <w:rPr>
          <w:noProof w:val="0"/>
          <w:rtl/>
        </w:rPr>
      </w:pPr>
    </w:p>
    <w:p w14:paraId="0566C28D" w14:textId="77777777" w:rsidR="00B6625B" w:rsidRDefault="00B6625B" w:rsidP="00B6625B">
      <w:pPr>
        <w:spacing w:line="360" w:lineRule="auto"/>
        <w:jc w:val="both"/>
        <w:rPr>
          <w:noProof w:val="0"/>
          <w:rtl/>
        </w:rPr>
      </w:pPr>
      <w:r>
        <w:rPr>
          <w:rFonts w:hint="cs"/>
          <w:noProof w:val="0"/>
          <w:rtl/>
        </w:rPr>
        <w:t>ההגנה טענה, כי הנאשם לא היה מסתבך אלמלא חליל ביקש ממנו לשמור על התיק שלו.</w:t>
      </w:r>
    </w:p>
    <w:p w14:paraId="524245EF" w14:textId="77777777" w:rsidR="00B6625B" w:rsidRDefault="00B6625B" w:rsidP="00B6625B">
      <w:pPr>
        <w:spacing w:line="360" w:lineRule="auto"/>
        <w:jc w:val="both"/>
        <w:rPr>
          <w:noProof w:val="0"/>
          <w:rtl/>
        </w:rPr>
      </w:pPr>
    </w:p>
    <w:p w14:paraId="5381C0D3" w14:textId="77777777" w:rsidR="00B6625B" w:rsidRDefault="00B6625B" w:rsidP="00B6625B">
      <w:pPr>
        <w:spacing w:line="360" w:lineRule="auto"/>
        <w:jc w:val="both"/>
        <w:rPr>
          <w:noProof w:val="0"/>
          <w:rtl/>
        </w:rPr>
      </w:pPr>
      <w:r>
        <w:rPr>
          <w:rFonts w:hint="cs"/>
          <w:noProof w:val="0"/>
          <w:rtl/>
        </w:rPr>
        <w:t>ההגנה טענה, כי לא נגרם כל נזק מהעבירות.</w:t>
      </w:r>
    </w:p>
    <w:p w14:paraId="33CF357F" w14:textId="77777777" w:rsidR="00B6625B" w:rsidRDefault="00B6625B" w:rsidP="00B6625B">
      <w:pPr>
        <w:spacing w:line="360" w:lineRule="auto"/>
        <w:jc w:val="both"/>
        <w:rPr>
          <w:noProof w:val="0"/>
          <w:rtl/>
        </w:rPr>
      </w:pPr>
    </w:p>
    <w:p w14:paraId="2F44109F" w14:textId="77777777" w:rsidR="00B6625B" w:rsidRDefault="00B6625B" w:rsidP="00B6625B">
      <w:pPr>
        <w:spacing w:line="360" w:lineRule="auto"/>
        <w:jc w:val="both"/>
        <w:rPr>
          <w:noProof w:val="0"/>
          <w:rtl/>
        </w:rPr>
      </w:pPr>
      <w:r>
        <w:rPr>
          <w:rFonts w:hint="cs"/>
          <w:noProof w:val="0"/>
          <w:rtl/>
        </w:rPr>
        <w:t>ההגנה טענה, כי הנאשם שיתף פעולה באופן מלא בחקירתו, גרסתו היתה קוהרנטית ותשובותיו היו רצופות, אך למצער (הטעות במקור) בית המשפט לא האמין לגרסתו.</w:t>
      </w:r>
    </w:p>
    <w:p w14:paraId="613E622D" w14:textId="77777777" w:rsidR="00B6625B" w:rsidRDefault="00B6625B" w:rsidP="00B6625B">
      <w:pPr>
        <w:spacing w:line="360" w:lineRule="auto"/>
        <w:jc w:val="both"/>
        <w:rPr>
          <w:noProof w:val="0"/>
          <w:rtl/>
        </w:rPr>
      </w:pPr>
    </w:p>
    <w:p w14:paraId="31493DF4" w14:textId="77777777" w:rsidR="00B6625B" w:rsidRDefault="00B6625B" w:rsidP="00B6625B">
      <w:pPr>
        <w:spacing w:line="360" w:lineRule="auto"/>
        <w:jc w:val="both"/>
        <w:rPr>
          <w:noProof w:val="0"/>
          <w:rtl/>
        </w:rPr>
      </w:pPr>
      <w:r>
        <w:rPr>
          <w:rFonts w:hint="cs"/>
          <w:noProof w:val="0"/>
          <w:rtl/>
        </w:rPr>
        <w:t>ההגנה ביקשה לקחת בחשבון את נסיבותיו של הנאשם, אשר כיום נשוי, ואשתו בהריון מתקדם, עובד כשבעה חודשים ומשפחתו נורמטיבית ללא עבר פלילי.</w:t>
      </w:r>
    </w:p>
    <w:p w14:paraId="61DA78CE" w14:textId="77777777" w:rsidR="00B6625B" w:rsidRDefault="00B6625B" w:rsidP="00B6625B">
      <w:pPr>
        <w:spacing w:line="360" w:lineRule="auto"/>
        <w:jc w:val="both"/>
        <w:rPr>
          <w:noProof w:val="0"/>
          <w:rtl/>
        </w:rPr>
      </w:pPr>
    </w:p>
    <w:p w14:paraId="15595566" w14:textId="77777777" w:rsidR="00B6625B" w:rsidRDefault="00B6625B" w:rsidP="00B6625B">
      <w:pPr>
        <w:spacing w:line="360" w:lineRule="auto"/>
        <w:jc w:val="both"/>
        <w:rPr>
          <w:noProof w:val="0"/>
          <w:rtl/>
        </w:rPr>
      </w:pPr>
      <w:r>
        <w:rPr>
          <w:rFonts w:hint="cs"/>
          <w:noProof w:val="0"/>
          <w:rtl/>
        </w:rPr>
        <w:t>ההגנה טענה, כי תפיסת עולמו של הנאשם היא שבטית ולכן ניתן להבין את מעשיו.</w:t>
      </w:r>
    </w:p>
    <w:p w14:paraId="1F2DE660" w14:textId="77777777" w:rsidR="00B6625B" w:rsidRDefault="00B6625B" w:rsidP="00B6625B">
      <w:pPr>
        <w:spacing w:line="360" w:lineRule="auto"/>
        <w:jc w:val="both"/>
        <w:rPr>
          <w:noProof w:val="0"/>
          <w:rtl/>
        </w:rPr>
      </w:pPr>
    </w:p>
    <w:p w14:paraId="3EEBACD1" w14:textId="77777777" w:rsidR="00B6625B" w:rsidRDefault="00B6625B" w:rsidP="00B6625B">
      <w:pPr>
        <w:spacing w:line="360" w:lineRule="auto"/>
        <w:jc w:val="both"/>
        <w:rPr>
          <w:noProof w:val="0"/>
          <w:rtl/>
        </w:rPr>
      </w:pPr>
      <w:r>
        <w:rPr>
          <w:rFonts w:hint="cs"/>
          <w:noProof w:val="0"/>
          <w:rtl/>
        </w:rPr>
        <w:t>ההגנה טענה, כי חווית המעצר היתה מרתיעה עבור הנאשם, אשר מבטא עמדות נורמטיביות ושאיפות לנהל אורח חיים תקין ויצרני.</w:t>
      </w:r>
    </w:p>
    <w:p w14:paraId="7251B3C0" w14:textId="77777777" w:rsidR="00B6625B" w:rsidRDefault="00B6625B" w:rsidP="00B6625B">
      <w:pPr>
        <w:spacing w:line="360" w:lineRule="auto"/>
        <w:jc w:val="both"/>
        <w:rPr>
          <w:noProof w:val="0"/>
          <w:rtl/>
        </w:rPr>
      </w:pPr>
    </w:p>
    <w:p w14:paraId="4369C72F" w14:textId="77777777" w:rsidR="00B6625B" w:rsidRDefault="00B6625B" w:rsidP="00B6625B">
      <w:pPr>
        <w:spacing w:line="360" w:lineRule="auto"/>
        <w:jc w:val="both"/>
        <w:rPr>
          <w:noProof w:val="0"/>
          <w:rtl/>
        </w:rPr>
      </w:pPr>
      <w:r>
        <w:rPr>
          <w:rFonts w:hint="cs"/>
          <w:noProof w:val="0"/>
          <w:rtl/>
        </w:rPr>
        <w:t>ההגנה הפנתה לתסקיר שירות המבחן, ממנו עולה, כי הנאשם לא הפר את תנאי מעצר הבית ואף השתלב בקבוצת עצורי בית, והגיע למרבית המפגשים, חרף הקושי עם השפה העברית.</w:t>
      </w:r>
    </w:p>
    <w:p w14:paraId="4C0B286C" w14:textId="77777777" w:rsidR="00B6625B" w:rsidRDefault="00B6625B" w:rsidP="00B6625B">
      <w:pPr>
        <w:spacing w:line="360" w:lineRule="auto"/>
        <w:jc w:val="both"/>
        <w:rPr>
          <w:noProof w:val="0"/>
          <w:rtl/>
        </w:rPr>
      </w:pPr>
    </w:p>
    <w:p w14:paraId="631A829C" w14:textId="77777777" w:rsidR="00B6625B" w:rsidRDefault="00B6625B" w:rsidP="00B6625B">
      <w:pPr>
        <w:spacing w:line="360" w:lineRule="auto"/>
        <w:jc w:val="both"/>
        <w:rPr>
          <w:noProof w:val="0"/>
          <w:rtl/>
        </w:rPr>
      </w:pPr>
      <w:r>
        <w:rPr>
          <w:rFonts w:hint="cs"/>
          <w:noProof w:val="0"/>
          <w:rtl/>
        </w:rPr>
        <w:t>ההגנה טענה, כי הנאשם נטל אחריות על מעשיו והסביר, כי חליל ניצל את תמימותו והוא פחד מחליל.</w:t>
      </w:r>
    </w:p>
    <w:p w14:paraId="0B11908A" w14:textId="77777777" w:rsidR="00B6625B" w:rsidRDefault="00B6625B" w:rsidP="00B6625B">
      <w:pPr>
        <w:spacing w:line="360" w:lineRule="auto"/>
        <w:jc w:val="both"/>
        <w:rPr>
          <w:noProof w:val="0"/>
          <w:rtl/>
        </w:rPr>
      </w:pPr>
    </w:p>
    <w:p w14:paraId="3BE2A6E5" w14:textId="77777777" w:rsidR="00B6625B" w:rsidRDefault="00B6625B" w:rsidP="00B6625B">
      <w:pPr>
        <w:spacing w:line="360" w:lineRule="auto"/>
        <w:jc w:val="both"/>
        <w:rPr>
          <w:noProof w:val="0"/>
          <w:rtl/>
        </w:rPr>
      </w:pPr>
      <w:r>
        <w:rPr>
          <w:rFonts w:hint="cs"/>
          <w:noProof w:val="0"/>
          <w:rtl/>
        </w:rPr>
        <w:t>ההגנה טענה, כי הנאשם הביע חרטה בפני קצינת המבחן והסביר לה את חששו מההשלכות של התיק והדאגה לפרנסת משפחתו.</w:t>
      </w:r>
    </w:p>
    <w:p w14:paraId="012971D7" w14:textId="77777777" w:rsidR="00B6625B" w:rsidRDefault="00B6625B" w:rsidP="00B6625B">
      <w:pPr>
        <w:spacing w:line="360" w:lineRule="auto"/>
        <w:jc w:val="both"/>
        <w:rPr>
          <w:noProof w:val="0"/>
          <w:rtl/>
        </w:rPr>
      </w:pPr>
    </w:p>
    <w:p w14:paraId="2E0105FF" w14:textId="77777777" w:rsidR="00B6625B" w:rsidRDefault="00B6625B" w:rsidP="00B6625B">
      <w:pPr>
        <w:spacing w:line="360" w:lineRule="auto"/>
        <w:jc w:val="both"/>
        <w:rPr>
          <w:noProof w:val="0"/>
          <w:rtl/>
        </w:rPr>
      </w:pPr>
      <w:r>
        <w:rPr>
          <w:rFonts w:hint="cs"/>
          <w:noProof w:val="0"/>
          <w:rtl/>
        </w:rPr>
        <w:t>ההגנה טענה, כי העובדת הסוציאלית בשירות המבחן למבוגרים אינה משפטנית ובטח שאין לה תואר במשפטים, אשר רוצה ומייחלת שהנאשם יודה בכתב האישום "אס איז" (כך במקור) תוך התעלמות מוחלטת מגרסתו, עליה עומד גם כעת, חרף הכרעת הדין, לכן היא רוצה "להעניש אותו" על כך שאינו מתיישר עם התיאוריה של כתב האישום.</w:t>
      </w:r>
    </w:p>
    <w:p w14:paraId="784FC6A6" w14:textId="77777777" w:rsidR="00B6625B" w:rsidRDefault="00B6625B" w:rsidP="00B6625B">
      <w:pPr>
        <w:spacing w:line="360" w:lineRule="auto"/>
        <w:jc w:val="both"/>
        <w:rPr>
          <w:noProof w:val="0"/>
          <w:rtl/>
        </w:rPr>
      </w:pPr>
    </w:p>
    <w:p w14:paraId="2784D0CB" w14:textId="77777777" w:rsidR="00B6625B" w:rsidRDefault="00B6625B" w:rsidP="00B6625B">
      <w:pPr>
        <w:spacing w:line="360" w:lineRule="auto"/>
        <w:jc w:val="both"/>
        <w:rPr>
          <w:noProof w:val="0"/>
          <w:rtl/>
        </w:rPr>
      </w:pPr>
      <w:r>
        <w:rPr>
          <w:rFonts w:hint="cs"/>
          <w:noProof w:val="0"/>
          <w:rtl/>
        </w:rPr>
        <w:t>ההגנה מסרה, כי בשיחות שקיים הסניגור עם הנאשם, הביע האחרון חרטה עמוקה על מעשיו והתחייב שלא לעבור שוב על החוק.</w:t>
      </w:r>
    </w:p>
    <w:p w14:paraId="2D4ACEFE" w14:textId="77777777" w:rsidR="00B6625B" w:rsidRDefault="00B6625B" w:rsidP="00B6625B">
      <w:pPr>
        <w:spacing w:line="360" w:lineRule="auto"/>
        <w:jc w:val="both"/>
        <w:rPr>
          <w:noProof w:val="0"/>
          <w:rtl/>
        </w:rPr>
      </w:pPr>
    </w:p>
    <w:p w14:paraId="29F3B88C" w14:textId="77777777" w:rsidR="00B6625B" w:rsidRDefault="00B6625B" w:rsidP="00B6625B">
      <w:pPr>
        <w:spacing w:line="360" w:lineRule="auto"/>
        <w:jc w:val="both"/>
        <w:rPr>
          <w:noProof w:val="0"/>
          <w:rtl/>
        </w:rPr>
      </w:pPr>
      <w:r>
        <w:rPr>
          <w:rFonts w:hint="cs"/>
          <w:noProof w:val="0"/>
          <w:rtl/>
        </w:rPr>
        <w:t>ההגנה עתרה להפנות את הנאשם פעם נוספת לשירות המבחן למבוגרים, על מנת לבחון ענישה בדמות צו של"צ או עבודות שירות.</w:t>
      </w:r>
    </w:p>
    <w:p w14:paraId="05FB9746" w14:textId="77777777" w:rsidR="00B6625B" w:rsidRDefault="00B6625B" w:rsidP="00B6625B">
      <w:pPr>
        <w:spacing w:line="360" w:lineRule="auto"/>
        <w:jc w:val="both"/>
        <w:rPr>
          <w:noProof w:val="0"/>
          <w:rtl/>
        </w:rPr>
      </w:pPr>
    </w:p>
    <w:p w14:paraId="1FE705B0" w14:textId="77777777" w:rsidR="00B6625B" w:rsidRDefault="00B6625B" w:rsidP="00B6625B">
      <w:pPr>
        <w:spacing w:line="360" w:lineRule="auto"/>
        <w:jc w:val="both"/>
        <w:rPr>
          <w:noProof w:val="0"/>
          <w:rtl/>
        </w:rPr>
      </w:pPr>
      <w:r>
        <w:rPr>
          <w:rFonts w:hint="cs"/>
          <w:noProof w:val="0"/>
          <w:rtl/>
        </w:rPr>
        <w:t>ההגנה עתרה להשיב את כספי הפיקדון בתיק לידיה.</w:t>
      </w:r>
    </w:p>
    <w:p w14:paraId="7CD1FFAF" w14:textId="77777777" w:rsidR="00B6625B" w:rsidRDefault="00B6625B" w:rsidP="00B6625B">
      <w:pPr>
        <w:spacing w:line="360" w:lineRule="auto"/>
        <w:jc w:val="both"/>
        <w:rPr>
          <w:noProof w:val="0"/>
          <w:rtl/>
        </w:rPr>
      </w:pPr>
    </w:p>
    <w:p w14:paraId="1F4AD91B" w14:textId="77777777" w:rsidR="00B6625B" w:rsidRDefault="00B6625B" w:rsidP="00B6625B">
      <w:pPr>
        <w:spacing w:line="360" w:lineRule="auto"/>
        <w:jc w:val="both"/>
        <w:rPr>
          <w:noProof w:val="0"/>
          <w:rtl/>
        </w:rPr>
      </w:pPr>
      <w:r>
        <w:rPr>
          <w:rFonts w:hint="cs"/>
          <w:noProof w:val="0"/>
          <w:u w:val="single"/>
          <w:rtl/>
        </w:rPr>
        <w:t>בדברו האחרון של הנאשם</w:t>
      </w:r>
      <w:r>
        <w:rPr>
          <w:rFonts w:hint="cs"/>
          <w:noProof w:val="0"/>
          <w:rtl/>
        </w:rPr>
        <w:t xml:space="preserve"> מסר, כי הוא היה צעיר והוא מתנצל על מעשיו, הוא לא הבין את המשמעות של הדברים כפי שהוא מבין כיום.</w:t>
      </w:r>
    </w:p>
    <w:p w14:paraId="1577B674" w14:textId="77777777" w:rsidR="00B6625B" w:rsidRDefault="00B6625B" w:rsidP="00B6625B">
      <w:pPr>
        <w:spacing w:line="360" w:lineRule="auto"/>
        <w:jc w:val="both"/>
        <w:rPr>
          <w:noProof w:val="0"/>
          <w:rtl/>
        </w:rPr>
      </w:pPr>
    </w:p>
    <w:p w14:paraId="2C9F4B38" w14:textId="77777777" w:rsidR="00B6625B" w:rsidRDefault="00B6625B" w:rsidP="00B6625B">
      <w:pPr>
        <w:spacing w:line="360" w:lineRule="auto"/>
        <w:jc w:val="both"/>
        <w:rPr>
          <w:noProof w:val="0"/>
          <w:rtl/>
        </w:rPr>
      </w:pPr>
    </w:p>
    <w:p w14:paraId="76157D54" w14:textId="77777777" w:rsidR="00B6625B" w:rsidRDefault="00B6625B" w:rsidP="00B6625B">
      <w:pPr>
        <w:spacing w:line="360" w:lineRule="auto"/>
        <w:jc w:val="both"/>
        <w:rPr>
          <w:noProof w:val="0"/>
          <w:rtl/>
        </w:rPr>
      </w:pPr>
      <w:r>
        <w:rPr>
          <w:rFonts w:hint="cs"/>
          <w:b/>
          <w:bCs/>
          <w:noProof w:val="0"/>
          <w:rtl/>
        </w:rPr>
        <w:t>דיון והכרעה</w:t>
      </w:r>
    </w:p>
    <w:p w14:paraId="3176057D" w14:textId="77777777" w:rsidR="00B6625B" w:rsidRDefault="00B6625B" w:rsidP="00B6625B">
      <w:pPr>
        <w:spacing w:line="360" w:lineRule="auto"/>
        <w:jc w:val="both"/>
        <w:rPr>
          <w:noProof w:val="0"/>
          <w:rtl/>
        </w:rPr>
      </w:pPr>
    </w:p>
    <w:p w14:paraId="17BD5D8F" w14:textId="77777777" w:rsidR="00B6625B" w:rsidRPr="00174910" w:rsidRDefault="00B6625B" w:rsidP="00B6625B">
      <w:pPr>
        <w:spacing w:line="360" w:lineRule="auto"/>
        <w:jc w:val="both"/>
        <w:rPr>
          <w:rFonts w:ascii="David" w:hAnsi="David"/>
          <w:noProof w:val="0"/>
        </w:rPr>
      </w:pPr>
      <w:r w:rsidRPr="00174910">
        <w:rPr>
          <w:rFonts w:ascii="David" w:hAnsi="David"/>
          <w:noProof w:val="0"/>
          <w:rtl/>
        </w:rPr>
        <w:t>אין צורך להכביר מילים על פוטנציאל הסיכון הנובע מהחזקת נשק חם קטלני, שלא כדין. כלי הנשק עלול למצוא דרכו לפעילות שלילית, אם פלילית ואם נגד בטחון המדינה.</w:t>
      </w:r>
    </w:p>
    <w:p w14:paraId="56BB05EC" w14:textId="77777777" w:rsidR="00B6625B" w:rsidRPr="00174910" w:rsidRDefault="00B6625B" w:rsidP="00B6625B">
      <w:pPr>
        <w:spacing w:line="360" w:lineRule="auto"/>
        <w:jc w:val="both"/>
        <w:rPr>
          <w:rFonts w:ascii="David" w:hAnsi="David"/>
          <w:noProof w:val="0"/>
        </w:rPr>
      </w:pPr>
    </w:p>
    <w:p w14:paraId="5FDF19CE" w14:textId="77777777" w:rsidR="00B6625B" w:rsidRPr="00174910" w:rsidRDefault="00B6625B" w:rsidP="00B6625B">
      <w:pPr>
        <w:spacing w:line="360" w:lineRule="auto"/>
        <w:jc w:val="both"/>
        <w:rPr>
          <w:rFonts w:ascii="Arial" w:hAnsi="Arial" w:cs="Arial"/>
          <w:noProof w:val="0"/>
          <w:rtl/>
        </w:rPr>
      </w:pPr>
      <w:r w:rsidRPr="00174910">
        <w:rPr>
          <w:rFonts w:ascii="David" w:hAnsi="David"/>
          <w:noProof w:val="0"/>
          <w:rtl/>
        </w:rPr>
        <w:t xml:space="preserve">החזקת </w:t>
      </w:r>
      <w:r>
        <w:rPr>
          <w:rFonts w:ascii="David" w:hAnsi="David" w:hint="cs"/>
          <w:noProof w:val="0"/>
          <w:rtl/>
        </w:rPr>
        <w:t>אמל"ח</w:t>
      </w:r>
      <w:r w:rsidRPr="00174910">
        <w:rPr>
          <w:rFonts w:ascii="David" w:hAnsi="David"/>
          <w:noProof w:val="0"/>
          <w:rtl/>
        </w:rPr>
        <w:t xml:space="preserve">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r>
        <w:rPr>
          <w:rFonts w:ascii="David" w:hAnsi="David" w:hint="cs"/>
          <w:noProof w:val="0"/>
          <w:rtl/>
        </w:rPr>
        <w:t>. כמובן, שבכל הנוגע למטען החבלה, אין כלל אפשרות לקבל רשיון להחזקתו</w:t>
      </w:r>
      <w:r w:rsidRPr="00174910">
        <w:rPr>
          <w:rFonts w:ascii="David" w:hAnsi="David"/>
          <w:noProof w:val="0"/>
          <w:rtl/>
        </w:rPr>
        <w:t>.</w:t>
      </w:r>
      <w:r>
        <w:rPr>
          <w:rFonts w:ascii="Arial" w:hAnsi="Arial" w:cs="Arial" w:hint="cs"/>
          <w:noProof w:val="0"/>
          <w:rtl/>
        </w:rPr>
        <w:t xml:space="preserve"> </w:t>
      </w:r>
    </w:p>
    <w:p w14:paraId="0CEDE355" w14:textId="77777777" w:rsidR="00B6625B" w:rsidRPr="00174910" w:rsidRDefault="00B6625B" w:rsidP="00B6625B">
      <w:pPr>
        <w:spacing w:line="360" w:lineRule="auto"/>
        <w:jc w:val="both"/>
        <w:rPr>
          <w:rFonts w:cs="Times New Roman"/>
          <w:noProof w:val="0"/>
        </w:rPr>
      </w:pPr>
    </w:p>
    <w:p w14:paraId="1D36F226" w14:textId="77777777" w:rsidR="00B6625B" w:rsidRPr="00174910" w:rsidRDefault="00B6625B" w:rsidP="00B6625B">
      <w:pPr>
        <w:spacing w:line="360" w:lineRule="auto"/>
        <w:jc w:val="both"/>
        <w:rPr>
          <w:rFonts w:ascii="David" w:hAnsi="David"/>
          <w:noProof w:val="0"/>
        </w:rPr>
      </w:pPr>
      <w:r w:rsidRPr="00174910">
        <w:rPr>
          <w:rFonts w:ascii="David" w:hAnsi="David"/>
          <w:noProof w:val="0"/>
          <w:rtl/>
        </w:rPr>
        <w:t xml:space="preserve">בנוסף, החזקת </w:t>
      </w:r>
      <w:r>
        <w:rPr>
          <w:rFonts w:ascii="David" w:hAnsi="David" w:hint="cs"/>
          <w:noProof w:val="0"/>
          <w:rtl/>
        </w:rPr>
        <w:t>אמל"ח</w:t>
      </w:r>
      <w:r w:rsidRPr="00174910">
        <w:rPr>
          <w:rFonts w:ascii="David" w:hAnsi="David"/>
          <w:noProof w:val="0"/>
          <w:rtl/>
        </w:rPr>
        <w:t xml:space="preserve"> כאמור עלולה להביא לפגיעה בשלטון החוק ובנושאי שלטון החוק, המבצעים את תפקידם.</w:t>
      </w:r>
    </w:p>
    <w:p w14:paraId="5FF44D1B" w14:textId="77777777" w:rsidR="00B6625B" w:rsidRDefault="00B6625B" w:rsidP="00B6625B">
      <w:pPr>
        <w:spacing w:line="360" w:lineRule="auto"/>
        <w:jc w:val="both"/>
        <w:rPr>
          <w:rFonts w:ascii="David" w:hAnsi="David"/>
          <w:noProof w:val="0"/>
          <w:rtl/>
        </w:rPr>
      </w:pPr>
    </w:p>
    <w:p w14:paraId="3A3EF294" w14:textId="77777777" w:rsidR="00B6625B" w:rsidRDefault="00B6625B" w:rsidP="00B6625B">
      <w:pPr>
        <w:spacing w:line="360" w:lineRule="auto"/>
        <w:jc w:val="both"/>
        <w:rPr>
          <w:rFonts w:ascii="David" w:hAnsi="David"/>
          <w:noProof w:val="0"/>
          <w:rtl/>
        </w:rPr>
      </w:pPr>
    </w:p>
    <w:p w14:paraId="1BECF594" w14:textId="77777777" w:rsidR="00B6625B" w:rsidRDefault="00B6625B" w:rsidP="00B6625B">
      <w:pPr>
        <w:spacing w:line="360" w:lineRule="auto"/>
        <w:jc w:val="both"/>
        <w:rPr>
          <w:rFonts w:ascii="David" w:hAnsi="David"/>
          <w:noProof w:val="0"/>
          <w:rtl/>
        </w:rPr>
      </w:pPr>
    </w:p>
    <w:p w14:paraId="6C95F220" w14:textId="77777777" w:rsidR="00B6625B" w:rsidRDefault="00B6625B" w:rsidP="00B6625B">
      <w:pPr>
        <w:spacing w:line="360" w:lineRule="auto"/>
        <w:jc w:val="both"/>
        <w:rPr>
          <w:rFonts w:ascii="David" w:hAnsi="David"/>
          <w:noProof w:val="0"/>
          <w:rtl/>
        </w:rPr>
      </w:pPr>
    </w:p>
    <w:p w14:paraId="4F769AC7" w14:textId="77777777" w:rsidR="00B6625B" w:rsidRPr="00174910" w:rsidRDefault="00B6625B" w:rsidP="00B6625B">
      <w:pPr>
        <w:spacing w:line="360" w:lineRule="auto"/>
        <w:jc w:val="both"/>
        <w:rPr>
          <w:rFonts w:ascii="David" w:hAnsi="David"/>
          <w:noProof w:val="0"/>
        </w:rPr>
      </w:pPr>
    </w:p>
    <w:p w14:paraId="141CA687" w14:textId="77777777" w:rsidR="00B6625B" w:rsidRDefault="00B6625B" w:rsidP="00B6625B">
      <w:pPr>
        <w:spacing w:line="360" w:lineRule="auto"/>
        <w:jc w:val="both"/>
        <w:rPr>
          <w:rFonts w:ascii="David" w:hAnsi="David"/>
          <w:noProof w:val="0"/>
          <w:rtl/>
        </w:rPr>
      </w:pPr>
      <w:r w:rsidRPr="00174910">
        <w:rPr>
          <w:rFonts w:ascii="David" w:hAnsi="David"/>
          <w:noProof w:val="0"/>
          <w:rtl/>
        </w:rPr>
        <w:t xml:space="preserve">בפסק הדין </w:t>
      </w:r>
      <w:hyperlink r:id="rId14" w:history="1">
        <w:r w:rsidR="00143496" w:rsidRPr="00143496">
          <w:rPr>
            <w:rFonts w:ascii="David" w:hAnsi="David"/>
            <w:noProof w:val="0"/>
            <w:color w:val="0000FF"/>
            <w:u w:val="single"/>
            <w:rtl/>
          </w:rPr>
          <w:t>ע"פ 3288/14</w:t>
        </w:r>
      </w:hyperlink>
      <w:r w:rsidRPr="00174910">
        <w:rPr>
          <w:rFonts w:ascii="David" w:hAnsi="David"/>
          <w:noProof w:val="0"/>
          <w:rtl/>
        </w:rPr>
        <w:t xml:space="preserve"> </w:t>
      </w:r>
      <w:r w:rsidRPr="00174910">
        <w:rPr>
          <w:rFonts w:ascii="David" w:hAnsi="David"/>
          <w:b/>
          <w:bCs/>
          <w:noProof w:val="0"/>
          <w:rtl/>
        </w:rPr>
        <w:t>מדינת ישראל נ' קריספל</w:t>
      </w:r>
      <w:r w:rsidRPr="00174910">
        <w:rPr>
          <w:rFonts w:ascii="David" w:hAnsi="David"/>
          <w:noProof w:val="0"/>
          <w:rtl/>
        </w:rPr>
        <w:t xml:space="preserve"> (פורסם במאגרים), נאמר: </w:t>
      </w:r>
    </w:p>
    <w:p w14:paraId="2A2D418A" w14:textId="77777777" w:rsidR="00B6625B" w:rsidRPr="00174910" w:rsidRDefault="00B6625B" w:rsidP="00B6625B">
      <w:pPr>
        <w:spacing w:line="360" w:lineRule="auto"/>
        <w:jc w:val="both"/>
        <w:rPr>
          <w:rFonts w:ascii="David" w:hAnsi="David"/>
          <w:noProof w:val="0"/>
        </w:rPr>
      </w:pPr>
    </w:p>
    <w:p w14:paraId="25382353" w14:textId="77777777" w:rsidR="00B6625B" w:rsidRPr="00174910" w:rsidRDefault="00B6625B" w:rsidP="00B6625B">
      <w:pPr>
        <w:spacing w:line="360" w:lineRule="auto"/>
        <w:jc w:val="both"/>
        <w:rPr>
          <w:rFonts w:ascii="Aharoni" w:hAnsi="Aharoni" w:cs="Aharoni"/>
          <w:noProof w:val="0"/>
          <w:rtl/>
        </w:rPr>
      </w:pPr>
      <w:r w:rsidRPr="00174910">
        <w:rPr>
          <w:rFonts w:ascii="Aharoni" w:hAnsi="Aharoni" w:cs="Aharoni"/>
          <w:noProof w:val="0"/>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75AFF8F9" w14:textId="77777777" w:rsidR="00B6625B" w:rsidRPr="00174910" w:rsidRDefault="00B6625B" w:rsidP="00B6625B">
      <w:pPr>
        <w:spacing w:line="360" w:lineRule="auto"/>
        <w:jc w:val="both"/>
        <w:rPr>
          <w:rFonts w:ascii="David" w:hAnsi="David"/>
          <w:noProof w:val="0"/>
          <w:rtl/>
        </w:rPr>
      </w:pPr>
    </w:p>
    <w:p w14:paraId="7AEF4FC8" w14:textId="77777777" w:rsidR="00B6625B" w:rsidRPr="00174910" w:rsidRDefault="00B6625B" w:rsidP="00B6625B">
      <w:pPr>
        <w:spacing w:line="360" w:lineRule="auto"/>
        <w:jc w:val="both"/>
        <w:rPr>
          <w:rFonts w:ascii="David" w:hAnsi="David"/>
          <w:noProof w:val="0"/>
        </w:rPr>
      </w:pPr>
      <w:r w:rsidRPr="00174910">
        <w:rPr>
          <w:rFonts w:ascii="David" w:hAnsi="David"/>
          <w:noProof w:val="0"/>
          <w:rtl/>
        </w:rPr>
        <w:t xml:space="preserve">בפסק הדין </w:t>
      </w:r>
      <w:hyperlink r:id="rId15" w:history="1">
        <w:r w:rsidR="00143496" w:rsidRPr="00143496">
          <w:rPr>
            <w:rFonts w:ascii="David" w:hAnsi="David"/>
            <w:noProof w:val="0"/>
            <w:color w:val="0000FF"/>
            <w:u w:val="single"/>
            <w:rtl/>
          </w:rPr>
          <w:t>ע"פ 4945/13</w:t>
        </w:r>
      </w:hyperlink>
      <w:r w:rsidRPr="00174910">
        <w:rPr>
          <w:rFonts w:ascii="David" w:hAnsi="David"/>
          <w:noProof w:val="0"/>
          <w:rtl/>
        </w:rPr>
        <w:t xml:space="preserve"> </w:t>
      </w:r>
      <w:r w:rsidRPr="00174910">
        <w:rPr>
          <w:rFonts w:ascii="David" w:hAnsi="David"/>
          <w:b/>
          <w:bCs/>
          <w:noProof w:val="0"/>
          <w:rtl/>
        </w:rPr>
        <w:t>סלימאן, נ' מדינת ישראל</w:t>
      </w:r>
      <w:r w:rsidRPr="00174910">
        <w:rPr>
          <w:rFonts w:ascii="David" w:hAnsi="David"/>
          <w:noProof w:val="0"/>
          <w:rtl/>
        </w:rPr>
        <w:t xml:space="preserve"> (פורסם במאגרים), נאמר:</w:t>
      </w:r>
    </w:p>
    <w:p w14:paraId="49D49814" w14:textId="77777777" w:rsidR="00B6625B" w:rsidRPr="00174910" w:rsidRDefault="00B6625B" w:rsidP="00B6625B">
      <w:pPr>
        <w:spacing w:line="360" w:lineRule="auto"/>
        <w:jc w:val="both"/>
        <w:rPr>
          <w:rFonts w:ascii="David" w:hAnsi="David"/>
          <w:noProof w:val="0"/>
          <w:rtl/>
        </w:rPr>
      </w:pPr>
    </w:p>
    <w:p w14:paraId="7BDB0ACF" w14:textId="77777777" w:rsidR="00B6625B" w:rsidRPr="00174910" w:rsidRDefault="00B6625B" w:rsidP="00B6625B">
      <w:pPr>
        <w:spacing w:line="360" w:lineRule="auto"/>
        <w:jc w:val="both"/>
        <w:rPr>
          <w:rFonts w:ascii="Calibri" w:hAnsi="Calibri" w:cs="Calibri"/>
          <w:noProof w:val="0"/>
          <w:rtl/>
        </w:rPr>
      </w:pPr>
      <w:r w:rsidRPr="00174910">
        <w:rPr>
          <w:rFonts w:ascii="Aharoni" w:hAnsi="Aharoni" w:cs="Aharoni"/>
          <w:noProof w:val="0"/>
          <w:rtl/>
        </w:rPr>
        <w:t>... התגלגלותם של כלי נשק מיד ליד ללא פיקוח עלולה להוביל להגעתם בדרך לא דרך לגורמים פליליים ועוינים. אין לדעת מה יעלה בגורלם של</w:t>
      </w:r>
      <w:r w:rsidR="00143496">
        <w:rPr>
          <w:rFonts w:ascii="Aharoni" w:hAnsi="Aharoni" w:cs="Aharoni"/>
          <w:noProof w:val="0"/>
          <w:rtl/>
        </w:rPr>
        <w:t xml:space="preserve"> </w:t>
      </w:r>
      <w:r w:rsidRPr="00174910">
        <w:rPr>
          <w:rFonts w:ascii="Aharoni" w:hAnsi="Aharoni" w:cs="Aharoni"/>
          <w:noProof w:val="0"/>
          <w:rtl/>
        </w:rPr>
        <w:t xml:space="preserve"> ולאלו תוצאות הרסניות יובילו. ודוק: הסיכון שנשקף לשלום הציבור צריך להילקח בחשבון על ידי כל מי שמחזיק בידו נשק שלא כדין, </w:t>
      </w:r>
      <w:r w:rsidRPr="00174910">
        <w:rPr>
          <w:rFonts w:ascii="Aharoni" w:hAnsi="Aharoni" w:cs="Aharoni"/>
          <w:noProof w:val="0"/>
          <w:u w:val="single"/>
          <w:rtl/>
        </w:rPr>
        <w:t>גם אם אינו מחזיק בו למטרת ביצוען של עבירות אחרות</w:t>
      </w:r>
      <w:r w:rsidRPr="00174910">
        <w:rPr>
          <w:rFonts w:ascii="Aharoni" w:hAnsi="Aharoni" w:cs="Aharoni"/>
          <w:noProof w:val="0"/>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D3A9559" w14:textId="77777777" w:rsidR="00B6625B" w:rsidRPr="00174910" w:rsidRDefault="00B6625B" w:rsidP="00B6625B">
      <w:pPr>
        <w:spacing w:line="360" w:lineRule="auto"/>
        <w:jc w:val="both"/>
        <w:rPr>
          <w:rFonts w:ascii="David" w:hAnsi="David"/>
          <w:noProof w:val="0"/>
        </w:rPr>
      </w:pPr>
      <w:r w:rsidRPr="00174910">
        <w:rPr>
          <w:rFonts w:ascii="David" w:hAnsi="David"/>
          <w:noProof w:val="0"/>
          <w:rtl/>
        </w:rPr>
        <w:t>[ההדגשה אינה במקור].</w:t>
      </w:r>
    </w:p>
    <w:p w14:paraId="6B802B68" w14:textId="77777777" w:rsidR="00B6625B" w:rsidRPr="00174910" w:rsidRDefault="00B6625B" w:rsidP="00B6625B">
      <w:pPr>
        <w:spacing w:line="360" w:lineRule="auto"/>
        <w:jc w:val="both"/>
        <w:rPr>
          <w:rFonts w:ascii="David" w:hAnsi="David"/>
          <w:noProof w:val="0"/>
        </w:rPr>
      </w:pPr>
    </w:p>
    <w:p w14:paraId="2F0E17D6" w14:textId="77777777" w:rsidR="00B6625B" w:rsidRPr="00174910" w:rsidRDefault="00B6625B" w:rsidP="00B6625B">
      <w:pPr>
        <w:spacing w:line="360" w:lineRule="auto"/>
        <w:jc w:val="both"/>
        <w:rPr>
          <w:rFonts w:ascii="David" w:hAnsi="David"/>
          <w:noProof w:val="0"/>
        </w:rPr>
      </w:pPr>
      <w:r w:rsidRPr="00174910">
        <w:rPr>
          <w:rFonts w:ascii="David" w:hAnsi="David"/>
          <w:noProof w:val="0"/>
          <w:rtl/>
        </w:rPr>
        <w:t xml:space="preserve">בשורה של פסקי דין נקבע, כי </w:t>
      </w:r>
      <w:r w:rsidRPr="00174910">
        <w:rPr>
          <w:rFonts w:ascii="David" w:hAnsi="David"/>
          <w:noProof w:val="0"/>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174910">
        <w:rPr>
          <w:rFonts w:ascii="David" w:hAnsi="David"/>
          <w:noProof w:val="0"/>
          <w:rtl/>
        </w:rPr>
        <w:t xml:space="preserve">. ראו </w:t>
      </w:r>
      <w:hyperlink r:id="rId16" w:history="1">
        <w:r w:rsidR="00143496" w:rsidRPr="00143496">
          <w:rPr>
            <w:rFonts w:ascii="David" w:hAnsi="David"/>
            <w:noProof w:val="0"/>
            <w:color w:val="0000FF"/>
            <w:u w:val="single"/>
            <w:rtl/>
          </w:rPr>
          <w:t>רע"פ 2718/04</w:t>
        </w:r>
      </w:hyperlink>
      <w:r w:rsidRPr="00174910">
        <w:rPr>
          <w:rFonts w:ascii="David" w:hAnsi="David"/>
          <w:noProof w:val="0"/>
          <w:rtl/>
        </w:rPr>
        <w:t xml:space="preserve"> </w:t>
      </w:r>
      <w:r w:rsidRPr="00174910">
        <w:rPr>
          <w:rFonts w:ascii="David" w:hAnsi="David"/>
          <w:b/>
          <w:bCs/>
          <w:noProof w:val="0"/>
          <w:rtl/>
        </w:rPr>
        <w:t>אבו דאחל נ' מדינת ישראל</w:t>
      </w:r>
      <w:r w:rsidRPr="00174910">
        <w:rPr>
          <w:rFonts w:ascii="David" w:hAnsi="David"/>
          <w:noProof w:val="0"/>
          <w:rtl/>
        </w:rPr>
        <w:t xml:space="preserve"> (פורסם במאגרים):</w:t>
      </w:r>
    </w:p>
    <w:p w14:paraId="4AB54BAD" w14:textId="77777777" w:rsidR="00B6625B" w:rsidRPr="00174910" w:rsidRDefault="00B6625B" w:rsidP="00B6625B">
      <w:pPr>
        <w:spacing w:line="360" w:lineRule="auto"/>
        <w:jc w:val="both"/>
        <w:rPr>
          <w:rFonts w:ascii="David" w:hAnsi="David"/>
          <w:noProof w:val="0"/>
        </w:rPr>
      </w:pPr>
    </w:p>
    <w:p w14:paraId="28250B02" w14:textId="77777777" w:rsidR="00B6625B" w:rsidRPr="00174910" w:rsidRDefault="00B6625B" w:rsidP="00B6625B">
      <w:pPr>
        <w:spacing w:line="360" w:lineRule="auto"/>
        <w:jc w:val="both"/>
        <w:rPr>
          <w:rFonts w:ascii="Aharoni" w:hAnsi="Aharoni" w:cs="Aharoni"/>
          <w:noProof w:val="0"/>
          <w:rtl/>
        </w:rPr>
      </w:pPr>
      <w:r w:rsidRPr="00174910">
        <w:rPr>
          <w:rFonts w:ascii="Aharoni" w:hAnsi="Aharoni" w:cs="Aharoni"/>
          <w:noProof w:val="0"/>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3024196E" w14:textId="77777777" w:rsidR="00B6625B" w:rsidRPr="00174910" w:rsidRDefault="00B6625B" w:rsidP="00B6625B">
      <w:pPr>
        <w:spacing w:line="360" w:lineRule="auto"/>
        <w:jc w:val="both"/>
        <w:rPr>
          <w:rFonts w:ascii="David" w:hAnsi="David"/>
          <w:noProof w:val="0"/>
          <w:rtl/>
        </w:rPr>
      </w:pPr>
    </w:p>
    <w:p w14:paraId="73F0524C" w14:textId="77777777" w:rsidR="00B6625B" w:rsidRPr="00174910" w:rsidRDefault="00B6625B" w:rsidP="00B6625B">
      <w:pPr>
        <w:spacing w:line="360" w:lineRule="auto"/>
        <w:jc w:val="both"/>
        <w:rPr>
          <w:rFonts w:ascii="David" w:hAnsi="David"/>
          <w:noProof w:val="0"/>
          <w:rtl/>
        </w:rPr>
      </w:pPr>
      <w:r w:rsidRPr="00174910">
        <w:rPr>
          <w:rFonts w:ascii="David" w:hAnsi="David"/>
          <w:noProof w:val="0"/>
          <w:rtl/>
        </w:rPr>
        <w:t xml:space="preserve">עוד ראו </w:t>
      </w:r>
      <w:hyperlink r:id="rId17" w:history="1">
        <w:r w:rsidR="00143496" w:rsidRPr="00143496">
          <w:rPr>
            <w:rFonts w:ascii="David" w:hAnsi="David"/>
            <w:noProof w:val="0"/>
            <w:color w:val="0000FF"/>
            <w:u w:val="single"/>
            <w:rtl/>
          </w:rPr>
          <w:t>ע"פ 5220/09</w:t>
        </w:r>
      </w:hyperlink>
      <w:r w:rsidRPr="00174910">
        <w:rPr>
          <w:rFonts w:ascii="David" w:hAnsi="David"/>
          <w:noProof w:val="0"/>
          <w:rtl/>
        </w:rPr>
        <w:t xml:space="preserve"> </w:t>
      </w:r>
      <w:r w:rsidRPr="00174910">
        <w:rPr>
          <w:rFonts w:ascii="David" w:hAnsi="David"/>
          <w:b/>
          <w:bCs/>
          <w:noProof w:val="0"/>
          <w:rtl/>
        </w:rPr>
        <w:t xml:space="preserve">עוואודה נ' מדינת ישראל </w:t>
      </w:r>
      <w:r w:rsidRPr="00174910">
        <w:rPr>
          <w:rFonts w:ascii="David" w:hAnsi="David"/>
          <w:noProof w:val="0"/>
          <w:rtl/>
        </w:rPr>
        <w:t>(פורסם במאגרים):</w:t>
      </w:r>
    </w:p>
    <w:p w14:paraId="6592166F" w14:textId="77777777" w:rsidR="00B6625B" w:rsidRPr="00174910" w:rsidRDefault="00B6625B" w:rsidP="00B6625B">
      <w:pPr>
        <w:spacing w:line="360" w:lineRule="auto"/>
        <w:jc w:val="both"/>
        <w:rPr>
          <w:rFonts w:ascii="David" w:hAnsi="David"/>
          <w:noProof w:val="0"/>
          <w:rtl/>
        </w:rPr>
      </w:pPr>
    </w:p>
    <w:p w14:paraId="30737EA9" w14:textId="77777777" w:rsidR="00B6625B" w:rsidRPr="00174910" w:rsidRDefault="00B6625B" w:rsidP="00B6625B">
      <w:pPr>
        <w:spacing w:line="360" w:lineRule="auto"/>
        <w:jc w:val="both"/>
        <w:rPr>
          <w:rFonts w:ascii="David" w:hAnsi="David"/>
          <w:noProof w:val="0"/>
          <w:rtl/>
        </w:rPr>
      </w:pPr>
      <w:r w:rsidRPr="00174910">
        <w:rPr>
          <w:rFonts w:ascii="Aharoni" w:hAnsi="Aharoni" w:cs="Aharoni"/>
          <w:noProof w:val="0"/>
          <w:rtl/>
        </w:rPr>
        <w:t xml:space="preserve">אשר על כן משכבר נקבע הכלל לפיו </w:t>
      </w:r>
      <w:r w:rsidRPr="00174910">
        <w:rPr>
          <w:rFonts w:ascii="Aharoni" w:hAnsi="Aharoni" w:cs="Aharoni"/>
          <w:noProof w:val="0"/>
          <w:u w:val="single"/>
          <w:rtl/>
        </w:rPr>
        <w:t>ככלל יש לאסור את המבצעים עבירה זו, גם אם מדובר בעבירה ראשונה</w:t>
      </w:r>
      <w:r w:rsidRPr="00174910">
        <w:rPr>
          <w:rFonts w:ascii="Aharoni" w:hAnsi="Aharoni" w:cs="Aharoni"/>
          <w:noProof w:val="0"/>
          <w:rtl/>
        </w:rPr>
        <w:t>, מאחורי סורג ובריח, ואילו אורך התקופה כלול בנסיבות הספציפיות של העושה והמעשה.</w:t>
      </w:r>
    </w:p>
    <w:p w14:paraId="59CEE72B" w14:textId="77777777" w:rsidR="00B6625B" w:rsidRPr="00701F09" w:rsidRDefault="00B6625B" w:rsidP="00B6625B">
      <w:pPr>
        <w:spacing w:line="360" w:lineRule="auto"/>
        <w:jc w:val="both"/>
        <w:rPr>
          <w:rFonts w:ascii="David" w:hAnsi="David"/>
          <w:noProof w:val="0"/>
          <w:rtl/>
        </w:rPr>
      </w:pPr>
      <w:r w:rsidRPr="00174910">
        <w:rPr>
          <w:rFonts w:ascii="David" w:hAnsi="David"/>
          <w:noProof w:val="0"/>
          <w:rtl/>
        </w:rPr>
        <w:t>[ההדגשה אינה במקור].</w:t>
      </w:r>
    </w:p>
    <w:p w14:paraId="71874B4A" w14:textId="77777777" w:rsidR="00B6625B" w:rsidRPr="00701F09" w:rsidRDefault="00B6625B" w:rsidP="00B6625B">
      <w:pPr>
        <w:spacing w:line="360" w:lineRule="auto"/>
        <w:jc w:val="both"/>
        <w:rPr>
          <w:rtl/>
          <w:lang w:eastAsia="he-IL"/>
        </w:rPr>
      </w:pPr>
      <w:r>
        <w:rPr>
          <w:rFonts w:hint="cs"/>
          <w:noProof w:val="0"/>
          <w:rtl/>
        </w:rPr>
        <w:t xml:space="preserve">ודוק: אותם פסקי דין התייחסו להחזקת נשק קל, מסוג אקדח או רובה. </w:t>
      </w:r>
      <w:r w:rsidRPr="00D8516B">
        <w:rPr>
          <w:rFonts w:hint="cs"/>
          <w:noProof w:val="0"/>
          <w:u w:val="single"/>
          <w:rtl/>
        </w:rPr>
        <w:t>חומרה יתרה, ישנן לעבירות נשק שענינן החזקת מטעני חבלה</w:t>
      </w:r>
      <w:r>
        <w:rPr>
          <w:rFonts w:hint="cs"/>
          <w:noProof w:val="0"/>
          <w:rtl/>
        </w:rPr>
        <w:t xml:space="preserve">. על כך, ראו דברי בית המשפט המחוזי בבאר שבע (כב' השופט א' ביתן) במסגרת </w:t>
      </w:r>
      <w:hyperlink r:id="rId18" w:history="1">
        <w:r w:rsidR="00143496" w:rsidRPr="00143496">
          <w:rPr>
            <w:noProof w:val="0"/>
            <w:color w:val="0000FF"/>
            <w:u w:val="single"/>
            <w:rtl/>
          </w:rPr>
          <w:t>ת"פ 56232-12-14</w:t>
        </w:r>
      </w:hyperlink>
      <w:r>
        <w:rPr>
          <w:rFonts w:hint="cs"/>
          <w:rtl/>
          <w:lang w:eastAsia="he-IL"/>
        </w:rPr>
        <w:t xml:space="preserve"> </w:t>
      </w:r>
      <w:r>
        <w:rPr>
          <w:rFonts w:hint="cs"/>
          <w:b/>
          <w:bCs/>
          <w:rtl/>
          <w:lang w:eastAsia="he-IL"/>
        </w:rPr>
        <w:t>מדינת ישראל נ' מכלוף</w:t>
      </w:r>
      <w:r>
        <w:rPr>
          <w:rFonts w:hint="cs"/>
          <w:rtl/>
          <w:lang w:eastAsia="he-IL"/>
        </w:rPr>
        <w:t xml:space="preserve"> (פורסם במאגרים):</w:t>
      </w:r>
    </w:p>
    <w:p w14:paraId="6E603A95" w14:textId="77777777" w:rsidR="00B6625B" w:rsidRDefault="00B6625B" w:rsidP="00B6625B">
      <w:pPr>
        <w:spacing w:line="360" w:lineRule="auto"/>
        <w:ind w:left="720"/>
        <w:jc w:val="both"/>
        <w:rPr>
          <w:rtl/>
          <w:lang w:eastAsia="he-IL"/>
        </w:rPr>
      </w:pPr>
    </w:p>
    <w:p w14:paraId="7CB46B20" w14:textId="77777777" w:rsidR="00B6625B" w:rsidRPr="00701F09" w:rsidRDefault="00B6625B" w:rsidP="00B6625B">
      <w:pPr>
        <w:spacing w:line="360" w:lineRule="auto"/>
        <w:jc w:val="both"/>
        <w:rPr>
          <w:rFonts w:ascii="Aharoni" w:hAnsi="Aharoni" w:cs="Aharoni"/>
          <w:noProof w:val="0"/>
          <w:lang w:eastAsia="he-IL"/>
        </w:rPr>
      </w:pPr>
      <w:r w:rsidRPr="00701F09">
        <w:rPr>
          <w:rFonts w:ascii="Aharoni" w:hAnsi="Aharoni" w:cs="Aharoni"/>
          <w:rtl/>
          <w:lang w:eastAsia="he-IL"/>
        </w:rPr>
        <w:t xml:space="preserve">בשנים האחרונות, כחלק מההסלמה הכללית באלימות העבריינים ועל רקע זמינותם הגבוהה של כלי נשק וחומרי חבלה, השימוש העברייני במטעני חבלה </w:t>
      </w:r>
      <w:r w:rsidRPr="00701F09">
        <w:rPr>
          <w:rFonts w:ascii="Aharoni" w:hAnsi="Aharoni" w:cs="Aharoni"/>
          <w:u w:val="single"/>
          <w:rtl/>
          <w:lang w:eastAsia="he-IL"/>
        </w:rPr>
        <w:t>הפך לנפוץ</w:t>
      </w:r>
      <w:r w:rsidRPr="00701F09">
        <w:rPr>
          <w:rFonts w:ascii="Aharoni" w:hAnsi="Aharoni" w:cs="Aharoni"/>
          <w:rtl/>
          <w:lang w:eastAsia="he-IL"/>
        </w:rPr>
        <w:t xml:space="preserve"> והוא גרם לפגיעות בנפש וברכוש - של אלה שאליהם כוונה הפגיעה ושל אחרים, תמימים.</w:t>
      </w:r>
    </w:p>
    <w:p w14:paraId="307E945A" w14:textId="77777777" w:rsidR="00B6625B" w:rsidRPr="00701F09" w:rsidRDefault="00B6625B" w:rsidP="00B6625B">
      <w:pPr>
        <w:spacing w:line="360" w:lineRule="auto"/>
        <w:ind w:left="720"/>
        <w:jc w:val="both"/>
        <w:rPr>
          <w:rFonts w:ascii="Aharoni" w:hAnsi="Aharoni" w:cs="Aharoni"/>
          <w:rtl/>
          <w:lang w:eastAsia="he-IL"/>
        </w:rPr>
      </w:pPr>
      <w:r w:rsidRPr="00701F09">
        <w:rPr>
          <w:rFonts w:ascii="Aharoni" w:hAnsi="Aharoni" w:cs="Aharoni"/>
          <w:rtl/>
          <w:lang w:eastAsia="he-IL"/>
        </w:rPr>
        <w:t xml:space="preserve"> </w:t>
      </w:r>
    </w:p>
    <w:p w14:paraId="030DFF90" w14:textId="77777777" w:rsidR="00B6625B" w:rsidRDefault="00B6625B" w:rsidP="00B6625B">
      <w:pPr>
        <w:tabs>
          <w:tab w:val="left" w:pos="720"/>
          <w:tab w:val="left" w:pos="8309"/>
        </w:tabs>
        <w:spacing w:line="360" w:lineRule="auto"/>
        <w:jc w:val="both"/>
        <w:rPr>
          <w:rFonts w:ascii="Aharoni" w:hAnsi="Aharoni" w:cs="Aharoni"/>
          <w:rtl/>
          <w:lang w:eastAsia="he-IL"/>
        </w:rPr>
      </w:pPr>
      <w:r w:rsidRPr="00701F09">
        <w:rPr>
          <w:rFonts w:ascii="Aharoni" w:hAnsi="Aharoni" w:cs="Aharoni"/>
          <w:rtl/>
          <w:lang w:eastAsia="he-IL"/>
        </w:rPr>
        <w:t xml:space="preserve">מטעני חבלה מטבעם אינם משמשים את העבריינים להגנה עצמית, אלא למעשי תקיפה אלימים אכזריים ומסוכנים מאין כמותם. בהקשר זה </w:t>
      </w:r>
      <w:r w:rsidRPr="00701F09">
        <w:rPr>
          <w:rFonts w:ascii="Aharoni" w:hAnsi="Aharoni" w:cs="Aharoni"/>
          <w:u w:val="single"/>
          <w:rtl/>
          <w:lang w:eastAsia="he-IL"/>
        </w:rPr>
        <w:t>אין כל מקום להתחשבות, הבנה או סלחנות</w:t>
      </w:r>
      <w:r w:rsidRPr="00701F09">
        <w:rPr>
          <w:rFonts w:ascii="Aharoni" w:hAnsi="Aharoni" w:cs="Aharoni"/>
          <w:rtl/>
          <w:lang w:eastAsia="he-IL"/>
        </w:rPr>
        <w:t xml:space="preserve"> ויש לטפל בתופעה ביד קשה </w:t>
      </w:r>
      <w:r w:rsidRPr="00701F09">
        <w:rPr>
          <w:rFonts w:ascii="Aharoni" w:hAnsi="Aharoni" w:cs="Aharoni"/>
          <w:u w:val="single"/>
          <w:rtl/>
          <w:lang w:eastAsia="he-IL"/>
        </w:rPr>
        <w:t>ולמצות את חומר הדין</w:t>
      </w:r>
      <w:r w:rsidRPr="00701F09">
        <w:rPr>
          <w:rFonts w:ascii="Aharoni" w:hAnsi="Aharoni" w:cs="Aharoni"/>
          <w:rtl/>
          <w:lang w:eastAsia="he-IL"/>
        </w:rPr>
        <w:t xml:space="preserve"> כלפי כל אחת מהחוליות בשרשרת ההכנה, ההספקה והשימוש במטעני חבלה. ולדידי, </w:t>
      </w:r>
      <w:r w:rsidRPr="00701F09">
        <w:rPr>
          <w:rFonts w:ascii="Aharoni" w:hAnsi="Aharoni" w:cs="Aharoni"/>
          <w:u w:val="single"/>
          <w:rtl/>
          <w:lang w:eastAsia="he-IL"/>
        </w:rPr>
        <w:t>אין להירתע מהטלת עונשי המאסר המירביים האפשריים.</w:t>
      </w:r>
      <w:r w:rsidRPr="00701F09">
        <w:rPr>
          <w:rFonts w:ascii="Aharoni" w:hAnsi="Aharoni" w:cs="Aharoni"/>
          <w:rtl/>
          <w:lang w:eastAsia="he-IL"/>
        </w:rPr>
        <w:t xml:space="preserve">  </w:t>
      </w:r>
    </w:p>
    <w:p w14:paraId="4B11FA00" w14:textId="77777777" w:rsidR="00B6625B" w:rsidRDefault="00B6625B" w:rsidP="00B6625B">
      <w:pPr>
        <w:tabs>
          <w:tab w:val="left" w:pos="720"/>
          <w:tab w:val="left" w:pos="8309"/>
        </w:tabs>
        <w:spacing w:line="360" w:lineRule="auto"/>
        <w:jc w:val="both"/>
        <w:rPr>
          <w:rFonts w:ascii="Aharoni" w:hAnsi="Aharoni" w:cs="Aharoni"/>
          <w:rtl/>
          <w:lang w:eastAsia="he-IL"/>
        </w:rPr>
      </w:pPr>
    </w:p>
    <w:p w14:paraId="0BB09ECF" w14:textId="77777777" w:rsidR="00B6625B" w:rsidRPr="00F438B1" w:rsidRDefault="00B6625B" w:rsidP="00B6625B">
      <w:pPr>
        <w:tabs>
          <w:tab w:val="left" w:pos="720"/>
          <w:tab w:val="left" w:pos="8309"/>
        </w:tabs>
        <w:spacing w:line="360" w:lineRule="auto"/>
        <w:jc w:val="both"/>
        <w:rPr>
          <w:rFonts w:ascii="David" w:hAnsi="David"/>
          <w:rtl/>
          <w:lang w:eastAsia="he-IL"/>
        </w:rPr>
      </w:pPr>
      <w:r>
        <w:rPr>
          <w:rFonts w:ascii="David" w:hAnsi="David" w:hint="cs"/>
          <w:rtl/>
          <w:lang w:eastAsia="he-IL"/>
        </w:rPr>
        <w:t xml:space="preserve">ובהמשך, ציין: </w:t>
      </w:r>
      <w:r w:rsidRPr="00F438B1">
        <w:rPr>
          <w:rFonts w:ascii="Aharoni" w:hAnsi="Aharoni" w:cs="Aharoni"/>
          <w:rtl/>
          <w:lang w:eastAsia="he-IL"/>
        </w:rPr>
        <w:t xml:space="preserve">נפש הציבור נקעה מהמצב, והצורך בריסון התופעה ברור מאליו. אחת מדרכי הפעולה המתבקשות היא </w:t>
      </w:r>
      <w:r w:rsidRPr="00F438B1">
        <w:rPr>
          <w:rFonts w:ascii="Aharoni" w:hAnsi="Aharoni" w:cs="Aharoni"/>
          <w:u w:val="single"/>
          <w:rtl/>
          <w:lang w:eastAsia="he-IL"/>
        </w:rPr>
        <w:t>החמרת הענישה.</w:t>
      </w:r>
    </w:p>
    <w:p w14:paraId="11C91649" w14:textId="77777777" w:rsidR="00B6625B" w:rsidRDefault="00B6625B" w:rsidP="00B6625B">
      <w:pPr>
        <w:tabs>
          <w:tab w:val="left" w:pos="720"/>
          <w:tab w:val="left" w:pos="8309"/>
        </w:tabs>
        <w:spacing w:line="360" w:lineRule="auto"/>
        <w:jc w:val="both"/>
        <w:rPr>
          <w:rFonts w:ascii="David" w:hAnsi="David"/>
          <w:rtl/>
          <w:lang w:eastAsia="he-IL"/>
        </w:rPr>
      </w:pPr>
    </w:p>
    <w:p w14:paraId="6A68B300" w14:textId="77777777" w:rsidR="00B6625B" w:rsidRDefault="00B6625B" w:rsidP="00B6625B">
      <w:pPr>
        <w:tabs>
          <w:tab w:val="left" w:pos="720"/>
          <w:tab w:val="left" w:pos="8309"/>
        </w:tabs>
        <w:spacing w:line="360" w:lineRule="auto"/>
        <w:jc w:val="both"/>
        <w:rPr>
          <w:rFonts w:ascii="David" w:hAnsi="David"/>
          <w:rtl/>
          <w:lang w:eastAsia="he-IL"/>
        </w:rPr>
      </w:pPr>
      <w:r>
        <w:rPr>
          <w:rFonts w:ascii="David" w:hAnsi="David" w:hint="cs"/>
          <w:rtl/>
          <w:lang w:eastAsia="he-IL"/>
        </w:rPr>
        <w:t>(ההדגשות אינן במקור).</w:t>
      </w:r>
    </w:p>
    <w:p w14:paraId="4DA807F3" w14:textId="77777777" w:rsidR="00B6625B" w:rsidRDefault="00B6625B" w:rsidP="00B6625B">
      <w:pPr>
        <w:tabs>
          <w:tab w:val="left" w:pos="720"/>
          <w:tab w:val="left" w:pos="8309"/>
        </w:tabs>
        <w:spacing w:line="360" w:lineRule="auto"/>
        <w:jc w:val="both"/>
        <w:rPr>
          <w:rFonts w:ascii="David" w:hAnsi="David"/>
          <w:rtl/>
          <w:lang w:eastAsia="he-IL"/>
        </w:rPr>
      </w:pPr>
    </w:p>
    <w:p w14:paraId="4245E645" w14:textId="77777777" w:rsidR="00B6625B" w:rsidRDefault="00B6625B" w:rsidP="00B6625B">
      <w:pPr>
        <w:tabs>
          <w:tab w:val="left" w:pos="720"/>
          <w:tab w:val="left" w:pos="8309"/>
        </w:tabs>
        <w:spacing w:line="360" w:lineRule="auto"/>
        <w:jc w:val="both"/>
        <w:rPr>
          <w:rFonts w:ascii="David" w:hAnsi="David"/>
          <w:rtl/>
          <w:lang w:eastAsia="he-IL"/>
        </w:rPr>
      </w:pPr>
    </w:p>
    <w:p w14:paraId="0E9FBB9D" w14:textId="77777777" w:rsidR="00B6625B" w:rsidRDefault="00B6625B" w:rsidP="00B6625B">
      <w:pPr>
        <w:tabs>
          <w:tab w:val="left" w:pos="720"/>
          <w:tab w:val="left" w:pos="8309"/>
        </w:tabs>
        <w:spacing w:line="360" w:lineRule="auto"/>
        <w:jc w:val="both"/>
        <w:rPr>
          <w:rFonts w:ascii="David" w:hAnsi="David"/>
          <w:rtl/>
          <w:lang w:eastAsia="he-IL"/>
        </w:rPr>
      </w:pPr>
      <w:r>
        <w:rPr>
          <w:rFonts w:ascii="David" w:hAnsi="David" w:hint="cs"/>
          <w:u w:val="single"/>
          <w:rtl/>
          <w:lang w:eastAsia="he-IL"/>
        </w:rPr>
        <w:t>להלן, תובא סקירה של מדיניות הענישה הנוהגת בעבירות מאותה מטריה:</w:t>
      </w:r>
    </w:p>
    <w:p w14:paraId="20ED21A5" w14:textId="77777777" w:rsidR="00B6625B" w:rsidRDefault="00B6625B" w:rsidP="00B6625B">
      <w:pPr>
        <w:tabs>
          <w:tab w:val="left" w:pos="720"/>
          <w:tab w:val="left" w:pos="8309"/>
        </w:tabs>
        <w:spacing w:line="360" w:lineRule="auto"/>
        <w:jc w:val="both"/>
        <w:rPr>
          <w:rFonts w:ascii="David" w:hAnsi="David"/>
          <w:rtl/>
          <w:lang w:eastAsia="he-IL"/>
        </w:rPr>
      </w:pPr>
    </w:p>
    <w:p w14:paraId="443085D7" w14:textId="77777777" w:rsidR="00B6625B" w:rsidRDefault="00143496" w:rsidP="00B6625B">
      <w:pPr>
        <w:pStyle w:val="a9"/>
        <w:numPr>
          <w:ilvl w:val="0"/>
          <w:numId w:val="1"/>
        </w:numPr>
        <w:tabs>
          <w:tab w:val="left" w:pos="720"/>
          <w:tab w:val="left" w:pos="8309"/>
        </w:tabs>
        <w:spacing w:line="360" w:lineRule="auto"/>
        <w:jc w:val="both"/>
        <w:rPr>
          <w:rFonts w:ascii="David" w:hAnsi="David"/>
          <w:lang w:eastAsia="he-IL"/>
        </w:rPr>
      </w:pPr>
      <w:hyperlink r:id="rId19" w:history="1">
        <w:r w:rsidRPr="00143496">
          <w:rPr>
            <w:rFonts w:ascii="David" w:hAnsi="David"/>
            <w:color w:val="0000FF"/>
            <w:u w:val="single"/>
            <w:rtl/>
            <w:lang w:eastAsia="he-IL"/>
          </w:rPr>
          <w:t>ת"פ 21139-04-17</w:t>
        </w:r>
      </w:hyperlink>
      <w:r w:rsidR="00B6625B">
        <w:rPr>
          <w:rFonts w:hint="cs"/>
          <w:rtl/>
        </w:rPr>
        <w:t xml:space="preserve"> </w:t>
      </w:r>
      <w:r w:rsidR="00B6625B">
        <w:rPr>
          <w:rFonts w:hint="cs"/>
          <w:b/>
          <w:bCs/>
          <w:rtl/>
        </w:rPr>
        <w:t>מדינת ישראל נ' יעקב</w:t>
      </w:r>
      <w:r w:rsidR="00B6625B">
        <w:rPr>
          <w:rFonts w:hint="cs"/>
          <w:rtl/>
        </w:rPr>
        <w:t xml:space="preserve"> (פורסם בנבו) </w:t>
      </w:r>
      <w:r w:rsidR="00B6625B">
        <w:rPr>
          <w:rtl/>
        </w:rPr>
        <w:t>–</w:t>
      </w:r>
      <w:r w:rsidR="00B6625B">
        <w:rPr>
          <w:rFonts w:hint="cs"/>
          <w:rtl/>
        </w:rPr>
        <w:t xml:space="preserve"> הנאשם הורשע, על פי הודאתו במסגרת הסדר טיעון, בכך שהחזיק מטען צינור מאולתר, בו חומר נפץ </w:t>
      </w:r>
      <w:r w:rsidR="00B6625B" w:rsidRPr="00D8516B">
        <w:rPr>
          <w:rFonts w:hint="cs"/>
          <w:u w:val="single"/>
          <w:rtl/>
        </w:rPr>
        <w:t>במשקל הנמוך מ-12 גרם</w:t>
      </w:r>
      <w:r w:rsidR="00B6625B">
        <w:rPr>
          <w:rFonts w:hint="cs"/>
          <w:rtl/>
        </w:rPr>
        <w:t>. בית המשפט לקח בחשבון את הכמות הקטנה יחסית של חומר הנפץ במטען המאולתר שנמצא אצל הנאשם, וקבע מתחם ענישה הנע בין 18 ועד 36 חודשי מאסר בפועל.</w:t>
      </w:r>
    </w:p>
    <w:p w14:paraId="148B6D36" w14:textId="77777777" w:rsidR="00B6625B" w:rsidRPr="00F438B1" w:rsidRDefault="00143496" w:rsidP="00B6625B">
      <w:pPr>
        <w:pStyle w:val="a9"/>
        <w:numPr>
          <w:ilvl w:val="0"/>
          <w:numId w:val="1"/>
        </w:numPr>
        <w:tabs>
          <w:tab w:val="left" w:pos="720"/>
          <w:tab w:val="left" w:pos="8309"/>
        </w:tabs>
        <w:spacing w:line="360" w:lineRule="auto"/>
        <w:jc w:val="both"/>
        <w:rPr>
          <w:rFonts w:ascii="David" w:hAnsi="David"/>
          <w:lang w:eastAsia="he-IL"/>
        </w:rPr>
      </w:pPr>
      <w:hyperlink r:id="rId20" w:history="1">
        <w:r w:rsidRPr="00143496">
          <w:rPr>
            <w:rFonts w:ascii="David" w:hAnsi="David"/>
            <w:color w:val="0000FF"/>
            <w:u w:val="single"/>
            <w:rtl/>
            <w:lang w:eastAsia="he-IL"/>
          </w:rPr>
          <w:t>ת"פ 47022-05-14</w:t>
        </w:r>
      </w:hyperlink>
      <w:r w:rsidR="00B6625B">
        <w:rPr>
          <w:rFonts w:hint="cs"/>
          <w:rtl/>
        </w:rPr>
        <w:t xml:space="preserve"> </w:t>
      </w:r>
      <w:r w:rsidR="00B6625B">
        <w:rPr>
          <w:rFonts w:hint="cs"/>
          <w:b/>
          <w:bCs/>
          <w:rtl/>
        </w:rPr>
        <w:t>מדינת ישראל נ' יונגר</w:t>
      </w:r>
      <w:r w:rsidR="00B6625B">
        <w:rPr>
          <w:rFonts w:hint="cs"/>
          <w:rtl/>
        </w:rPr>
        <w:t xml:space="preserve"> (פורסם בנבו) </w:t>
      </w:r>
      <w:r w:rsidR="00B6625B">
        <w:rPr>
          <w:rtl/>
        </w:rPr>
        <w:t>–</w:t>
      </w:r>
      <w:r w:rsidR="00B6625B">
        <w:rPr>
          <w:rFonts w:hint="cs"/>
          <w:rtl/>
        </w:rPr>
        <w:t xml:space="preserve"> הנאשם הורשע, לאחר ניהול הליך הוכחות, בכך שהחזיק מטען חבלה אלחוטי, הניתן להפעלה מרחוק, במחסן הסמוך למשרדו, הנמצא מתחת לאולם ספורט המשמש תלמידי בית ספר, וכן החזיק בסמים מסוכנים מסוג קנביס. בית המשפט קבע מתחם ענישה הנע בין שנתיים לחמש שנות מאסר בפועל.</w:t>
      </w:r>
    </w:p>
    <w:p w14:paraId="43E97DDE" w14:textId="77777777" w:rsidR="00B6625B" w:rsidRDefault="00143496" w:rsidP="00B6625B">
      <w:pPr>
        <w:pStyle w:val="a9"/>
        <w:numPr>
          <w:ilvl w:val="0"/>
          <w:numId w:val="1"/>
        </w:numPr>
        <w:tabs>
          <w:tab w:val="left" w:pos="720"/>
          <w:tab w:val="left" w:pos="8309"/>
        </w:tabs>
        <w:spacing w:line="360" w:lineRule="auto"/>
        <w:jc w:val="both"/>
        <w:rPr>
          <w:rFonts w:ascii="David" w:hAnsi="David"/>
          <w:lang w:eastAsia="he-IL"/>
        </w:rPr>
      </w:pPr>
      <w:hyperlink r:id="rId21" w:history="1">
        <w:r w:rsidRPr="00143496">
          <w:rPr>
            <w:rFonts w:ascii="David" w:hAnsi="David"/>
            <w:color w:val="0000FF"/>
            <w:u w:val="single"/>
            <w:rtl/>
            <w:lang w:eastAsia="he-IL"/>
          </w:rPr>
          <w:t>ת"פ 45130-06-20</w:t>
        </w:r>
      </w:hyperlink>
      <w:r w:rsidR="00B6625B" w:rsidRPr="00F438B1">
        <w:rPr>
          <w:rFonts w:ascii="David" w:hAnsi="David"/>
          <w:rtl/>
          <w:lang w:eastAsia="he-IL"/>
        </w:rPr>
        <w:t xml:space="preserve"> </w:t>
      </w:r>
      <w:r w:rsidR="00B6625B" w:rsidRPr="00F438B1">
        <w:rPr>
          <w:rFonts w:ascii="David" w:hAnsi="David"/>
          <w:b/>
          <w:bCs/>
          <w:rtl/>
          <w:lang w:eastAsia="he-IL"/>
        </w:rPr>
        <w:t>מדינת ישראל נ' עבאסי</w:t>
      </w:r>
      <w:r w:rsidR="00B6625B">
        <w:rPr>
          <w:rFonts w:ascii="David" w:hAnsi="David" w:hint="cs"/>
          <w:rtl/>
          <w:lang w:eastAsia="he-IL"/>
        </w:rPr>
        <w:t xml:space="preserve"> (פורסם במאגרים) </w:t>
      </w:r>
      <w:r w:rsidR="00B6625B">
        <w:rPr>
          <w:rFonts w:ascii="David" w:hAnsi="David"/>
          <w:rtl/>
          <w:lang w:eastAsia="he-IL"/>
        </w:rPr>
        <w:t>–</w:t>
      </w:r>
      <w:r w:rsidR="00B6625B">
        <w:rPr>
          <w:rFonts w:ascii="David" w:hAnsi="David" w:hint="cs"/>
          <w:rtl/>
          <w:lang w:eastAsia="he-IL"/>
        </w:rPr>
        <w:t xml:space="preserve"> הנאשם הורשע, לאחר הודאתו במסגרת הסדר טיעון, בעבירה של ניסיון להחזקת נשק. על פי עובדות כתב האישום, עמד הנאשם בקשר עם סוכן משטרתי, וביקש ממנו אמצעי לחימה. במעמד פגישתם, מסר הסוכן לנאשם שקית, ובה שני חפצים אשר נראו כמטעני חבלה והכילו חומר נפץ. בית המשפט קבע מתחם ענישה הנע בין 20 ועד 48 חודשי מאסר בפועל.</w:t>
      </w:r>
    </w:p>
    <w:p w14:paraId="6F8E91E6" w14:textId="77777777" w:rsidR="00B6625B" w:rsidRDefault="00143496" w:rsidP="00B6625B">
      <w:pPr>
        <w:pStyle w:val="a9"/>
        <w:numPr>
          <w:ilvl w:val="0"/>
          <w:numId w:val="1"/>
        </w:numPr>
        <w:tabs>
          <w:tab w:val="left" w:pos="720"/>
          <w:tab w:val="left" w:pos="8309"/>
        </w:tabs>
        <w:spacing w:line="360" w:lineRule="auto"/>
        <w:jc w:val="both"/>
        <w:rPr>
          <w:rFonts w:ascii="David" w:hAnsi="David"/>
          <w:lang w:eastAsia="he-IL"/>
        </w:rPr>
      </w:pPr>
      <w:hyperlink r:id="rId22" w:history="1">
        <w:r w:rsidRPr="00143496">
          <w:rPr>
            <w:rFonts w:ascii="David" w:hAnsi="David"/>
            <w:color w:val="0000FF"/>
            <w:u w:val="single"/>
            <w:rtl/>
            <w:lang w:eastAsia="he-IL"/>
          </w:rPr>
          <w:t>עפ"ג 54406-04-21</w:t>
        </w:r>
      </w:hyperlink>
      <w:r w:rsidR="00B6625B">
        <w:rPr>
          <w:rFonts w:ascii="David" w:hAnsi="David" w:hint="cs"/>
          <w:rtl/>
          <w:lang w:eastAsia="he-IL"/>
        </w:rPr>
        <w:t xml:space="preserve"> </w:t>
      </w:r>
      <w:r w:rsidR="00B6625B">
        <w:rPr>
          <w:rFonts w:ascii="David" w:hAnsi="David" w:hint="cs"/>
          <w:b/>
          <w:bCs/>
          <w:rtl/>
          <w:lang w:eastAsia="he-IL"/>
        </w:rPr>
        <w:t>אל עאסם נ' מדינת ישראל</w:t>
      </w:r>
      <w:r w:rsidR="00B6625B">
        <w:rPr>
          <w:rFonts w:ascii="David" w:hAnsi="David"/>
          <w:rtl/>
          <w:lang w:eastAsia="he-IL"/>
        </w:rPr>
        <w:t xml:space="preserve"> (פורסם במאגרים)</w:t>
      </w:r>
      <w:r w:rsidR="00B6625B">
        <w:rPr>
          <w:rFonts w:ascii="David" w:hAnsi="David" w:hint="cs"/>
          <w:rtl/>
          <w:lang w:eastAsia="he-IL"/>
        </w:rPr>
        <w:t xml:space="preserve"> </w:t>
      </w:r>
      <w:r w:rsidR="00B6625B">
        <w:rPr>
          <w:rFonts w:ascii="David" w:hAnsi="David"/>
          <w:rtl/>
          <w:lang w:eastAsia="he-IL"/>
        </w:rPr>
        <w:t>–</w:t>
      </w:r>
      <w:r w:rsidR="00B6625B">
        <w:rPr>
          <w:rFonts w:ascii="David" w:hAnsi="David" w:hint="cs"/>
          <w:rtl/>
          <w:lang w:eastAsia="he-IL"/>
        </w:rPr>
        <w:t xml:space="preserve"> </w:t>
      </w:r>
      <w:r w:rsidR="00B6625B" w:rsidRPr="005B2402">
        <w:rPr>
          <w:rFonts w:ascii="David" w:hAnsi="David"/>
          <w:rtl/>
          <w:lang w:eastAsia="he-IL"/>
        </w:rPr>
        <w:t xml:space="preserve"> </w:t>
      </w:r>
      <w:r w:rsidR="00B6625B">
        <w:rPr>
          <w:rFonts w:ascii="David" w:hAnsi="David" w:hint="cs"/>
          <w:rtl/>
          <w:lang w:eastAsia="he-IL"/>
        </w:rPr>
        <w:t>המערער</w:t>
      </w:r>
      <w:r w:rsidR="00B6625B" w:rsidRPr="005B2402">
        <w:rPr>
          <w:rFonts w:ascii="David" w:hAnsi="David"/>
          <w:rtl/>
          <w:lang w:eastAsia="he-IL"/>
        </w:rPr>
        <w:t xml:space="preserve"> כבן 45, נעדר הרשעות קודמות, </w:t>
      </w:r>
      <w:r w:rsidR="00B6625B">
        <w:rPr>
          <w:rFonts w:ascii="David" w:hAnsi="David" w:hint="cs"/>
          <w:rtl/>
          <w:lang w:eastAsia="he-IL"/>
        </w:rPr>
        <w:t xml:space="preserve">נדון </w:t>
      </w:r>
      <w:r w:rsidR="00B6625B" w:rsidRPr="005B2402">
        <w:rPr>
          <w:rFonts w:ascii="David" w:hAnsi="David"/>
          <w:rtl/>
          <w:lang w:eastAsia="he-IL"/>
        </w:rPr>
        <w:t xml:space="preserve">לעונש מאסר בן 18 חודשים, מאסר מותנה וקנס בסך 12,000 ₪, בגין החזקת תת מקלע מאולתר 9 מ"מ ו-20 קליעי תחמושת. בגזר </w:t>
      </w:r>
      <w:r w:rsidR="00B6625B">
        <w:rPr>
          <w:rFonts w:ascii="David" w:hAnsi="David" w:hint="cs"/>
          <w:rtl/>
          <w:lang w:eastAsia="he-IL"/>
        </w:rPr>
        <w:t>הדין, קבע מותב זה</w:t>
      </w:r>
      <w:r w:rsidR="00B6625B" w:rsidRPr="005B2402">
        <w:rPr>
          <w:rFonts w:ascii="David" w:hAnsi="David"/>
          <w:rtl/>
          <w:lang w:eastAsia="he-IL"/>
        </w:rPr>
        <w:t>, כי מתחם העונש ההולם הינו 20 עד 40 חודשי מאסר, אך קבע, כי יש להגדיל את מתחם הענישה במשורה, ולכן העמיד את המתחם בין 18 ל-36 חודשי מאסר בפועל.</w:t>
      </w:r>
      <w:r w:rsidR="00B6625B">
        <w:rPr>
          <w:rFonts w:ascii="David" w:hAnsi="David" w:hint="cs"/>
          <w:rtl/>
          <w:lang w:eastAsia="he-IL"/>
        </w:rPr>
        <w:t xml:space="preserve"> ערעורו על חומרת העונש </w:t>
      </w:r>
      <w:r w:rsidR="00B6625B">
        <w:rPr>
          <w:rFonts w:ascii="David" w:hAnsi="David" w:hint="cs"/>
          <w:u w:val="single"/>
          <w:rtl/>
          <w:lang w:eastAsia="he-IL"/>
        </w:rPr>
        <w:t>נדחה</w:t>
      </w:r>
      <w:r w:rsidR="00B6625B">
        <w:rPr>
          <w:rFonts w:ascii="David" w:hAnsi="David" w:hint="cs"/>
          <w:rtl/>
          <w:lang w:eastAsia="he-IL"/>
        </w:rPr>
        <w:t>, אך לאור מצב רפואי אישי, הופחת גובה הקנס בהסכמת ב"כ הצדדים.</w:t>
      </w:r>
    </w:p>
    <w:p w14:paraId="4B80261B" w14:textId="77777777" w:rsidR="00B6625B" w:rsidRDefault="00143496" w:rsidP="00B6625B">
      <w:pPr>
        <w:pStyle w:val="a9"/>
        <w:numPr>
          <w:ilvl w:val="0"/>
          <w:numId w:val="1"/>
        </w:numPr>
        <w:tabs>
          <w:tab w:val="left" w:pos="720"/>
          <w:tab w:val="left" w:pos="8309"/>
        </w:tabs>
        <w:spacing w:line="360" w:lineRule="auto"/>
        <w:jc w:val="both"/>
        <w:rPr>
          <w:rFonts w:ascii="David" w:hAnsi="David"/>
          <w:lang w:eastAsia="he-IL"/>
        </w:rPr>
      </w:pPr>
      <w:hyperlink r:id="rId23" w:history="1">
        <w:r w:rsidRPr="00143496">
          <w:rPr>
            <w:rFonts w:ascii="David" w:hAnsi="David"/>
            <w:color w:val="0000FF"/>
            <w:u w:val="single"/>
            <w:rtl/>
            <w:lang w:eastAsia="he-IL"/>
          </w:rPr>
          <w:t>עפ"ג 21819-06-21</w:t>
        </w:r>
      </w:hyperlink>
      <w:r w:rsidR="00B6625B" w:rsidRPr="005B2402">
        <w:rPr>
          <w:rFonts w:ascii="David" w:hAnsi="David"/>
          <w:rtl/>
          <w:lang w:eastAsia="he-IL"/>
        </w:rPr>
        <w:t xml:space="preserve"> </w:t>
      </w:r>
      <w:r w:rsidR="00B6625B">
        <w:rPr>
          <w:rFonts w:ascii="David" w:hAnsi="David"/>
          <w:b/>
          <w:bCs/>
          <w:rtl/>
          <w:lang w:eastAsia="he-IL"/>
        </w:rPr>
        <w:t xml:space="preserve">עובייד נ' מדינת </w:t>
      </w:r>
      <w:r w:rsidR="00B6625B" w:rsidRPr="00FF63E3">
        <w:rPr>
          <w:rFonts w:ascii="David" w:hAnsi="David"/>
          <w:b/>
          <w:bCs/>
          <w:rtl/>
          <w:lang w:eastAsia="he-IL"/>
        </w:rPr>
        <w:t>ישראל</w:t>
      </w:r>
      <w:r w:rsidR="00B6625B">
        <w:rPr>
          <w:rFonts w:ascii="David" w:hAnsi="David" w:hint="cs"/>
          <w:rtl/>
          <w:lang w:eastAsia="he-IL"/>
        </w:rPr>
        <w:t xml:space="preserve"> (פורסם במאגרים) </w:t>
      </w:r>
      <w:r w:rsidR="00B6625B">
        <w:rPr>
          <w:rFonts w:ascii="David" w:hAnsi="David"/>
          <w:rtl/>
          <w:lang w:eastAsia="he-IL"/>
        </w:rPr>
        <w:t>–</w:t>
      </w:r>
      <w:r w:rsidR="00B6625B">
        <w:rPr>
          <w:rFonts w:ascii="David" w:hAnsi="David" w:hint="cs"/>
          <w:rtl/>
          <w:lang w:eastAsia="he-IL"/>
        </w:rPr>
        <w:t xml:space="preserve"> </w:t>
      </w:r>
      <w:r w:rsidR="00B6625B" w:rsidRPr="00FF63E3">
        <w:rPr>
          <w:rFonts w:ascii="David" w:hAnsi="David"/>
          <w:rtl/>
          <w:lang w:eastAsia="he-IL"/>
        </w:rPr>
        <w:t>נדחה</w:t>
      </w:r>
      <w:r w:rsidR="00B6625B" w:rsidRPr="005B2402">
        <w:rPr>
          <w:rFonts w:ascii="David" w:hAnsi="David"/>
          <w:rtl/>
          <w:lang w:eastAsia="he-IL"/>
        </w:rPr>
        <w:t xml:space="preserve"> ערעורו של מי שנדון לעונש בן 26 חודשי מאסר בפועל, מאסר מותנה וקנס בסך 12,000 ₪, בגין החזקת רובה סער מסוג </w:t>
      </w:r>
      <w:r w:rsidR="00B6625B" w:rsidRPr="005B2402">
        <w:rPr>
          <w:rFonts w:ascii="David" w:hAnsi="David"/>
          <w:lang w:eastAsia="he-IL"/>
        </w:rPr>
        <w:t>M-16</w:t>
      </w:r>
      <w:r w:rsidR="00B6625B" w:rsidRPr="005B2402">
        <w:rPr>
          <w:rFonts w:ascii="David" w:hAnsi="David"/>
          <w:rtl/>
          <w:lang w:eastAsia="he-IL"/>
        </w:rPr>
        <w:t xml:space="preserve"> מפורק לשניים, תחמושת וסמים מסוג קנבוס במשקל 25 גרם. </w:t>
      </w:r>
      <w:r w:rsidR="00B6625B">
        <w:rPr>
          <w:rFonts w:ascii="David" w:hAnsi="David" w:hint="cs"/>
          <w:rtl/>
          <w:lang w:eastAsia="he-IL"/>
        </w:rPr>
        <w:t xml:space="preserve">מותב זה קבע, כי מתחם העונש ההולם הינו 24 עד 48 חודשי מאסר בפועל. </w:t>
      </w:r>
      <w:r w:rsidR="00B6625B" w:rsidRPr="005B2402">
        <w:rPr>
          <w:rFonts w:ascii="David" w:hAnsi="David"/>
          <w:rtl/>
          <w:lang w:eastAsia="he-IL"/>
        </w:rPr>
        <w:t xml:space="preserve">הערעור נסוב על רכיב הקנס בלבד, אך המערער טען, כי רכיב המאסר בפועל מהווה החמרה. בית המשפט המחוזי, בשבתו כבית משפט לערעורים פליליים, קבע, כי רכיב המאסר אינו כולל החמרה, וכי חומרת העבירות </w:t>
      </w:r>
      <w:r w:rsidR="00B6625B" w:rsidRPr="00FF63E3">
        <w:rPr>
          <w:rFonts w:ascii="David" w:hAnsi="David"/>
          <w:u w:val="single"/>
          <w:rtl/>
          <w:lang w:eastAsia="he-IL"/>
        </w:rPr>
        <w:t>מחייבת מענה עונשי מרתיע.</w:t>
      </w:r>
    </w:p>
    <w:p w14:paraId="0E42B5E6" w14:textId="77777777" w:rsidR="00B6625B" w:rsidRDefault="00143496" w:rsidP="00B6625B">
      <w:pPr>
        <w:pStyle w:val="a9"/>
        <w:spacing w:line="360" w:lineRule="auto"/>
        <w:jc w:val="both"/>
        <w:rPr>
          <w:rFonts w:ascii="David" w:hAnsi="David"/>
          <w:noProof w:val="0"/>
        </w:rPr>
      </w:pPr>
      <w:hyperlink r:id="rId24" w:history="1">
        <w:r w:rsidRPr="00143496">
          <w:rPr>
            <w:rFonts w:ascii="David" w:hAnsi="David"/>
            <w:color w:val="0000FF"/>
            <w:u w:val="single"/>
            <w:rtl/>
            <w:lang w:eastAsia="he-IL"/>
          </w:rPr>
          <w:t>עפ"ג 4673-08-19</w:t>
        </w:r>
      </w:hyperlink>
      <w:r w:rsidR="00B6625B" w:rsidRPr="00062FB0">
        <w:rPr>
          <w:rFonts w:ascii="David" w:hAnsi="David"/>
          <w:rtl/>
          <w:lang w:eastAsia="he-IL"/>
        </w:rPr>
        <w:t xml:space="preserve"> </w:t>
      </w:r>
      <w:r w:rsidR="00B6625B" w:rsidRPr="00062FB0">
        <w:rPr>
          <w:rFonts w:ascii="David" w:hAnsi="David"/>
          <w:b/>
          <w:bCs/>
          <w:rtl/>
          <w:lang w:eastAsia="he-IL"/>
        </w:rPr>
        <w:t>אבו מוסא נ' מדינת ישראל</w:t>
      </w:r>
      <w:r w:rsidR="00B6625B" w:rsidRPr="00062FB0">
        <w:rPr>
          <w:rFonts w:ascii="David" w:hAnsi="David"/>
          <w:rtl/>
          <w:lang w:eastAsia="he-IL"/>
        </w:rPr>
        <w:t xml:space="preserve"> (להלן: "</w:t>
      </w:r>
      <w:r w:rsidR="00B6625B" w:rsidRPr="00062FB0">
        <w:rPr>
          <w:rFonts w:ascii="David" w:hAnsi="David"/>
          <w:b/>
          <w:bCs/>
          <w:rtl/>
          <w:lang w:eastAsia="he-IL"/>
        </w:rPr>
        <w:t>פרשת אבו מוסא</w:t>
      </w:r>
      <w:r w:rsidR="00B6625B" w:rsidRPr="00062FB0">
        <w:rPr>
          <w:rFonts w:ascii="David" w:hAnsi="David"/>
          <w:rtl/>
          <w:lang w:eastAsia="he-IL"/>
        </w:rPr>
        <w:t>")</w:t>
      </w:r>
      <w:r w:rsidR="00B6625B">
        <w:rPr>
          <w:rFonts w:ascii="David" w:hAnsi="David" w:hint="cs"/>
          <w:rtl/>
          <w:lang w:eastAsia="he-IL"/>
        </w:rPr>
        <w:t xml:space="preserve"> - ה</w:t>
      </w:r>
      <w:r w:rsidR="00B6625B">
        <w:rPr>
          <w:rFonts w:ascii="David" w:hAnsi="David"/>
          <w:rtl/>
        </w:rPr>
        <w:t>מערער החזיק בנשק</w:t>
      </w:r>
      <w:r w:rsidR="00B6625B">
        <w:rPr>
          <w:rFonts w:ascii="David" w:hAnsi="David" w:hint="cs"/>
          <w:rtl/>
        </w:rPr>
        <w:t xml:space="preserve"> מאולתר מסוג תת מקלע</w:t>
      </w:r>
      <w:r w:rsidR="00B6625B">
        <w:rPr>
          <w:rFonts w:ascii="David" w:hAnsi="David"/>
          <w:rtl/>
        </w:rPr>
        <w:t xml:space="preserve"> למשך </w:t>
      </w:r>
      <w:r w:rsidR="00B6625B">
        <w:rPr>
          <w:rFonts w:ascii="David" w:hAnsi="David"/>
          <w:u w:val="single"/>
          <w:rtl/>
        </w:rPr>
        <w:t>עשרה ימים בלבד</w:t>
      </w:r>
      <w:r w:rsidR="00B6625B">
        <w:rPr>
          <w:rFonts w:ascii="David" w:hAnsi="David"/>
          <w:rtl/>
        </w:rPr>
        <w:t xml:space="preserve"> ואף הוסכם, כי החזיקו בעבור אחר.</w:t>
      </w:r>
      <w:r w:rsidR="00B6625B">
        <w:rPr>
          <w:rFonts w:ascii="David" w:hAnsi="David" w:hint="cs"/>
          <w:rtl/>
          <w:lang w:eastAsia="he-IL"/>
        </w:rPr>
        <w:t xml:space="preserve"> מותב זה קבע מתחם ענישה הנע בין 18 ועד 36 חודשים וגזר על הנאשם </w:t>
      </w:r>
      <w:r w:rsidR="00B6625B">
        <w:rPr>
          <w:rFonts w:ascii="David" w:hAnsi="David"/>
          <w:rtl/>
        </w:rPr>
        <w:t>18 חודשי</w:t>
      </w:r>
      <w:r w:rsidR="00B6625B">
        <w:rPr>
          <w:rFonts w:ascii="David" w:hAnsi="David" w:hint="cs"/>
          <w:rtl/>
        </w:rPr>
        <w:t xml:space="preserve"> מאסר בפועל</w:t>
      </w:r>
      <w:r w:rsidR="00B6625B">
        <w:rPr>
          <w:rFonts w:ascii="David" w:hAnsi="David"/>
          <w:rtl/>
        </w:rPr>
        <w:t xml:space="preserve"> בתוספת מאסר מותנה וקנס בסך 12,000 ₪</w:t>
      </w:r>
      <w:r w:rsidR="00B6625B">
        <w:rPr>
          <w:rFonts w:ascii="David" w:hAnsi="David" w:hint="cs"/>
          <w:rtl/>
        </w:rPr>
        <w:t xml:space="preserve">. </w:t>
      </w:r>
      <w:r w:rsidR="00B6625B">
        <w:rPr>
          <w:rFonts w:ascii="David" w:hAnsi="David"/>
          <w:rtl/>
        </w:rPr>
        <w:t xml:space="preserve">בית המשפט המחוזי, בשבתו כבית משפט לערעורים פליליים, הרכב בראשות </w:t>
      </w:r>
      <w:r w:rsidR="00B6625B">
        <w:rPr>
          <w:rFonts w:ascii="David" w:hAnsi="David" w:hint="cs"/>
          <w:rtl/>
        </w:rPr>
        <w:t xml:space="preserve">כבוד </w:t>
      </w:r>
      <w:r w:rsidR="00B6625B">
        <w:rPr>
          <w:rFonts w:ascii="David" w:hAnsi="David"/>
          <w:rtl/>
        </w:rPr>
        <w:t>הנשיאה</w:t>
      </w:r>
      <w:r w:rsidR="00B6625B">
        <w:rPr>
          <w:rFonts w:ascii="David" w:hAnsi="David" w:hint="cs"/>
          <w:rtl/>
        </w:rPr>
        <w:t xml:space="preserve">, </w:t>
      </w:r>
      <w:r w:rsidR="00B6625B">
        <w:rPr>
          <w:rFonts w:ascii="David" w:hAnsi="David"/>
          <w:rtl/>
        </w:rPr>
        <w:t xml:space="preserve">השופטת ר' יפה-כץ, ציין:  </w:t>
      </w:r>
    </w:p>
    <w:p w14:paraId="3048F519" w14:textId="77777777" w:rsidR="00B6625B" w:rsidRDefault="00B6625B" w:rsidP="00B6625B">
      <w:pPr>
        <w:spacing w:line="360" w:lineRule="auto"/>
        <w:jc w:val="both"/>
        <w:rPr>
          <w:rFonts w:ascii="David" w:hAnsi="David"/>
          <w:rtl/>
        </w:rPr>
      </w:pPr>
    </w:p>
    <w:p w14:paraId="79EF90ED" w14:textId="77777777" w:rsidR="00B6625B" w:rsidRDefault="00B6625B" w:rsidP="00B6625B">
      <w:pPr>
        <w:pStyle w:val="a9"/>
        <w:spacing w:line="360" w:lineRule="auto"/>
        <w:jc w:val="both"/>
        <w:rPr>
          <w:rFonts w:ascii="Aharoni" w:hAnsi="Aharoni" w:cs="Aharoni"/>
          <w:rtl/>
        </w:rPr>
      </w:pPr>
      <w:r>
        <w:rPr>
          <w:rFonts w:ascii="Aharoni" w:hAnsi="Aharoni" w:cs="Aharoni"/>
          <w:rtl/>
        </w:rPr>
        <w:t>בית המשפט קמא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7697D3EC" w14:textId="77777777" w:rsidR="00B6625B" w:rsidRPr="000C0408" w:rsidRDefault="00B6625B" w:rsidP="00B6625B">
      <w:pPr>
        <w:pStyle w:val="a9"/>
        <w:spacing w:line="360" w:lineRule="auto"/>
        <w:jc w:val="both"/>
        <w:rPr>
          <w:rFonts w:ascii="Aharoni" w:hAnsi="Aharoni" w:cs="Aharoni"/>
          <w:rtl/>
        </w:rPr>
      </w:pPr>
      <w:r>
        <w:rPr>
          <w:rFonts w:ascii="Aharoni" w:hAnsi="Aharoni" w:cs="Aharoni"/>
          <w:rtl/>
        </w:rPr>
        <w:t>בית משפט קמה הדגיש את העובדה כי העבירה של החזקת נשק הפכה למכה של</w:t>
      </w:r>
      <w:r w:rsidR="00143496">
        <w:rPr>
          <w:rFonts w:ascii="Aharoni" w:hAnsi="Aharoni" w:cs="Aharoni"/>
          <w:rtl/>
        </w:rPr>
        <w:t xml:space="preserve"> </w:t>
      </w:r>
      <w:r>
        <w:rPr>
          <w:rFonts w:ascii="Aharoni" w:hAnsi="Aharoni" w:cs="Aharoni"/>
          <w:rtl/>
        </w:rPr>
        <w:t xml:space="preserve"> אזור הדרום, ואף צדק, כאשר קבע שלא ניתן להתעלם מנסיבה זו בעת קביעת העונש הראוי למערער.</w:t>
      </w:r>
    </w:p>
    <w:p w14:paraId="39AA0071" w14:textId="77777777" w:rsidR="00B6625B" w:rsidRDefault="00B6625B" w:rsidP="00B6625B">
      <w:pPr>
        <w:spacing w:line="360" w:lineRule="auto"/>
        <w:jc w:val="both"/>
        <w:rPr>
          <w:noProof w:val="0"/>
          <w:rtl/>
        </w:rPr>
      </w:pPr>
    </w:p>
    <w:p w14:paraId="49DFC4B2" w14:textId="77777777" w:rsidR="00B6625B" w:rsidRDefault="00B6625B" w:rsidP="00B6625B">
      <w:pPr>
        <w:spacing w:line="360" w:lineRule="auto"/>
        <w:jc w:val="both"/>
        <w:rPr>
          <w:rFonts w:ascii="David" w:hAnsi="David"/>
          <w:noProof w:val="0"/>
          <w:rtl/>
        </w:rPr>
      </w:pPr>
      <w:r w:rsidRPr="00BE0A12">
        <w:rPr>
          <w:rFonts w:ascii="David" w:hAnsi="David"/>
          <w:noProof w:val="0"/>
          <w:rtl/>
        </w:rPr>
        <w:t xml:space="preserve">לפני מספר שנים, פורסמה הנחיית פרקליט המדינה מס' </w:t>
      </w:r>
      <w:r w:rsidR="00143496">
        <w:rPr>
          <w:rFonts w:ascii="David" w:hAnsi="David"/>
          <w:noProof w:val="0"/>
          <w:rtl/>
        </w:rPr>
        <w:t xml:space="preserve"> </w:t>
      </w:r>
      <w:r w:rsidRPr="00BE0A12">
        <w:rPr>
          <w:rFonts w:ascii="David" w:hAnsi="David"/>
          <w:noProof w:val="0"/>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w:t>
      </w:r>
      <w:r>
        <w:rPr>
          <w:rFonts w:ascii="David" w:hAnsi="David" w:hint="cs"/>
          <w:noProof w:val="0"/>
          <w:rtl/>
        </w:rPr>
        <w:t>מטען חבלה</w:t>
      </w:r>
      <w:r w:rsidRPr="00BE0A12">
        <w:rPr>
          <w:rFonts w:ascii="David" w:hAnsi="David"/>
          <w:noProof w:val="0"/>
          <w:rtl/>
        </w:rPr>
        <w:t xml:space="preserve"> – </w:t>
      </w:r>
      <w:r w:rsidRPr="00BE0A12">
        <w:rPr>
          <w:rFonts w:ascii="David" w:hAnsi="David"/>
          <w:noProof w:val="0"/>
          <w:u w:val="single"/>
          <w:rtl/>
        </w:rPr>
        <w:t>ברמה החמורה ביותר</w:t>
      </w:r>
      <w:r w:rsidRPr="00BE0A12">
        <w:rPr>
          <w:rFonts w:ascii="David" w:hAnsi="David"/>
          <w:noProof w:val="0"/>
          <w:rtl/>
        </w:rPr>
        <w:t xml:space="preserve"> ואילו </w:t>
      </w:r>
      <w:r>
        <w:rPr>
          <w:rFonts w:ascii="David" w:hAnsi="David" w:hint="cs"/>
          <w:noProof w:val="0"/>
          <w:rtl/>
        </w:rPr>
        <w:t>החזקת רימון הלם ותחמושת ללא נשק נלווה</w:t>
      </w:r>
      <w:r w:rsidRPr="00BE0A12">
        <w:rPr>
          <w:rFonts w:ascii="David" w:hAnsi="David"/>
          <w:noProof w:val="0"/>
          <w:rtl/>
        </w:rPr>
        <w:t xml:space="preserve"> - ברמה נמוכה יותר. לנוכח הפסיקה, שפורטה באותה הנחיה, הונחתה התביעה הכללית לטעון למתחם שינוע </w:t>
      </w:r>
      <w:r w:rsidRPr="00EB54D1">
        <w:rPr>
          <w:rFonts w:ascii="David" w:hAnsi="David"/>
          <w:noProof w:val="0"/>
          <w:u w:val="single"/>
          <w:rtl/>
        </w:rPr>
        <w:t xml:space="preserve">בין </w:t>
      </w:r>
      <w:r w:rsidRPr="00EB54D1">
        <w:rPr>
          <w:rFonts w:ascii="David" w:hAnsi="David" w:hint="cs"/>
          <w:noProof w:val="0"/>
          <w:u w:val="single"/>
          <w:rtl/>
        </w:rPr>
        <w:t>שלוש שנות מאסר לבין שש שנות</w:t>
      </w:r>
      <w:r w:rsidRPr="00EB54D1">
        <w:rPr>
          <w:rFonts w:ascii="David" w:hAnsi="David"/>
          <w:noProof w:val="0"/>
          <w:u w:val="single"/>
          <w:rtl/>
        </w:rPr>
        <w:t xml:space="preserve"> מאסר בפועל בגין כל עבירה בודדת של החזקת </w:t>
      </w:r>
      <w:r w:rsidRPr="00EB54D1">
        <w:rPr>
          <w:rFonts w:ascii="David" w:hAnsi="David" w:hint="cs"/>
          <w:noProof w:val="0"/>
          <w:u w:val="single"/>
          <w:rtl/>
        </w:rPr>
        <w:t>מטען חבלה</w:t>
      </w:r>
      <w:r w:rsidRPr="00BE0A12">
        <w:rPr>
          <w:rFonts w:ascii="David" w:hAnsi="David"/>
          <w:noProof w:val="0"/>
          <w:rtl/>
        </w:rPr>
        <w:t xml:space="preserve">; </w:t>
      </w:r>
      <w:r w:rsidRPr="00E16321">
        <w:rPr>
          <w:rFonts w:ascii="David" w:hAnsi="David"/>
          <w:noProof w:val="0"/>
          <w:u w:val="single"/>
          <w:rtl/>
        </w:rPr>
        <w:t xml:space="preserve">בין </w:t>
      </w:r>
      <w:r w:rsidRPr="00E16321">
        <w:rPr>
          <w:rFonts w:ascii="David" w:hAnsi="David" w:hint="cs"/>
          <w:noProof w:val="0"/>
          <w:u w:val="single"/>
          <w:rtl/>
        </w:rPr>
        <w:t>9 עד 24 חודשי מאסר בפועל בגין עבירה בודדת של החזקת רימון הלם</w:t>
      </w:r>
      <w:r w:rsidRPr="00BE0A12">
        <w:rPr>
          <w:rFonts w:ascii="David" w:hAnsi="David"/>
          <w:noProof w:val="0"/>
          <w:rtl/>
        </w:rPr>
        <w:t xml:space="preserve">; </w:t>
      </w:r>
      <w:r w:rsidRPr="00E16321">
        <w:rPr>
          <w:rFonts w:ascii="David" w:hAnsi="David"/>
          <w:noProof w:val="0"/>
          <w:u w:val="single"/>
          <w:rtl/>
        </w:rPr>
        <w:t xml:space="preserve">6 חדשי מאסר בפועל, לריצוי בדרך של עבודות שירות, עד 6 חדשי מאסר בפועל ממש בגין </w:t>
      </w:r>
      <w:r w:rsidRPr="00E16321">
        <w:rPr>
          <w:rFonts w:ascii="David" w:hAnsi="David" w:hint="cs"/>
          <w:noProof w:val="0"/>
          <w:u w:val="single"/>
          <w:rtl/>
        </w:rPr>
        <w:t>ה</w:t>
      </w:r>
      <w:r w:rsidRPr="00E16321">
        <w:rPr>
          <w:rFonts w:ascii="David" w:hAnsi="David"/>
          <w:noProof w:val="0"/>
          <w:u w:val="single"/>
          <w:rtl/>
        </w:rPr>
        <w:t>חזקת תחמושת</w:t>
      </w:r>
      <w:r w:rsidRPr="00E16321">
        <w:rPr>
          <w:rFonts w:ascii="David" w:hAnsi="David" w:hint="cs"/>
          <w:noProof w:val="0"/>
          <w:u w:val="single"/>
          <w:rtl/>
        </w:rPr>
        <w:t>, תוך שהוברר, כי ככל שכמות התחמושת גדולה יותר, יש לעתור למתחם ענישה גבוה יותר</w:t>
      </w:r>
      <w:r>
        <w:rPr>
          <w:rFonts w:ascii="David" w:hAnsi="David" w:hint="cs"/>
          <w:noProof w:val="0"/>
          <w:rtl/>
        </w:rPr>
        <w:t>.</w:t>
      </w:r>
    </w:p>
    <w:p w14:paraId="2889ABBE" w14:textId="77777777" w:rsidR="00B6625B" w:rsidRDefault="00B6625B" w:rsidP="00B6625B">
      <w:pPr>
        <w:spacing w:line="360" w:lineRule="auto"/>
        <w:jc w:val="both"/>
        <w:rPr>
          <w:rFonts w:ascii="David" w:hAnsi="David"/>
          <w:noProof w:val="0"/>
          <w:rtl/>
        </w:rPr>
      </w:pPr>
    </w:p>
    <w:p w14:paraId="448E7203"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במקרה דנן, החזיק הנאשם </w:t>
      </w:r>
      <w:r w:rsidRPr="00D8516B">
        <w:rPr>
          <w:rFonts w:ascii="David" w:hAnsi="David" w:hint="cs"/>
          <w:noProof w:val="0"/>
          <w:u w:val="single"/>
          <w:rtl/>
        </w:rPr>
        <w:t>במטען חבלה</w:t>
      </w:r>
      <w:r>
        <w:rPr>
          <w:rFonts w:ascii="David" w:hAnsi="David" w:hint="cs"/>
          <w:noProof w:val="0"/>
          <w:rtl/>
        </w:rPr>
        <w:t>, הניתן להפעלה מרחוק, לצד רימון הלם, מחסניות ומספר רב של כדורים.</w:t>
      </w:r>
    </w:p>
    <w:p w14:paraId="27B8BCB3" w14:textId="77777777" w:rsidR="00B6625B" w:rsidRDefault="00B6625B" w:rsidP="00B6625B">
      <w:pPr>
        <w:spacing w:line="360" w:lineRule="auto"/>
        <w:jc w:val="both"/>
        <w:rPr>
          <w:rFonts w:ascii="David" w:hAnsi="David"/>
          <w:noProof w:val="0"/>
          <w:rtl/>
        </w:rPr>
      </w:pPr>
    </w:p>
    <w:p w14:paraId="752BF02C"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כל אלו </w:t>
      </w:r>
      <w:r>
        <w:rPr>
          <w:rFonts w:ascii="David" w:hAnsi="David"/>
          <w:noProof w:val="0"/>
          <w:rtl/>
        </w:rPr>
        <w:t>–</w:t>
      </w:r>
      <w:r>
        <w:rPr>
          <w:rFonts w:ascii="David" w:hAnsi="David" w:hint="cs"/>
          <w:noProof w:val="0"/>
          <w:rtl/>
        </w:rPr>
        <w:t xml:space="preserve"> החזיק הנאשם כשהם עטופים בתוך חולצה ובתוך כובע "חם צוואר", בתוך ילקוט, אותו הניח בחדרו, </w:t>
      </w:r>
      <w:r w:rsidRPr="00E16321">
        <w:rPr>
          <w:rFonts w:ascii="David" w:hAnsi="David" w:hint="cs"/>
          <w:noProof w:val="0"/>
          <w:u w:val="single"/>
          <w:rtl/>
        </w:rPr>
        <w:t>אותו חולק עם אחיו הקטנים</w:t>
      </w:r>
      <w:r>
        <w:rPr>
          <w:rFonts w:ascii="David" w:hAnsi="David" w:hint="cs"/>
          <w:noProof w:val="0"/>
          <w:rtl/>
        </w:rPr>
        <w:t>.</w:t>
      </w:r>
    </w:p>
    <w:p w14:paraId="31A9BD53" w14:textId="77777777" w:rsidR="00B6625B" w:rsidRDefault="00B6625B" w:rsidP="00B6625B">
      <w:pPr>
        <w:spacing w:line="360" w:lineRule="auto"/>
        <w:jc w:val="both"/>
        <w:rPr>
          <w:rFonts w:ascii="David" w:hAnsi="David"/>
          <w:noProof w:val="0"/>
          <w:rtl/>
        </w:rPr>
      </w:pPr>
    </w:p>
    <w:p w14:paraId="57D0DE03"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ההגנה טענה בנוגע לכך שהנאשם הינו "בגיר-צעיר" ויש לתת לכך משקל בגזר הדין. אלא, </w:t>
      </w:r>
      <w:r w:rsidRPr="00E201B9">
        <w:rPr>
          <w:rFonts w:ascii="David" w:hAnsi="David"/>
          <w:noProof w:val="0"/>
          <w:rtl/>
        </w:rPr>
        <w:t xml:space="preserve">שטענה זו כבר נדחתה ונקבע, כי </w:t>
      </w:r>
      <w:r w:rsidRPr="00E16321">
        <w:rPr>
          <w:rFonts w:ascii="David" w:hAnsi="David"/>
          <w:noProof w:val="0"/>
          <w:u w:val="single"/>
          <w:rtl/>
        </w:rPr>
        <w:t xml:space="preserve">אין להוסיף על הקטגוריות הקבועות בדין </w:t>
      </w:r>
      <w:r w:rsidRPr="00E16321">
        <w:rPr>
          <w:rFonts w:ascii="David" w:hAnsi="David" w:hint="cs"/>
          <w:noProof w:val="0"/>
          <w:u w:val="single"/>
          <w:rtl/>
        </w:rPr>
        <w:t>בנוגע לאבחנה בין בגירות לקטינות</w:t>
      </w:r>
      <w:r>
        <w:rPr>
          <w:rFonts w:ascii="David" w:hAnsi="David" w:hint="cs"/>
          <w:noProof w:val="0"/>
          <w:rtl/>
        </w:rPr>
        <w:t xml:space="preserve"> (ראו, לענין זה, דברי בית המשפט העליון בפסק הדין </w:t>
      </w:r>
      <w:hyperlink r:id="rId25" w:history="1">
        <w:r w:rsidR="00143496" w:rsidRPr="00143496">
          <w:rPr>
            <w:color w:val="0000FF"/>
            <w:u w:val="single"/>
            <w:rtl/>
          </w:rPr>
          <w:t>ע"פ 6961/17</w:t>
        </w:r>
      </w:hyperlink>
      <w:r>
        <w:rPr>
          <w:rtl/>
        </w:rPr>
        <w:t xml:space="preserve"> </w:t>
      </w:r>
      <w:r w:rsidRPr="00E201B9">
        <w:rPr>
          <w:b/>
          <w:bCs/>
          <w:rtl/>
        </w:rPr>
        <w:t>אבו אלקיעאן נ' מדינת ישראל</w:t>
      </w:r>
      <w:r>
        <w:rPr>
          <w:rFonts w:hint="cs"/>
          <w:rtl/>
        </w:rPr>
        <w:t xml:space="preserve"> [פורסם במאגרים]).</w:t>
      </w:r>
      <w:r>
        <w:rPr>
          <w:rFonts w:ascii="David" w:hAnsi="David" w:hint="cs"/>
          <w:noProof w:val="0"/>
          <w:rtl/>
        </w:rPr>
        <w:t xml:space="preserve"> </w:t>
      </w:r>
    </w:p>
    <w:p w14:paraId="02E1F029" w14:textId="77777777" w:rsidR="00B6625B" w:rsidRDefault="00B6625B" w:rsidP="00B6625B">
      <w:pPr>
        <w:spacing w:line="360" w:lineRule="auto"/>
        <w:jc w:val="both"/>
        <w:rPr>
          <w:rFonts w:ascii="David" w:hAnsi="David"/>
          <w:noProof w:val="0"/>
          <w:rtl/>
        </w:rPr>
      </w:pPr>
    </w:p>
    <w:p w14:paraId="30C70AEB"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ההגנה טענה בנוגע לכך שלא נגרם כל נזק ממעשי הנאשם, ואולם, אופן החזקת אמצעי הלחימה </w:t>
      </w:r>
      <w:r>
        <w:rPr>
          <w:rFonts w:ascii="David" w:hAnsi="David"/>
          <w:noProof w:val="0"/>
          <w:rtl/>
        </w:rPr>
        <w:t>–</w:t>
      </w:r>
      <w:r>
        <w:rPr>
          <w:rFonts w:ascii="David" w:hAnsi="David" w:hint="cs"/>
          <w:noProof w:val="0"/>
          <w:rtl/>
        </w:rPr>
        <w:t xml:space="preserve"> בתוך חדר השינה של הנאשם, בו ישנים גם אחיו הקטנים, יש בה פוטנציאל נזק ממשי לשלומם ובטחונם.</w:t>
      </w:r>
    </w:p>
    <w:p w14:paraId="5EFAB1CA" w14:textId="77777777" w:rsidR="00B6625B" w:rsidRDefault="00B6625B" w:rsidP="00B6625B">
      <w:pPr>
        <w:spacing w:line="360" w:lineRule="auto"/>
        <w:jc w:val="both"/>
        <w:rPr>
          <w:rFonts w:ascii="David" w:hAnsi="David"/>
          <w:noProof w:val="0"/>
          <w:rtl/>
        </w:rPr>
      </w:pPr>
    </w:p>
    <w:p w14:paraId="528369C0" w14:textId="77777777" w:rsidR="00B6625B" w:rsidRDefault="00B6625B" w:rsidP="00B6625B">
      <w:pPr>
        <w:spacing w:line="360" w:lineRule="auto"/>
        <w:jc w:val="both"/>
        <w:rPr>
          <w:rFonts w:ascii="David" w:hAnsi="David"/>
          <w:noProof w:val="0"/>
          <w:rtl/>
        </w:rPr>
      </w:pPr>
      <w:r w:rsidRPr="00E16321">
        <w:rPr>
          <w:rFonts w:ascii="David" w:hAnsi="David" w:hint="cs"/>
          <w:noProof w:val="0"/>
          <w:u w:val="single"/>
          <w:rtl/>
        </w:rPr>
        <w:t xml:space="preserve">טענות ההגנה בנוגע לכך שהנאשם נוצל על ידי חליל, אינן מתיישבות, וזאת בלשון המעטה, עם </w:t>
      </w:r>
      <w:r>
        <w:rPr>
          <w:rFonts w:ascii="David" w:hAnsi="David" w:hint="cs"/>
          <w:noProof w:val="0"/>
          <w:u w:val="single"/>
          <w:rtl/>
        </w:rPr>
        <w:t>הממצאים העובדתיים</w:t>
      </w:r>
      <w:r w:rsidRPr="00E16321">
        <w:rPr>
          <w:rFonts w:ascii="David" w:hAnsi="David" w:hint="cs"/>
          <w:noProof w:val="0"/>
          <w:u w:val="single"/>
          <w:rtl/>
        </w:rPr>
        <w:t xml:space="preserve"> </w:t>
      </w:r>
      <w:r>
        <w:rPr>
          <w:rFonts w:ascii="David" w:hAnsi="David" w:hint="cs"/>
          <w:noProof w:val="0"/>
          <w:u w:val="single"/>
          <w:rtl/>
        </w:rPr>
        <w:t>ב</w:t>
      </w:r>
      <w:r w:rsidRPr="00E16321">
        <w:rPr>
          <w:rFonts w:ascii="David" w:hAnsi="David" w:hint="cs"/>
          <w:noProof w:val="0"/>
          <w:u w:val="single"/>
          <w:rtl/>
        </w:rPr>
        <w:t>הכרעת הדין</w:t>
      </w:r>
      <w:r>
        <w:rPr>
          <w:rFonts w:ascii="David" w:hAnsi="David" w:hint="cs"/>
          <w:noProof w:val="0"/>
          <w:rtl/>
        </w:rPr>
        <w:t>.</w:t>
      </w:r>
    </w:p>
    <w:p w14:paraId="167CBCA6" w14:textId="77777777" w:rsidR="00B6625B" w:rsidRDefault="00B6625B" w:rsidP="00B6625B">
      <w:pPr>
        <w:spacing w:line="360" w:lineRule="auto"/>
        <w:jc w:val="both"/>
        <w:rPr>
          <w:rFonts w:ascii="David" w:hAnsi="David"/>
          <w:noProof w:val="0"/>
          <w:rtl/>
        </w:rPr>
      </w:pPr>
    </w:p>
    <w:p w14:paraId="4A5DF43C" w14:textId="77777777" w:rsidR="00B6625B" w:rsidRDefault="00B6625B" w:rsidP="00B6625B">
      <w:pPr>
        <w:spacing w:line="360" w:lineRule="auto"/>
        <w:jc w:val="both"/>
        <w:rPr>
          <w:rFonts w:ascii="David" w:hAnsi="David"/>
          <w:noProof w:val="0"/>
          <w:rtl/>
        </w:rPr>
      </w:pPr>
      <w:r>
        <w:rPr>
          <w:rFonts w:ascii="David" w:hAnsi="David" w:hint="cs"/>
          <w:noProof w:val="0"/>
          <w:rtl/>
        </w:rPr>
        <w:t>לאחר שמיעת כלל ראיות הצדדים ולאחר עיון בסיכומי הצדדים, מצא בית המשפט, כי הנאשם היה מודע היטב לתכולת התיק ואף נטל חלק</w:t>
      </w:r>
      <w:r w:rsidRPr="00E16321">
        <w:rPr>
          <w:rFonts w:ascii="David" w:hAnsi="David" w:hint="cs"/>
          <w:noProof w:val="0"/>
          <w:rtl/>
        </w:rPr>
        <w:t xml:space="preserve"> פעיל </w:t>
      </w:r>
      <w:r w:rsidRPr="00E16321">
        <w:rPr>
          <w:rFonts w:ascii="David" w:hAnsi="David" w:hint="cs"/>
          <w:noProof w:val="0"/>
          <w:u w:val="single"/>
          <w:rtl/>
        </w:rPr>
        <w:t>ומשמעותי</w:t>
      </w:r>
      <w:r>
        <w:rPr>
          <w:rFonts w:ascii="David" w:hAnsi="David" w:hint="cs"/>
          <w:noProof w:val="0"/>
          <w:rtl/>
        </w:rPr>
        <w:t xml:space="preserve"> בכל הנוגע להחזקת אמצעי הלחימה.</w:t>
      </w:r>
    </w:p>
    <w:p w14:paraId="116F8A06" w14:textId="77777777" w:rsidR="00B6625B" w:rsidRDefault="00B6625B" w:rsidP="00B6625B">
      <w:pPr>
        <w:spacing w:line="360" w:lineRule="auto"/>
        <w:jc w:val="both"/>
        <w:rPr>
          <w:rFonts w:ascii="David" w:hAnsi="David"/>
          <w:noProof w:val="0"/>
          <w:rtl/>
        </w:rPr>
      </w:pPr>
    </w:p>
    <w:p w14:paraId="7F0ED50D" w14:textId="77777777" w:rsidR="00B6625B" w:rsidRDefault="00B6625B" w:rsidP="00B6625B">
      <w:pPr>
        <w:spacing w:line="360" w:lineRule="auto"/>
        <w:jc w:val="both"/>
        <w:rPr>
          <w:rFonts w:ascii="David" w:hAnsi="David"/>
          <w:noProof w:val="0"/>
          <w:rtl/>
        </w:rPr>
      </w:pPr>
      <w:r>
        <w:rPr>
          <w:rFonts w:ascii="David" w:hAnsi="David" w:hint="cs"/>
          <w:noProof w:val="0"/>
          <w:rtl/>
        </w:rPr>
        <w:t>בית המשפט התרשם מהנאשם כאדם מניפולטיבי ולא אמין, הכל כמפורט בממצאי הכרעת הדין. כך שאין ליתן משקל רב לגרסאות שמסר, אשר גם השתנו מיום ליום.</w:t>
      </w:r>
    </w:p>
    <w:p w14:paraId="771061DC" w14:textId="77777777" w:rsidR="00B6625B" w:rsidRDefault="00B6625B" w:rsidP="00B6625B">
      <w:pPr>
        <w:spacing w:line="360" w:lineRule="auto"/>
        <w:jc w:val="both"/>
        <w:rPr>
          <w:rFonts w:ascii="David" w:hAnsi="David"/>
          <w:noProof w:val="0"/>
          <w:rtl/>
        </w:rPr>
      </w:pPr>
    </w:p>
    <w:p w14:paraId="4A8724CA" w14:textId="77777777" w:rsidR="00B6625B" w:rsidRDefault="00B6625B" w:rsidP="00B6625B">
      <w:pPr>
        <w:spacing w:line="360" w:lineRule="auto"/>
        <w:jc w:val="both"/>
        <w:rPr>
          <w:rFonts w:ascii="David" w:hAnsi="David"/>
          <w:noProof w:val="0"/>
          <w:rtl/>
        </w:rPr>
      </w:pPr>
      <w:r>
        <w:rPr>
          <w:rFonts w:ascii="David" w:hAnsi="David" w:hint="cs"/>
          <w:noProof w:val="0"/>
          <w:rtl/>
        </w:rPr>
        <w:t>בין היתר, עולה מהכרעת הדין, כי הנאשם נקט בפעולות אקטיביות על מנת לשבש את חקירת המשטרה ועל מנת לטשטש את מסלול ההעברה של אמצעי הלחימה, תוך שמתכלל מעת לעת את מצב הראיות שנאספו ואף מנחה מעורבים אחרים, אלו גרסאות למסור וכיצד להתנהל בחקירה.</w:t>
      </w:r>
    </w:p>
    <w:p w14:paraId="3D9B3A91" w14:textId="77777777" w:rsidR="00B6625B" w:rsidRDefault="00B6625B" w:rsidP="00B6625B">
      <w:pPr>
        <w:spacing w:line="360" w:lineRule="auto"/>
        <w:jc w:val="both"/>
        <w:rPr>
          <w:rFonts w:ascii="David" w:hAnsi="David"/>
          <w:noProof w:val="0"/>
          <w:rtl/>
        </w:rPr>
      </w:pPr>
    </w:p>
    <w:p w14:paraId="072296B5" w14:textId="77777777" w:rsidR="00B6625B" w:rsidRDefault="00B6625B" w:rsidP="00B6625B">
      <w:pPr>
        <w:spacing w:line="360" w:lineRule="auto"/>
        <w:jc w:val="both"/>
        <w:rPr>
          <w:rFonts w:ascii="David" w:hAnsi="David"/>
          <w:noProof w:val="0"/>
          <w:rtl/>
        </w:rPr>
      </w:pPr>
      <w:r>
        <w:rPr>
          <w:rFonts w:ascii="David" w:hAnsi="David" w:hint="cs"/>
          <w:noProof w:val="0"/>
          <w:rtl/>
        </w:rPr>
        <w:t>עוד עולה מהשיחות המבוקרות שהובאו בהכרעת הדין, שהנאשם חשש, שחליל ימסור למשטרה מידע בנוגע לידיעת מי מהמעורבים באשר לתכולת התיק. כלומר, הנאשם הוא שחשש מהפללתו על ידי חליל.</w:t>
      </w:r>
    </w:p>
    <w:p w14:paraId="54FC62E9" w14:textId="77777777" w:rsidR="00B6625B" w:rsidRDefault="00B6625B" w:rsidP="00B6625B">
      <w:pPr>
        <w:spacing w:line="360" w:lineRule="auto"/>
        <w:jc w:val="both"/>
        <w:rPr>
          <w:rFonts w:ascii="David" w:hAnsi="David"/>
          <w:noProof w:val="0"/>
          <w:rtl/>
        </w:rPr>
      </w:pPr>
    </w:p>
    <w:p w14:paraId="716B7795"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עוד עולה מאותן שיחות, כי בניגוד לבני משפחה נוספים, שנרתעו ממעורבות בפרשה (כגון אחד מבני הדודים אליו מתייחס הנאשם, שסירב לגעת באמל"ח ולהחזיק בהם) </w:t>
      </w:r>
      <w:r>
        <w:rPr>
          <w:rFonts w:ascii="David" w:hAnsi="David"/>
          <w:noProof w:val="0"/>
          <w:rtl/>
        </w:rPr>
        <w:t>–</w:t>
      </w:r>
      <w:r>
        <w:rPr>
          <w:rFonts w:ascii="David" w:hAnsi="David" w:hint="cs"/>
          <w:noProof w:val="0"/>
          <w:rtl/>
        </w:rPr>
        <w:t xml:space="preserve"> לא חשש הנאשם ליטול את האמל"ח לחזקתו, בעיניים פקוחות.</w:t>
      </w:r>
    </w:p>
    <w:p w14:paraId="42D78165" w14:textId="77777777" w:rsidR="00B6625B" w:rsidRDefault="00B6625B" w:rsidP="00B6625B">
      <w:pPr>
        <w:spacing w:line="360" w:lineRule="auto"/>
        <w:jc w:val="both"/>
        <w:rPr>
          <w:rFonts w:ascii="David" w:hAnsi="David"/>
          <w:noProof w:val="0"/>
          <w:rtl/>
        </w:rPr>
      </w:pPr>
    </w:p>
    <w:p w14:paraId="608BD9AE" w14:textId="77777777" w:rsidR="00B6625B" w:rsidRDefault="00B6625B" w:rsidP="00B6625B">
      <w:pPr>
        <w:spacing w:line="360" w:lineRule="auto"/>
        <w:jc w:val="both"/>
        <w:rPr>
          <w:rFonts w:ascii="David" w:hAnsi="David"/>
          <w:noProof w:val="0"/>
          <w:rtl/>
        </w:rPr>
      </w:pPr>
      <w:r>
        <w:rPr>
          <w:rFonts w:ascii="David" w:hAnsi="David" w:hint="cs"/>
          <w:noProof w:val="0"/>
          <w:rtl/>
        </w:rPr>
        <w:t>כל אלה מלמדים על מעורבות עומק בפרשה, במידה העולה באופן משמעותי על מעורבותו של חליל.</w:t>
      </w:r>
    </w:p>
    <w:p w14:paraId="702AC7D1" w14:textId="77777777" w:rsidR="00B6625B" w:rsidRDefault="00B6625B" w:rsidP="00B6625B">
      <w:pPr>
        <w:spacing w:line="360" w:lineRule="auto"/>
        <w:jc w:val="both"/>
        <w:rPr>
          <w:rFonts w:ascii="David" w:hAnsi="David"/>
          <w:noProof w:val="0"/>
          <w:rtl/>
        </w:rPr>
      </w:pPr>
    </w:p>
    <w:p w14:paraId="34409470" w14:textId="77777777" w:rsidR="00B6625B" w:rsidRDefault="00B6625B" w:rsidP="00B6625B">
      <w:pPr>
        <w:spacing w:line="360" w:lineRule="auto"/>
        <w:jc w:val="both"/>
        <w:rPr>
          <w:rFonts w:ascii="David" w:hAnsi="David"/>
          <w:noProof w:val="0"/>
          <w:rtl/>
        </w:rPr>
      </w:pPr>
      <w:r>
        <w:rPr>
          <w:rFonts w:ascii="David" w:hAnsi="David" w:hint="cs"/>
          <w:noProof w:val="0"/>
          <w:rtl/>
        </w:rPr>
        <w:t>הן היקף מעורבותו של הנאשם, כאמור, המלמדת על מעמד בכיר בהיררכיה של המעורבים בפרשה;  הן נסיבות החזקת האמל"ח, בחדר ילדים, מקום בו קיים פוטנציאל ממשי לאסון, אם נפגעים היו יתר הנוכחים בחדר ובבית; הן העובדה, כי הנאשם הוא שהחזיק באמל"ח בסופו של דבר, בפועל, כאשר חליל הורשע, הלכה למעשה, בהחזקה קונסטורקטיבית, כאשר מסר אותם לנאשם - יש מקום להבחין ביניהם בנוגע לקביעת מתחם הענישה ההולם, ולקבוע מתחם מעט גבוה יותר בענינו של הנאשם דנן.</w:t>
      </w:r>
    </w:p>
    <w:p w14:paraId="2C8B5BBD" w14:textId="77777777" w:rsidR="00B6625B" w:rsidRDefault="00B6625B" w:rsidP="00B6625B">
      <w:pPr>
        <w:spacing w:line="360" w:lineRule="auto"/>
        <w:jc w:val="both"/>
        <w:rPr>
          <w:rFonts w:ascii="David" w:hAnsi="David"/>
          <w:noProof w:val="0"/>
          <w:rtl/>
        </w:rPr>
      </w:pPr>
    </w:p>
    <w:p w14:paraId="794B2D56" w14:textId="77777777" w:rsidR="00B6625B" w:rsidRDefault="00B6625B" w:rsidP="00B6625B">
      <w:pPr>
        <w:spacing w:line="360" w:lineRule="auto"/>
        <w:jc w:val="both"/>
        <w:rPr>
          <w:rFonts w:ascii="David" w:hAnsi="David"/>
          <w:noProof w:val="0"/>
          <w:rtl/>
        </w:rPr>
      </w:pPr>
      <w:r>
        <w:rPr>
          <w:rFonts w:ascii="David" w:hAnsi="David" w:hint="cs"/>
          <w:noProof w:val="0"/>
          <w:rtl/>
        </w:rPr>
        <w:t>לאור טיב הנשק והתחמושת שהוחזקו; אופן החזקתם - בחדר השינה של הנאשם ואחיו הקטנים; פוטניציאל הנזק הממשי שקם ממעשיו; ולאור ממצאי הכרעת הדין; מוצא בית המשפט, כי מתחם העונש ההולם בענינו של הנאשם דנן ינוע בין 32 ועד 64 חודשי מאסר בפועל.</w:t>
      </w:r>
    </w:p>
    <w:p w14:paraId="5417279D" w14:textId="77777777" w:rsidR="00B6625B" w:rsidRDefault="00B6625B" w:rsidP="00B6625B">
      <w:pPr>
        <w:spacing w:line="360" w:lineRule="auto"/>
        <w:jc w:val="both"/>
        <w:rPr>
          <w:rFonts w:ascii="David" w:hAnsi="David"/>
          <w:noProof w:val="0"/>
          <w:rtl/>
        </w:rPr>
      </w:pPr>
    </w:p>
    <w:p w14:paraId="1757971E" w14:textId="77777777" w:rsidR="00B6625B" w:rsidRDefault="00B6625B" w:rsidP="00B6625B">
      <w:pPr>
        <w:spacing w:line="360" w:lineRule="auto"/>
        <w:jc w:val="both"/>
        <w:rPr>
          <w:rFonts w:ascii="David" w:hAnsi="David"/>
          <w:noProof w:val="0"/>
          <w:rtl/>
        </w:rPr>
      </w:pPr>
    </w:p>
    <w:p w14:paraId="164D0EA7" w14:textId="77777777" w:rsidR="00B6625B" w:rsidRDefault="00B6625B" w:rsidP="00B6625B">
      <w:pPr>
        <w:spacing w:line="360" w:lineRule="auto"/>
        <w:jc w:val="both"/>
        <w:rPr>
          <w:rFonts w:ascii="David" w:hAnsi="David"/>
          <w:noProof w:val="0"/>
          <w:rtl/>
        </w:rPr>
      </w:pPr>
    </w:p>
    <w:p w14:paraId="2537CB5A" w14:textId="77777777" w:rsidR="00B6625B" w:rsidRDefault="00B6625B" w:rsidP="00B6625B">
      <w:pPr>
        <w:spacing w:line="360" w:lineRule="auto"/>
        <w:jc w:val="both"/>
        <w:rPr>
          <w:rFonts w:ascii="David" w:hAnsi="David"/>
          <w:noProof w:val="0"/>
          <w:rtl/>
        </w:rPr>
      </w:pPr>
      <w:r>
        <w:rPr>
          <w:rFonts w:ascii="David" w:hAnsi="David" w:hint="cs"/>
          <w:b/>
          <w:bCs/>
          <w:noProof w:val="0"/>
          <w:rtl/>
        </w:rPr>
        <w:t>קביעת הענישה הספציפית בתוך המתחם</w:t>
      </w:r>
    </w:p>
    <w:p w14:paraId="6880F563" w14:textId="77777777" w:rsidR="00B6625B" w:rsidRDefault="00B6625B" w:rsidP="00B6625B">
      <w:pPr>
        <w:spacing w:line="360" w:lineRule="auto"/>
        <w:jc w:val="both"/>
        <w:rPr>
          <w:rFonts w:ascii="David" w:hAnsi="David"/>
          <w:noProof w:val="0"/>
          <w:rtl/>
        </w:rPr>
      </w:pPr>
    </w:p>
    <w:p w14:paraId="3652D1EC" w14:textId="77777777" w:rsidR="00B6625B" w:rsidRDefault="00B6625B" w:rsidP="00B6625B">
      <w:pPr>
        <w:spacing w:line="360" w:lineRule="auto"/>
        <w:jc w:val="both"/>
        <w:rPr>
          <w:rFonts w:ascii="David" w:hAnsi="David"/>
          <w:noProof w:val="0"/>
          <w:rtl/>
        </w:rPr>
      </w:pPr>
      <w:r>
        <w:rPr>
          <w:rFonts w:ascii="David" w:hAnsi="David" w:hint="cs"/>
          <w:noProof w:val="0"/>
          <w:rtl/>
        </w:rPr>
        <w:t>ההגנה ביקשה לקחת בחשבון את המנטליות של הנאשם כצעיר בחברה הבדואית; את חששו מחליל, אשר עבורו שמר את הנשק והתחמושת לאור פער הגילאים ביניהם; את היותו של הנאשם נעדר הרשעות קודמות; ואת חלוף הזמן.</w:t>
      </w:r>
    </w:p>
    <w:p w14:paraId="224C2759" w14:textId="77777777" w:rsidR="00B6625B" w:rsidRDefault="00B6625B" w:rsidP="00B6625B">
      <w:pPr>
        <w:spacing w:line="360" w:lineRule="auto"/>
        <w:jc w:val="both"/>
        <w:rPr>
          <w:rFonts w:ascii="David" w:hAnsi="David"/>
          <w:noProof w:val="0"/>
          <w:rtl/>
        </w:rPr>
      </w:pPr>
    </w:p>
    <w:p w14:paraId="5E8E484A" w14:textId="77777777" w:rsidR="00B6625B" w:rsidRDefault="00B6625B" w:rsidP="00B6625B">
      <w:pPr>
        <w:spacing w:line="360" w:lineRule="auto"/>
        <w:jc w:val="both"/>
        <w:rPr>
          <w:rFonts w:ascii="David" w:hAnsi="David"/>
          <w:noProof w:val="0"/>
          <w:rtl/>
        </w:rPr>
      </w:pPr>
      <w:r>
        <w:rPr>
          <w:rFonts w:ascii="David" w:hAnsi="David" w:hint="cs"/>
          <w:noProof w:val="0"/>
          <w:rtl/>
        </w:rPr>
        <w:t>אשר לחלוף הזמן, טענה ההגנה, כי לנאשם נגרם עיוות דין. אלא, שטענה זו אינה מתיישבת עם העובדה, שחלוף הזמן נגרם לאור ניהול ההליך עד תום, כאשר ברקע, בקשות דחיה מצד ההגנה והצורך להוציא צווי הבאה לעדים, אשר הינם בני משפחה של הנאשם ושל חליל.</w:t>
      </w:r>
    </w:p>
    <w:p w14:paraId="13781940" w14:textId="77777777" w:rsidR="00B6625B" w:rsidRDefault="00B6625B" w:rsidP="00B6625B">
      <w:pPr>
        <w:spacing w:line="360" w:lineRule="auto"/>
        <w:jc w:val="both"/>
        <w:rPr>
          <w:rFonts w:ascii="David" w:hAnsi="David"/>
          <w:noProof w:val="0"/>
          <w:rtl/>
        </w:rPr>
      </w:pPr>
    </w:p>
    <w:p w14:paraId="016D61FA"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אשר לטענת ההגנה בדבר חששו של הנאשם מחליל לאור פערי הגילאים ביניהם, הרי שטענה זו, כבר נדונה במסגרת הכרעת הדין ונדחתה. ממצאי בית המשפט היו, כי הנאשם היווה חוליה משמעותית ממערך החזקת האמל"ח הנדון, ולא חוליה מקרית וחסרת חשיבות. עוד נקבע, כי הנאשם פעל באופן מניפולטיבי, תוך נסיון לתאם גרסאות בחקירה, וכי </w:t>
      </w:r>
      <w:r w:rsidRPr="00DF2F89">
        <w:rPr>
          <w:rFonts w:ascii="David" w:hAnsi="David" w:hint="cs"/>
          <w:noProof w:val="0"/>
          <w:rtl/>
        </w:rPr>
        <w:t>לא ניתן ליתן אמון בדבריו</w:t>
      </w:r>
      <w:r>
        <w:rPr>
          <w:rFonts w:ascii="David" w:hAnsi="David" w:hint="cs"/>
          <w:noProof w:val="0"/>
          <w:rtl/>
        </w:rPr>
        <w:t>.</w:t>
      </w:r>
    </w:p>
    <w:p w14:paraId="5C54705C" w14:textId="77777777" w:rsidR="00B6625B" w:rsidRDefault="00B6625B" w:rsidP="00B6625B">
      <w:pPr>
        <w:spacing w:line="360" w:lineRule="auto"/>
        <w:jc w:val="both"/>
        <w:rPr>
          <w:rFonts w:ascii="David" w:hAnsi="David"/>
          <w:noProof w:val="0"/>
          <w:rtl/>
        </w:rPr>
      </w:pPr>
    </w:p>
    <w:p w14:paraId="2E6770A3" w14:textId="77777777" w:rsidR="00B6625B" w:rsidRDefault="00B6625B" w:rsidP="00B6625B">
      <w:pPr>
        <w:spacing w:line="360" w:lineRule="auto"/>
        <w:jc w:val="both"/>
        <w:rPr>
          <w:rFonts w:ascii="David" w:hAnsi="David"/>
          <w:noProof w:val="0"/>
          <w:rtl/>
        </w:rPr>
      </w:pPr>
      <w:r>
        <w:rPr>
          <w:rFonts w:ascii="David" w:hAnsi="David" w:hint="cs"/>
          <w:noProof w:val="0"/>
          <w:rtl/>
        </w:rPr>
        <w:t>הנאשם, עד כה, לא נטל אחריות על מעשיו, ממשיך להשליך את האשמה על חליל, תוך שמציג עצמו, בניגוד לממצאים שנקבעו, כ"קרבן" בפרשה.</w:t>
      </w:r>
    </w:p>
    <w:p w14:paraId="5158DBC7" w14:textId="77777777" w:rsidR="00B6625B" w:rsidRDefault="00B6625B" w:rsidP="00B6625B">
      <w:pPr>
        <w:spacing w:line="360" w:lineRule="auto"/>
        <w:jc w:val="both"/>
        <w:rPr>
          <w:rFonts w:ascii="David" w:hAnsi="David"/>
          <w:noProof w:val="0"/>
          <w:rtl/>
        </w:rPr>
      </w:pPr>
    </w:p>
    <w:p w14:paraId="58F454D5" w14:textId="77777777" w:rsidR="00B6625B" w:rsidRDefault="00B6625B" w:rsidP="00B6625B">
      <w:pPr>
        <w:spacing w:line="360" w:lineRule="auto"/>
        <w:jc w:val="both"/>
        <w:rPr>
          <w:rFonts w:ascii="David" w:hAnsi="David"/>
          <w:noProof w:val="0"/>
          <w:rtl/>
        </w:rPr>
      </w:pPr>
      <w:r>
        <w:rPr>
          <w:rFonts w:ascii="David" w:hAnsi="David" w:hint="cs"/>
          <w:noProof w:val="0"/>
          <w:rtl/>
        </w:rPr>
        <w:t>שירות המבחן התרשם, כי הנאשם עלול לנהוג בצורה עוברת חוק פעם נוספת.</w:t>
      </w:r>
    </w:p>
    <w:p w14:paraId="30674CAA" w14:textId="77777777" w:rsidR="00B6625B" w:rsidRDefault="00B6625B" w:rsidP="00B6625B">
      <w:pPr>
        <w:spacing w:line="360" w:lineRule="auto"/>
        <w:jc w:val="both"/>
        <w:rPr>
          <w:rFonts w:ascii="David" w:hAnsi="David"/>
          <w:noProof w:val="0"/>
          <w:rtl/>
        </w:rPr>
      </w:pPr>
    </w:p>
    <w:p w14:paraId="05F4F512" w14:textId="77777777" w:rsidR="00B6625B" w:rsidRDefault="00B6625B" w:rsidP="00B6625B">
      <w:pPr>
        <w:spacing w:line="360" w:lineRule="auto"/>
        <w:jc w:val="both"/>
        <w:rPr>
          <w:rFonts w:ascii="David" w:hAnsi="David"/>
          <w:noProof w:val="0"/>
          <w:rtl/>
        </w:rPr>
      </w:pPr>
      <w:r>
        <w:rPr>
          <w:rFonts w:ascii="David" w:hAnsi="David" w:hint="cs"/>
          <w:noProof w:val="0"/>
          <w:rtl/>
        </w:rPr>
        <w:t xml:space="preserve">שירות המבחן למבוגרים אף המליץ על ענישה מוחשית ומרתיעה </w:t>
      </w:r>
      <w:r>
        <w:rPr>
          <w:rFonts w:ascii="David" w:hAnsi="David" w:hint="cs"/>
          <w:noProof w:val="0"/>
          <w:u w:val="single"/>
          <w:rtl/>
        </w:rPr>
        <w:t>ולהטיל עליו עונש מאסר</w:t>
      </w:r>
      <w:r>
        <w:rPr>
          <w:rFonts w:ascii="David" w:hAnsi="David" w:hint="cs"/>
          <w:noProof w:val="0"/>
          <w:rtl/>
        </w:rPr>
        <w:t>.</w:t>
      </w:r>
    </w:p>
    <w:p w14:paraId="216A68D1" w14:textId="77777777" w:rsidR="00B6625B" w:rsidRDefault="00B6625B" w:rsidP="00B6625B">
      <w:pPr>
        <w:spacing w:line="360" w:lineRule="auto"/>
        <w:jc w:val="both"/>
        <w:rPr>
          <w:rFonts w:ascii="David" w:hAnsi="David"/>
          <w:noProof w:val="0"/>
          <w:rtl/>
        </w:rPr>
      </w:pPr>
    </w:p>
    <w:p w14:paraId="0A43D306" w14:textId="77777777" w:rsidR="00B6625B" w:rsidRDefault="00B6625B" w:rsidP="00B6625B">
      <w:pPr>
        <w:spacing w:line="360" w:lineRule="auto"/>
        <w:jc w:val="both"/>
        <w:rPr>
          <w:rFonts w:ascii="David" w:hAnsi="David"/>
          <w:noProof w:val="0"/>
          <w:rtl/>
        </w:rPr>
      </w:pPr>
      <w:r>
        <w:rPr>
          <w:rFonts w:ascii="David" w:hAnsi="David" w:hint="cs"/>
          <w:noProof w:val="0"/>
          <w:rtl/>
        </w:rPr>
        <w:t>לזכות הנאשם יילקחו, גילו הצעיר; היעדר הרשעות קודמות; מצבו המשפחתי.</w:t>
      </w:r>
    </w:p>
    <w:p w14:paraId="67035063" w14:textId="77777777" w:rsidR="00B6625B" w:rsidRDefault="00B6625B" w:rsidP="00B6625B">
      <w:pPr>
        <w:spacing w:line="360" w:lineRule="auto"/>
        <w:jc w:val="both"/>
        <w:rPr>
          <w:rFonts w:ascii="David" w:hAnsi="David"/>
          <w:noProof w:val="0"/>
          <w:rtl/>
        </w:rPr>
      </w:pPr>
    </w:p>
    <w:p w14:paraId="052FE38C" w14:textId="77777777" w:rsidR="00B6625B" w:rsidRDefault="00B6625B" w:rsidP="00B6625B">
      <w:pPr>
        <w:spacing w:line="360" w:lineRule="auto"/>
        <w:jc w:val="both"/>
        <w:rPr>
          <w:rFonts w:ascii="David" w:hAnsi="David"/>
          <w:noProof w:val="0"/>
          <w:rtl/>
        </w:rPr>
      </w:pPr>
      <w:r>
        <w:rPr>
          <w:rFonts w:ascii="David" w:hAnsi="David" w:hint="cs"/>
          <w:noProof w:val="0"/>
          <w:rtl/>
        </w:rPr>
        <w:t>במכלול השיקולים, הגם שלא נטל הנאשם אחריות כלשהי למעשיו, הרי בהעדר הרשעות קודמות, ימוקם עונשו בסמוך לתחתית המתחם, אך לא בתחתית ממש.</w:t>
      </w:r>
    </w:p>
    <w:p w14:paraId="193935D2" w14:textId="77777777" w:rsidR="00B6625B" w:rsidRDefault="00B6625B" w:rsidP="00B6625B">
      <w:pPr>
        <w:spacing w:line="360" w:lineRule="auto"/>
        <w:jc w:val="both"/>
        <w:rPr>
          <w:rFonts w:ascii="David" w:hAnsi="David"/>
          <w:noProof w:val="0"/>
          <w:rtl/>
        </w:rPr>
      </w:pPr>
    </w:p>
    <w:p w14:paraId="42D28976" w14:textId="77777777" w:rsidR="00B6625B" w:rsidRDefault="00B6625B" w:rsidP="00B6625B">
      <w:pPr>
        <w:spacing w:line="360" w:lineRule="auto"/>
        <w:jc w:val="both"/>
        <w:rPr>
          <w:rFonts w:ascii="David" w:hAnsi="David"/>
          <w:noProof w:val="0"/>
          <w:rtl/>
        </w:rPr>
      </w:pPr>
      <w:r>
        <w:rPr>
          <w:rFonts w:ascii="David" w:hAnsi="David" w:hint="cs"/>
          <w:noProof w:val="0"/>
          <w:rtl/>
        </w:rPr>
        <w:t>כמובן, יושת על הנאשם עונש מאסר צופה פני עתיד, לבל יהין להחזיק שוב בנשק חם או קר, אמצעי לחימה או תחמושת מכל סוג שהוא.</w:t>
      </w:r>
    </w:p>
    <w:p w14:paraId="21F05B58" w14:textId="77777777" w:rsidR="00B6625B" w:rsidRDefault="00B6625B" w:rsidP="00B6625B">
      <w:pPr>
        <w:spacing w:line="360" w:lineRule="auto"/>
        <w:jc w:val="both"/>
        <w:rPr>
          <w:rFonts w:ascii="David" w:hAnsi="David"/>
          <w:noProof w:val="0"/>
          <w:rtl/>
        </w:rPr>
      </w:pPr>
    </w:p>
    <w:p w14:paraId="1CED12E4" w14:textId="77777777" w:rsidR="00B6625B" w:rsidRDefault="00B6625B" w:rsidP="00B6625B">
      <w:pPr>
        <w:spacing w:line="360" w:lineRule="auto"/>
        <w:jc w:val="both"/>
        <w:rPr>
          <w:rFonts w:ascii="David" w:hAnsi="David"/>
          <w:noProof w:val="0"/>
          <w:rtl/>
        </w:rPr>
      </w:pPr>
      <w:r>
        <w:rPr>
          <w:rFonts w:ascii="David" w:hAnsi="David" w:hint="cs"/>
          <w:noProof w:val="0"/>
          <w:rtl/>
        </w:rPr>
        <w:t>כן, יושת על הנאשם עיצום כספי מסוג קנס, לאור השווי הלא מבוטל של אמצעי הלחימה שהוחזקו על ידו וזאת גם בשים לב לכך שהוחזקו גם על ידי אחרים.</w:t>
      </w:r>
    </w:p>
    <w:p w14:paraId="4DFA7916" w14:textId="77777777" w:rsidR="00B6625B" w:rsidRDefault="00B6625B" w:rsidP="00B6625B">
      <w:pPr>
        <w:spacing w:line="360" w:lineRule="auto"/>
        <w:jc w:val="both"/>
        <w:rPr>
          <w:rFonts w:ascii="David" w:hAnsi="David"/>
          <w:noProof w:val="0"/>
          <w:rtl/>
        </w:rPr>
      </w:pPr>
    </w:p>
    <w:p w14:paraId="1D042D0B" w14:textId="77777777" w:rsidR="00B6625B" w:rsidRDefault="00B6625B" w:rsidP="00B6625B">
      <w:pPr>
        <w:spacing w:line="360" w:lineRule="auto"/>
        <w:jc w:val="both"/>
        <w:rPr>
          <w:rFonts w:ascii="David" w:hAnsi="David"/>
          <w:noProof w:val="0"/>
          <w:rtl/>
        </w:rPr>
      </w:pPr>
    </w:p>
    <w:p w14:paraId="4440AFA0" w14:textId="77777777" w:rsidR="00B6625B" w:rsidRPr="00443C8F" w:rsidRDefault="00B6625B" w:rsidP="00B6625B">
      <w:pPr>
        <w:spacing w:line="360" w:lineRule="auto"/>
        <w:jc w:val="both"/>
        <w:rPr>
          <w:rFonts w:ascii="David" w:hAnsi="David"/>
          <w:noProof w:val="0"/>
        </w:rPr>
      </w:pPr>
      <w:r w:rsidRPr="00443C8F">
        <w:rPr>
          <w:rFonts w:ascii="David" w:hAnsi="David"/>
          <w:b/>
          <w:bCs/>
          <w:noProof w:val="0"/>
          <w:rtl/>
        </w:rPr>
        <w:t>סיכום</w:t>
      </w:r>
    </w:p>
    <w:p w14:paraId="009E628C" w14:textId="77777777" w:rsidR="00B6625B" w:rsidRPr="00443C8F" w:rsidRDefault="00B6625B" w:rsidP="00B6625B">
      <w:pPr>
        <w:spacing w:line="360" w:lineRule="auto"/>
        <w:jc w:val="both"/>
        <w:rPr>
          <w:rFonts w:ascii="David" w:hAnsi="David"/>
          <w:noProof w:val="0"/>
          <w:rtl/>
        </w:rPr>
      </w:pPr>
      <w:r w:rsidRPr="00443C8F">
        <w:rPr>
          <w:rFonts w:ascii="David" w:hAnsi="David"/>
          <w:noProof w:val="0"/>
          <w:rtl/>
        </w:rPr>
        <w:t>לאחר שבית המשפט עיין בטיעוני ה</w:t>
      </w:r>
      <w:r>
        <w:rPr>
          <w:rFonts w:ascii="David" w:hAnsi="David" w:hint="cs"/>
          <w:noProof w:val="0"/>
          <w:rtl/>
        </w:rPr>
        <w:t>צדדים</w:t>
      </w:r>
      <w:r w:rsidRPr="00443C8F">
        <w:rPr>
          <w:rFonts w:ascii="David" w:hAnsi="David"/>
          <w:noProof w:val="0"/>
          <w:rtl/>
        </w:rPr>
        <w:t xml:space="preserve"> בכתב; שמע טיעוני הצדדים על פה; עיין בראיות לעונש; עיין בתסקיר שירות המבחן למבוגרים; </w:t>
      </w:r>
      <w:r>
        <w:rPr>
          <w:rFonts w:ascii="David" w:hAnsi="David" w:hint="cs"/>
          <w:noProof w:val="0"/>
          <w:rtl/>
        </w:rPr>
        <w:t xml:space="preserve">לאחר ששמע את דברי העדה לענין העונש; </w:t>
      </w:r>
      <w:r w:rsidRPr="00443C8F">
        <w:rPr>
          <w:rFonts w:ascii="David" w:hAnsi="David"/>
          <w:noProof w:val="0"/>
          <w:rtl/>
        </w:rPr>
        <w:t>ולאחר ששמע דברו האחרון של הנאשם, גוזר בית המשפט על הנאשם את העונשים כדלקמן:</w:t>
      </w:r>
    </w:p>
    <w:p w14:paraId="57374B08" w14:textId="77777777" w:rsidR="00B6625B" w:rsidRPr="00443C8F" w:rsidRDefault="00B6625B" w:rsidP="00B6625B">
      <w:pPr>
        <w:spacing w:line="360" w:lineRule="auto"/>
        <w:jc w:val="both"/>
        <w:rPr>
          <w:rFonts w:ascii="David" w:hAnsi="David"/>
          <w:noProof w:val="0"/>
          <w:rtl/>
        </w:rPr>
      </w:pPr>
    </w:p>
    <w:p w14:paraId="7F465842" w14:textId="77777777" w:rsidR="00B6625B" w:rsidRPr="00443C8F" w:rsidRDefault="00B6625B" w:rsidP="00B6625B">
      <w:pPr>
        <w:spacing w:line="360" w:lineRule="auto"/>
        <w:jc w:val="both"/>
        <w:rPr>
          <w:rFonts w:ascii="David" w:hAnsi="David"/>
          <w:noProof w:val="0"/>
          <w:rtl/>
        </w:rPr>
      </w:pPr>
      <w:r w:rsidRPr="00443C8F">
        <w:rPr>
          <w:rFonts w:ascii="David" w:hAnsi="David"/>
          <w:noProof w:val="0"/>
          <w:rtl/>
        </w:rPr>
        <w:t>א.</w:t>
      </w:r>
      <w:r w:rsidR="00143496">
        <w:rPr>
          <w:rFonts w:ascii="David" w:hAnsi="David"/>
          <w:noProof w:val="0"/>
          <w:rtl/>
        </w:rPr>
        <w:t xml:space="preserve">        </w:t>
      </w:r>
      <w:r w:rsidRPr="00443C8F">
        <w:rPr>
          <w:rFonts w:ascii="David" w:hAnsi="David"/>
          <w:noProof w:val="0"/>
          <w:rtl/>
        </w:rPr>
        <w:t xml:space="preserve"> </w:t>
      </w:r>
      <w:r>
        <w:rPr>
          <w:rFonts w:ascii="David" w:hAnsi="David" w:hint="cs"/>
          <w:noProof w:val="0"/>
          <w:rtl/>
        </w:rPr>
        <w:t xml:space="preserve">36 </w:t>
      </w:r>
      <w:r w:rsidRPr="00443C8F">
        <w:rPr>
          <w:rFonts w:ascii="David" w:hAnsi="David"/>
          <w:noProof w:val="0"/>
          <w:rtl/>
        </w:rPr>
        <w:t>חודשי מאסר בפועל, בניכוי ימי מעצרו בהתאם לרישומי שב"ס;</w:t>
      </w:r>
    </w:p>
    <w:p w14:paraId="48B4C5ED" w14:textId="77777777" w:rsidR="00B6625B" w:rsidRPr="00443C8F" w:rsidRDefault="00B6625B" w:rsidP="00B6625B">
      <w:pPr>
        <w:spacing w:line="360" w:lineRule="auto"/>
        <w:ind w:left="720" w:hanging="720"/>
        <w:jc w:val="both"/>
        <w:rPr>
          <w:rFonts w:ascii="David" w:hAnsi="David"/>
          <w:noProof w:val="0"/>
          <w:rtl/>
        </w:rPr>
      </w:pPr>
      <w:r w:rsidRPr="00443C8F">
        <w:rPr>
          <w:rFonts w:ascii="David" w:hAnsi="David"/>
          <w:noProof w:val="0"/>
          <w:rtl/>
        </w:rPr>
        <w:t>ב.</w:t>
      </w:r>
      <w:r w:rsidR="00143496">
        <w:rPr>
          <w:rFonts w:ascii="David" w:hAnsi="David"/>
          <w:noProof w:val="0"/>
          <w:rtl/>
        </w:rPr>
        <w:t xml:space="preserve">        </w:t>
      </w:r>
      <w:r w:rsidRPr="00443C8F">
        <w:rPr>
          <w:rFonts w:ascii="David" w:hAnsi="David"/>
          <w:noProof w:val="0"/>
          <w:rtl/>
        </w:rPr>
        <w:t xml:space="preserve"> 12 חודשי מאסר על תנאי למשך 3 שנים מהיום; והתנאי – שהנאשם לא יעבור עבירה מסוג פשע בניגוד </w:t>
      </w:r>
      <w:hyperlink r:id="rId26" w:history="1">
        <w:r w:rsidR="00BD0478" w:rsidRPr="00BD0478">
          <w:rPr>
            <w:rStyle w:val="Hyperlink"/>
            <w:rFonts w:ascii="David" w:hAnsi="David"/>
            <w:noProof w:val="0"/>
            <w:rtl/>
          </w:rPr>
          <w:t>לסעיף 144</w:t>
        </w:r>
      </w:hyperlink>
      <w:r w:rsidRPr="00443C8F">
        <w:rPr>
          <w:rFonts w:ascii="David" w:hAnsi="David"/>
          <w:noProof w:val="0"/>
          <w:rtl/>
        </w:rPr>
        <w:t xml:space="preserve"> ל</w:t>
      </w:r>
      <w:hyperlink r:id="rId27" w:history="1">
        <w:r w:rsidR="00143496" w:rsidRPr="00143496">
          <w:rPr>
            <w:rFonts w:ascii="David" w:hAnsi="David"/>
            <w:noProof w:val="0"/>
            <w:color w:val="0000FF"/>
            <w:u w:val="single"/>
            <w:rtl/>
          </w:rPr>
          <w:t>חוק העונשין</w:t>
        </w:r>
      </w:hyperlink>
      <w:r w:rsidRPr="00443C8F">
        <w:rPr>
          <w:rFonts w:ascii="David" w:hAnsi="David"/>
          <w:noProof w:val="0"/>
          <w:rtl/>
        </w:rPr>
        <w:t xml:space="preserve">, תשל"ז – 1977; </w:t>
      </w:r>
    </w:p>
    <w:p w14:paraId="5A19E8F1" w14:textId="77777777" w:rsidR="00B6625B" w:rsidRPr="00443C8F" w:rsidRDefault="00B6625B" w:rsidP="00B6625B">
      <w:pPr>
        <w:spacing w:line="360" w:lineRule="auto"/>
        <w:ind w:left="720" w:hanging="720"/>
        <w:jc w:val="both"/>
        <w:rPr>
          <w:rFonts w:ascii="David" w:hAnsi="David"/>
          <w:noProof w:val="0"/>
          <w:rtl/>
        </w:rPr>
      </w:pPr>
      <w:r w:rsidRPr="00443C8F">
        <w:rPr>
          <w:rFonts w:ascii="David" w:hAnsi="David"/>
          <w:noProof w:val="0"/>
          <w:rtl/>
        </w:rPr>
        <w:t>ג.</w:t>
      </w:r>
      <w:r w:rsidR="00143496">
        <w:rPr>
          <w:rFonts w:ascii="David" w:hAnsi="David"/>
          <w:noProof w:val="0"/>
          <w:rtl/>
        </w:rPr>
        <w:t xml:space="preserve">         </w:t>
      </w:r>
      <w:r w:rsidRPr="00443C8F">
        <w:rPr>
          <w:rFonts w:ascii="David" w:hAnsi="David"/>
          <w:noProof w:val="0"/>
          <w:rtl/>
        </w:rPr>
        <w:t xml:space="preserve"> 6 חודשי מאסר על תנאי למשך 3 שנים מהיום; והתנאי – שהנאשם לא יעבור עבירה מסוג עוון בניגוד </w:t>
      </w:r>
      <w:hyperlink r:id="rId28" w:history="1">
        <w:r w:rsidR="00BD0478" w:rsidRPr="00BD0478">
          <w:rPr>
            <w:rStyle w:val="Hyperlink"/>
            <w:rFonts w:ascii="David" w:hAnsi="David"/>
            <w:noProof w:val="0"/>
            <w:rtl/>
          </w:rPr>
          <w:t>לסעיף 144</w:t>
        </w:r>
      </w:hyperlink>
      <w:r w:rsidRPr="00443C8F">
        <w:rPr>
          <w:rFonts w:ascii="David" w:hAnsi="David"/>
          <w:noProof w:val="0"/>
          <w:rtl/>
        </w:rPr>
        <w:t xml:space="preserve"> ל</w:t>
      </w:r>
      <w:hyperlink r:id="rId29" w:history="1">
        <w:r w:rsidR="00143496" w:rsidRPr="00143496">
          <w:rPr>
            <w:rFonts w:ascii="David" w:hAnsi="David"/>
            <w:noProof w:val="0"/>
            <w:color w:val="0000FF"/>
            <w:u w:val="single"/>
            <w:rtl/>
          </w:rPr>
          <w:t>חוק העונשין</w:t>
        </w:r>
      </w:hyperlink>
      <w:r w:rsidRPr="00443C8F">
        <w:rPr>
          <w:rFonts w:ascii="David" w:hAnsi="David"/>
          <w:noProof w:val="0"/>
          <w:rtl/>
        </w:rPr>
        <w:t>, תשל"ז – 1977;</w:t>
      </w:r>
      <w:r w:rsidR="00143496">
        <w:rPr>
          <w:rFonts w:ascii="David" w:hAnsi="David"/>
          <w:noProof w:val="0"/>
          <w:rtl/>
        </w:rPr>
        <w:t xml:space="preserve"> </w:t>
      </w:r>
      <w:r w:rsidRPr="00443C8F">
        <w:rPr>
          <w:rFonts w:ascii="David" w:hAnsi="David"/>
          <w:noProof w:val="0"/>
          <w:rtl/>
        </w:rPr>
        <w:t xml:space="preserve"> או עבירה כלשהי בניגוד </w:t>
      </w:r>
      <w:hyperlink r:id="rId30" w:history="1">
        <w:r w:rsidR="00BD0478" w:rsidRPr="00BD0478">
          <w:rPr>
            <w:rStyle w:val="Hyperlink"/>
            <w:rFonts w:ascii="David" w:hAnsi="David"/>
            <w:noProof w:val="0"/>
            <w:rtl/>
          </w:rPr>
          <w:t>לסעיף 186</w:t>
        </w:r>
      </w:hyperlink>
      <w:r w:rsidRPr="00443C8F">
        <w:rPr>
          <w:rFonts w:ascii="David" w:hAnsi="David"/>
          <w:noProof w:val="0"/>
          <w:rtl/>
        </w:rPr>
        <w:t xml:space="preserve"> לאותו חוק;</w:t>
      </w:r>
    </w:p>
    <w:p w14:paraId="2F0A4935" w14:textId="77777777" w:rsidR="00B6625B" w:rsidRPr="00443C8F" w:rsidRDefault="00B6625B" w:rsidP="00B6625B">
      <w:pPr>
        <w:spacing w:line="360" w:lineRule="auto"/>
        <w:ind w:left="720" w:hanging="720"/>
        <w:jc w:val="both"/>
        <w:rPr>
          <w:rFonts w:ascii="David" w:hAnsi="David"/>
          <w:noProof w:val="0"/>
          <w:rtl/>
        </w:rPr>
      </w:pPr>
      <w:r w:rsidRPr="00443C8F">
        <w:rPr>
          <w:rFonts w:ascii="David" w:hAnsi="David"/>
          <w:noProof w:val="0"/>
          <w:rtl/>
        </w:rPr>
        <w:t>ד.</w:t>
      </w:r>
      <w:r w:rsidR="00143496">
        <w:rPr>
          <w:rFonts w:ascii="David" w:hAnsi="David"/>
          <w:noProof w:val="0"/>
          <w:rtl/>
        </w:rPr>
        <w:t xml:space="preserve">        </w:t>
      </w:r>
      <w:r w:rsidRPr="00443C8F">
        <w:rPr>
          <w:rFonts w:ascii="David" w:hAnsi="David"/>
          <w:noProof w:val="0"/>
          <w:rtl/>
        </w:rPr>
        <w:t xml:space="preserve"> קנס בסך </w:t>
      </w:r>
      <w:r>
        <w:rPr>
          <w:rFonts w:ascii="David" w:hAnsi="David" w:hint="cs"/>
          <w:noProof w:val="0"/>
          <w:rtl/>
        </w:rPr>
        <w:t>15,000</w:t>
      </w:r>
      <w:r w:rsidRPr="00443C8F">
        <w:rPr>
          <w:rFonts w:ascii="David" w:hAnsi="David"/>
          <w:noProof w:val="0"/>
          <w:rtl/>
        </w:rPr>
        <w:t xml:space="preserve"> ₪ או </w:t>
      </w:r>
      <w:r>
        <w:rPr>
          <w:rFonts w:ascii="David" w:hAnsi="David" w:hint="cs"/>
          <w:noProof w:val="0"/>
          <w:rtl/>
        </w:rPr>
        <w:t xml:space="preserve">120 </w:t>
      </w:r>
      <w:r w:rsidRPr="00443C8F">
        <w:rPr>
          <w:rFonts w:ascii="David" w:hAnsi="David"/>
          <w:noProof w:val="0"/>
          <w:rtl/>
        </w:rPr>
        <w:t>ימי מאסר תמורתו. הקנס ישולם ב-</w:t>
      </w:r>
      <w:r>
        <w:rPr>
          <w:rFonts w:ascii="David" w:hAnsi="David" w:hint="cs"/>
          <w:noProof w:val="0"/>
          <w:rtl/>
        </w:rPr>
        <w:t>15</w:t>
      </w:r>
      <w:r w:rsidRPr="00443C8F">
        <w:rPr>
          <w:rFonts w:ascii="David" w:hAnsi="David"/>
          <w:noProof w:val="0"/>
          <w:rtl/>
        </w:rPr>
        <w:t xml:space="preserve"> שיעורים שווים ורצופים החל מיום </w:t>
      </w:r>
      <w:r>
        <w:rPr>
          <w:rFonts w:ascii="David" w:hAnsi="David" w:hint="cs"/>
          <w:noProof w:val="0"/>
          <w:rtl/>
        </w:rPr>
        <w:t>15.07.23</w:t>
      </w:r>
      <w:r w:rsidRPr="00443C8F">
        <w:rPr>
          <w:rFonts w:ascii="David" w:hAnsi="David"/>
          <w:noProof w:val="0"/>
          <w:rtl/>
        </w:rPr>
        <w:t xml:space="preserve"> ובכל 15 לחודש שלאחר מכן. לא יועבר אחד התשלומים במועד – תעמוד היתרה לפירעון מידי;</w:t>
      </w:r>
    </w:p>
    <w:p w14:paraId="38A7400F" w14:textId="77777777" w:rsidR="00B6625B" w:rsidRPr="001730C6" w:rsidRDefault="00B6625B" w:rsidP="00B6625B">
      <w:pPr>
        <w:spacing w:line="360" w:lineRule="auto"/>
        <w:ind w:left="720" w:hanging="720"/>
        <w:jc w:val="both"/>
        <w:rPr>
          <w:rFonts w:ascii="David" w:hAnsi="David"/>
          <w:noProof w:val="0"/>
          <w:rtl/>
        </w:rPr>
      </w:pPr>
      <w:r w:rsidRPr="00443C8F">
        <w:rPr>
          <w:rFonts w:ascii="David" w:hAnsi="David"/>
          <w:noProof w:val="0"/>
          <w:rtl/>
        </w:rPr>
        <w:t>ו.</w:t>
      </w:r>
      <w:r w:rsidR="00143496">
        <w:rPr>
          <w:rFonts w:ascii="David" w:hAnsi="David"/>
          <w:noProof w:val="0"/>
          <w:rtl/>
        </w:rPr>
        <w:t xml:space="preserve">         </w:t>
      </w:r>
      <w:r w:rsidRPr="00443C8F">
        <w:rPr>
          <w:rFonts w:ascii="David" w:hAnsi="David"/>
          <w:noProof w:val="0"/>
          <w:rtl/>
        </w:rPr>
        <w:t xml:space="preserve"> </w:t>
      </w:r>
      <w:r>
        <w:rPr>
          <w:rFonts w:ascii="David" w:hAnsi="David" w:hint="cs"/>
          <w:noProof w:val="0"/>
          <w:rtl/>
        </w:rPr>
        <w:t>אמצעי לחימה</w:t>
      </w:r>
      <w:r w:rsidRPr="00443C8F">
        <w:rPr>
          <w:rFonts w:ascii="David" w:hAnsi="David"/>
          <w:noProof w:val="0"/>
          <w:rtl/>
        </w:rPr>
        <w:t xml:space="preserve"> ותחמושת – יושמדו, בחלוף תקופת הערעור.</w:t>
      </w:r>
    </w:p>
    <w:p w14:paraId="03515612" w14:textId="77777777" w:rsidR="00B6625B" w:rsidRDefault="00B6625B" w:rsidP="00B6625B">
      <w:pPr>
        <w:spacing w:line="360" w:lineRule="auto"/>
        <w:jc w:val="both"/>
        <w:rPr>
          <w:noProof w:val="0"/>
          <w:rtl/>
        </w:rPr>
      </w:pPr>
    </w:p>
    <w:p w14:paraId="625FA31D" w14:textId="77777777" w:rsidR="00B6625B" w:rsidRDefault="00B6625B" w:rsidP="00B6625B">
      <w:pPr>
        <w:spacing w:line="360" w:lineRule="auto"/>
        <w:jc w:val="both"/>
        <w:rPr>
          <w:noProof w:val="0"/>
          <w:rtl/>
        </w:rPr>
      </w:pPr>
      <w:r>
        <w:rPr>
          <w:rFonts w:hint="cs"/>
          <w:noProof w:val="0"/>
          <w:rtl/>
        </w:rPr>
        <w:t>הנאשם יתייצב לריצוי עונשו כעת.</w:t>
      </w:r>
    </w:p>
    <w:p w14:paraId="0A0180AF" w14:textId="77777777" w:rsidR="00B6625B" w:rsidRDefault="00B6625B" w:rsidP="00B6625B">
      <w:pPr>
        <w:spacing w:line="360" w:lineRule="auto"/>
        <w:jc w:val="both"/>
        <w:rPr>
          <w:noProof w:val="0"/>
          <w:rtl/>
        </w:rPr>
      </w:pPr>
    </w:p>
    <w:p w14:paraId="76B26854" w14:textId="77777777" w:rsidR="00B6625B" w:rsidRDefault="00B6625B" w:rsidP="00B6625B">
      <w:pPr>
        <w:spacing w:line="360" w:lineRule="auto"/>
        <w:jc w:val="both"/>
        <w:rPr>
          <w:noProof w:val="0"/>
          <w:rtl/>
        </w:rPr>
      </w:pPr>
      <w:r>
        <w:rPr>
          <w:rFonts w:hint="cs"/>
          <w:noProof w:val="0"/>
          <w:rtl/>
        </w:rPr>
        <w:t>עותק גזר הדין יועבר לשירות המבחן למבוגרים.</w:t>
      </w:r>
    </w:p>
    <w:p w14:paraId="3559458B" w14:textId="77777777" w:rsidR="00B6625B" w:rsidRPr="00143496" w:rsidRDefault="00143496" w:rsidP="00B6625B">
      <w:pPr>
        <w:spacing w:line="360" w:lineRule="auto"/>
        <w:jc w:val="both"/>
        <w:rPr>
          <w:noProof w:val="0"/>
          <w:color w:val="FFFFFF"/>
          <w:sz w:val="2"/>
          <w:szCs w:val="2"/>
          <w:rtl/>
        </w:rPr>
      </w:pPr>
      <w:r w:rsidRPr="00143496">
        <w:rPr>
          <w:noProof w:val="0"/>
          <w:color w:val="FFFFFF"/>
          <w:sz w:val="2"/>
          <w:szCs w:val="2"/>
          <w:rtl/>
        </w:rPr>
        <w:t>5129371</w:t>
      </w:r>
    </w:p>
    <w:p w14:paraId="3CCDB60B" w14:textId="77777777" w:rsidR="00B6625B" w:rsidRDefault="00143496" w:rsidP="00B6625B">
      <w:pPr>
        <w:spacing w:line="360" w:lineRule="auto"/>
        <w:jc w:val="both"/>
        <w:rPr>
          <w:noProof w:val="0"/>
          <w:rtl/>
        </w:rPr>
      </w:pPr>
      <w:r w:rsidRPr="00143496">
        <w:rPr>
          <w:noProof w:val="0"/>
          <w:color w:val="FFFFFF"/>
          <w:sz w:val="2"/>
          <w:szCs w:val="2"/>
          <w:rtl/>
        </w:rPr>
        <w:t>54678313</w:t>
      </w:r>
      <w:r w:rsidR="00B6625B">
        <w:rPr>
          <w:rFonts w:hint="cs"/>
          <w:noProof w:val="0"/>
          <w:rtl/>
        </w:rPr>
        <w:t>הודעה זכות הערעור.</w:t>
      </w:r>
    </w:p>
    <w:p w14:paraId="3ACDA7F3" w14:textId="77777777" w:rsidR="00B6625B" w:rsidRPr="008E2AFD" w:rsidRDefault="00B6625B" w:rsidP="00B6625B">
      <w:pPr>
        <w:spacing w:line="360" w:lineRule="auto"/>
        <w:jc w:val="both"/>
        <w:rPr>
          <w:noProof w:val="0"/>
          <w:rtl/>
        </w:rPr>
      </w:pPr>
    </w:p>
    <w:p w14:paraId="7EB0FAF4" w14:textId="77777777" w:rsidR="00B6625B" w:rsidRDefault="00143496" w:rsidP="00B6625B">
      <w:pPr>
        <w:spacing w:line="360" w:lineRule="auto"/>
        <w:jc w:val="both"/>
        <w:rPr>
          <w:rFonts w:ascii="Arial" w:hAnsi="Arial"/>
          <w:noProof w:val="0"/>
          <w:rtl/>
        </w:rPr>
      </w:pPr>
      <w:bookmarkStart w:id="8" w:name="Nitan"/>
      <w:r>
        <w:rPr>
          <w:rFonts w:ascii="Arial" w:hAnsi="Arial"/>
          <w:noProof w:val="0"/>
          <w:rtl/>
        </w:rPr>
        <w:t xml:space="preserve">ניתנה היום, י"א סיוון תשפ"ג, 31 מאי 2023, במעמד הצדדים. </w:t>
      </w:r>
      <w:bookmarkEnd w:id="8"/>
    </w:p>
    <w:p w14:paraId="66984F22" w14:textId="77777777" w:rsidR="00B6625B" w:rsidRDefault="00B6625B" w:rsidP="00B6625B">
      <w:pPr>
        <w:spacing w:line="360" w:lineRule="auto"/>
        <w:ind w:left="3600" w:firstLine="720"/>
        <w:jc w:val="center"/>
      </w:pPr>
    </w:p>
    <w:p w14:paraId="7C20CC26" w14:textId="77777777" w:rsidR="00143496" w:rsidRDefault="00BD0478" w:rsidP="00143496">
      <w:r w:rsidRPr="00BD0478">
        <w:rPr>
          <w:rFonts w:ascii="Arial" w:hAnsi="Arial"/>
          <w:noProof w:val="0"/>
          <w:color w:val="FFFFFF"/>
          <w:sz w:val="2"/>
          <w:szCs w:val="2"/>
          <w:rtl/>
        </w:rPr>
        <w:t>5129371</w:t>
      </w:r>
    </w:p>
    <w:p w14:paraId="1144D73A" w14:textId="77777777" w:rsidR="00143496" w:rsidRDefault="00143496" w:rsidP="00143496">
      <w:pPr>
        <w:rPr>
          <w:rtl/>
        </w:rPr>
      </w:pPr>
    </w:p>
    <w:p w14:paraId="190184A5" w14:textId="77777777" w:rsidR="00143496" w:rsidRDefault="00143496" w:rsidP="00143496">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A4A66BC" w14:textId="77777777" w:rsidR="00BD0478" w:rsidRPr="00BD0478" w:rsidRDefault="00BD0478" w:rsidP="00BD0478">
      <w:pPr>
        <w:keepNext/>
        <w:rPr>
          <w:rFonts w:ascii="David" w:hAnsi="David" w:hint="cs"/>
          <w:color w:val="000000"/>
          <w:sz w:val="22"/>
          <w:szCs w:val="22"/>
          <w:rtl/>
        </w:rPr>
      </w:pPr>
    </w:p>
    <w:p w14:paraId="43542E5C" w14:textId="77777777" w:rsidR="00BD0478" w:rsidRPr="00BD0478" w:rsidRDefault="00BD0478" w:rsidP="00BD0478">
      <w:pPr>
        <w:keepNext/>
        <w:rPr>
          <w:rFonts w:ascii="David" w:hAnsi="David"/>
          <w:color w:val="000000"/>
          <w:sz w:val="22"/>
          <w:szCs w:val="22"/>
          <w:rtl/>
        </w:rPr>
      </w:pPr>
      <w:r w:rsidRPr="00BD0478">
        <w:rPr>
          <w:rFonts w:ascii="David" w:hAnsi="David"/>
          <w:color w:val="000000"/>
          <w:sz w:val="22"/>
          <w:szCs w:val="22"/>
          <w:rtl/>
        </w:rPr>
        <w:t>רון סולקין 54678313-/</w:t>
      </w:r>
    </w:p>
    <w:p w14:paraId="0F836720" w14:textId="77777777" w:rsidR="00143496" w:rsidRPr="00143496" w:rsidRDefault="00BD0478" w:rsidP="00BD0478">
      <w:pPr>
        <w:rPr>
          <w:rFonts w:hint="cs"/>
          <w:color w:val="0000FF"/>
          <w:u w:val="single"/>
        </w:rPr>
      </w:pPr>
      <w:r w:rsidRPr="00BD0478">
        <w:rPr>
          <w:color w:val="000000"/>
          <w:u w:val="single"/>
          <w:rtl/>
        </w:rPr>
        <w:t>נוסח מסמך זה כפוף לשינויי ניסוח ועריכה</w:t>
      </w:r>
    </w:p>
    <w:sectPr w:rsidR="00143496" w:rsidRPr="00143496" w:rsidSect="00BD0478">
      <w:headerReference w:type="even" r:id="rId32"/>
      <w:headerReference w:type="default" r:id="rId33"/>
      <w:footerReference w:type="even" r:id="rId34"/>
      <w:footerReference w:type="default" r:id="rId3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B0C71" w14:textId="77777777" w:rsidR="00B4608A" w:rsidRDefault="00B4608A" w:rsidP="008F439A">
      <w:r>
        <w:separator/>
      </w:r>
    </w:p>
  </w:endnote>
  <w:endnote w:type="continuationSeparator" w:id="0">
    <w:p w14:paraId="31A9EA0D" w14:textId="77777777" w:rsidR="00B4608A" w:rsidRDefault="00B4608A" w:rsidP="008F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D934" w14:textId="77777777" w:rsidR="00BD0478" w:rsidRDefault="00BD0478" w:rsidP="00BD04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C0A4DAC" w14:textId="77777777" w:rsidR="00143496" w:rsidRPr="00BD0478" w:rsidRDefault="00BD0478" w:rsidP="00BD0478">
    <w:pPr>
      <w:pStyle w:val="a5"/>
      <w:pBdr>
        <w:top w:val="single" w:sz="4" w:space="1" w:color="auto"/>
        <w:between w:val="single" w:sz="4" w:space="0" w:color="auto"/>
      </w:pBdr>
      <w:spacing w:after="60"/>
      <w:jc w:val="center"/>
      <w:rPr>
        <w:rFonts w:ascii="FrankRuehl" w:hAnsi="FrankRuehl" w:cs="FrankRuehl"/>
        <w:color w:val="000000"/>
      </w:rPr>
    </w:pPr>
    <w:r w:rsidRPr="00BD04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F7FE" w14:textId="77777777" w:rsidR="00BD0478" w:rsidRDefault="00BD0478" w:rsidP="00BD047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C44F0">
      <w:rPr>
        <w:rStyle w:val="a8"/>
        <w:rFonts w:ascii="FrankRuehl" w:hAnsi="FrankRuehl" w:cs="FrankRuehl"/>
        <w:rtl/>
      </w:rPr>
      <w:t>1</w:t>
    </w:r>
    <w:r>
      <w:rPr>
        <w:rStyle w:val="a8"/>
        <w:rFonts w:ascii="FrankRuehl" w:hAnsi="FrankRuehl" w:cs="FrankRuehl"/>
        <w:rtl/>
      </w:rPr>
      <w:fldChar w:fldCharType="end"/>
    </w:r>
  </w:p>
  <w:p w14:paraId="57547D06" w14:textId="77777777" w:rsidR="002B68F3" w:rsidRPr="00BD0478" w:rsidRDefault="00BD0478" w:rsidP="00BD047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D0478">
      <w:rPr>
        <w:rStyle w:val="a8"/>
        <w:rFonts w:ascii="FrankRuehl" w:hAnsi="FrankRuehl" w:cs="FrankRuehl" w:hint="cs"/>
        <w:color w:val="000000"/>
      </w:rPr>
      <w:pict w14:anchorId="3A3E8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B9F41" w14:textId="77777777" w:rsidR="00B4608A" w:rsidRDefault="00B4608A" w:rsidP="008F439A">
      <w:r>
        <w:separator/>
      </w:r>
    </w:p>
  </w:footnote>
  <w:footnote w:type="continuationSeparator" w:id="0">
    <w:p w14:paraId="7F95C6A8" w14:textId="77777777" w:rsidR="00B4608A" w:rsidRDefault="00B4608A" w:rsidP="008F4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1A9D3" w14:textId="77777777" w:rsidR="00143496" w:rsidRPr="00BD0478" w:rsidRDefault="00BD0478" w:rsidP="00BD04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56900-11-18</w:t>
    </w:r>
    <w:r>
      <w:rPr>
        <w:rFonts w:ascii="David" w:hAnsi="David"/>
        <w:color w:val="000000"/>
        <w:sz w:val="22"/>
        <w:szCs w:val="22"/>
        <w:rtl/>
      </w:rPr>
      <w:tab/>
      <w:t xml:space="preserve"> מדינת ישראל  נ' אחמד בן קאיד אלקטנאני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3EB8" w14:textId="77777777" w:rsidR="00143496" w:rsidRPr="00BD0478" w:rsidRDefault="00BD0478" w:rsidP="00BD04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56900-11-18</w:t>
    </w:r>
    <w:r>
      <w:rPr>
        <w:rFonts w:ascii="David" w:hAnsi="David"/>
        <w:color w:val="000000"/>
        <w:sz w:val="22"/>
        <w:szCs w:val="22"/>
        <w:rtl/>
      </w:rPr>
      <w:tab/>
      <w:t xml:space="preserve"> מדינת ישראל  נ' אחמד בן קאיד אלקטנאני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7283"/>
    <w:multiLevelType w:val="hybridMultilevel"/>
    <w:tmpl w:val="AADA1AE6"/>
    <w:lvl w:ilvl="0" w:tplc="24567DDA">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1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625B"/>
    <w:rsid w:val="000800A2"/>
    <w:rsid w:val="00143496"/>
    <w:rsid w:val="00270F87"/>
    <w:rsid w:val="002B68F3"/>
    <w:rsid w:val="003929C5"/>
    <w:rsid w:val="00526351"/>
    <w:rsid w:val="005C44F0"/>
    <w:rsid w:val="005E38F3"/>
    <w:rsid w:val="008F439A"/>
    <w:rsid w:val="009A4E4C"/>
    <w:rsid w:val="00B4608A"/>
    <w:rsid w:val="00B6625B"/>
    <w:rsid w:val="00BD0478"/>
    <w:rsid w:val="00D50028"/>
    <w:rsid w:val="00EF09C5"/>
    <w:rsid w:val="00F85F2D"/>
    <w:rsid w:val="00FF15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FA49E9"/>
  <w15:chartTrackingRefBased/>
  <w15:docId w15:val="{7C5D56C5-D288-4841-9A54-C3F18277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625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625B"/>
    <w:pPr>
      <w:tabs>
        <w:tab w:val="center" w:pos="4153"/>
        <w:tab w:val="right" w:pos="8306"/>
      </w:tabs>
    </w:pPr>
  </w:style>
  <w:style w:type="character" w:customStyle="1" w:styleId="a4">
    <w:name w:val="כותרת עליונה תו"/>
    <w:link w:val="a3"/>
    <w:rsid w:val="00B6625B"/>
    <w:rPr>
      <w:rFonts w:ascii="Times New Roman" w:eastAsia="Times New Roman" w:hAnsi="Times New Roman" w:cs="David"/>
      <w:noProof/>
      <w:sz w:val="24"/>
      <w:szCs w:val="24"/>
    </w:rPr>
  </w:style>
  <w:style w:type="paragraph" w:styleId="a5">
    <w:name w:val="footer"/>
    <w:basedOn w:val="a"/>
    <w:link w:val="a6"/>
    <w:rsid w:val="00B6625B"/>
    <w:pPr>
      <w:tabs>
        <w:tab w:val="center" w:pos="4153"/>
        <w:tab w:val="right" w:pos="8306"/>
      </w:tabs>
    </w:pPr>
  </w:style>
  <w:style w:type="character" w:customStyle="1" w:styleId="a6">
    <w:name w:val="כותרת תחתונה תו"/>
    <w:link w:val="a5"/>
    <w:rsid w:val="00B6625B"/>
    <w:rPr>
      <w:rFonts w:ascii="Times New Roman" w:eastAsia="Times New Roman" w:hAnsi="Times New Roman" w:cs="David"/>
      <w:noProof/>
      <w:sz w:val="24"/>
      <w:szCs w:val="24"/>
    </w:rPr>
  </w:style>
  <w:style w:type="table" w:styleId="a7">
    <w:name w:val="Table Grid"/>
    <w:basedOn w:val="a1"/>
    <w:rsid w:val="00B662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625B"/>
  </w:style>
  <w:style w:type="paragraph" w:styleId="a9">
    <w:name w:val="List Paragraph"/>
    <w:basedOn w:val="a"/>
    <w:qFormat/>
    <w:rsid w:val="00B6625B"/>
    <w:pPr>
      <w:ind w:left="720"/>
      <w:contextualSpacing/>
    </w:pPr>
  </w:style>
  <w:style w:type="character" w:styleId="aa">
    <w:name w:val="line number"/>
    <w:rsid w:val="00B6625B"/>
  </w:style>
  <w:style w:type="character" w:styleId="Hyperlink">
    <w:name w:val="Hyperlink"/>
    <w:rsid w:val="00143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8762911" TargetMode="External"/><Relationship Id="rId26" Type="http://schemas.openxmlformats.org/officeDocument/2006/relationships/hyperlink" Target="http://www.nevo.co.il/law/70301/144" TargetMode="External"/><Relationship Id="rId21" Type="http://schemas.openxmlformats.org/officeDocument/2006/relationships/hyperlink" Target="http://www.nevo.co.il/case/26769915" TargetMode="External"/><Relationship Id="rId34" Type="http://schemas.openxmlformats.org/officeDocument/2006/relationships/footer" Target="footer1.xml"/><Relationship Id="rId7" Type="http://schemas.openxmlformats.org/officeDocument/2006/relationships/hyperlink" Target="http://www.nevo.co.il/case/25174295"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00182" TargetMode="External"/><Relationship Id="rId25" Type="http://schemas.openxmlformats.org/officeDocument/2006/relationships/hyperlink" Target="http://www.nevo.co.il/case/2296189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852404" TargetMode="External"/><Relationship Id="rId20" Type="http://schemas.openxmlformats.org/officeDocument/2006/relationships/hyperlink" Target="http://www.nevo.co.il/case/16956730"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case/2592351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27692468" TargetMode="External"/><Relationship Id="rId28" Type="http://schemas.openxmlformats.org/officeDocument/2006/relationships/hyperlink" Target="http://www.nevo.co.il/law/70301/144"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253198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16913730" TargetMode="External"/><Relationship Id="rId22" Type="http://schemas.openxmlformats.org/officeDocument/2006/relationships/hyperlink" Target="http://www.nevo.co.il/case/27573270"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86" TargetMode="External"/><Relationship Id="rId35"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3621</Words>
  <Characters>18106</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21684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7143524</vt:i4>
      </vt:variant>
      <vt:variant>
        <vt:i4>69</vt:i4>
      </vt:variant>
      <vt:variant>
        <vt:i4>0</vt:i4>
      </vt:variant>
      <vt:variant>
        <vt:i4>5</vt:i4>
      </vt:variant>
      <vt:variant>
        <vt:lpwstr>http://www.nevo.co.il/law/70301/186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3342456</vt:i4>
      </vt:variant>
      <vt:variant>
        <vt:i4>54</vt:i4>
      </vt:variant>
      <vt:variant>
        <vt:i4>0</vt:i4>
      </vt:variant>
      <vt:variant>
        <vt:i4>5</vt:i4>
      </vt:variant>
      <vt:variant>
        <vt:lpwstr>http://www.nevo.co.il/case/22961891</vt:lpwstr>
      </vt:variant>
      <vt:variant>
        <vt:lpwstr/>
      </vt:variant>
      <vt:variant>
        <vt:i4>3735670</vt:i4>
      </vt:variant>
      <vt:variant>
        <vt:i4>51</vt:i4>
      </vt:variant>
      <vt:variant>
        <vt:i4>0</vt:i4>
      </vt:variant>
      <vt:variant>
        <vt:i4>5</vt:i4>
      </vt:variant>
      <vt:variant>
        <vt:lpwstr>http://www.nevo.co.il/case/25923515</vt:lpwstr>
      </vt:variant>
      <vt:variant>
        <vt:lpwstr/>
      </vt:variant>
      <vt:variant>
        <vt:i4>3145854</vt:i4>
      </vt:variant>
      <vt:variant>
        <vt:i4>48</vt:i4>
      </vt:variant>
      <vt:variant>
        <vt:i4>0</vt:i4>
      </vt:variant>
      <vt:variant>
        <vt:i4>5</vt:i4>
      </vt:variant>
      <vt:variant>
        <vt:lpwstr>http://www.nevo.co.il/case/27692468</vt:lpwstr>
      </vt:variant>
      <vt:variant>
        <vt:lpwstr/>
      </vt:variant>
      <vt:variant>
        <vt:i4>3342454</vt:i4>
      </vt:variant>
      <vt:variant>
        <vt:i4>45</vt:i4>
      </vt:variant>
      <vt:variant>
        <vt:i4>0</vt:i4>
      </vt:variant>
      <vt:variant>
        <vt:i4>5</vt:i4>
      </vt:variant>
      <vt:variant>
        <vt:lpwstr>http://www.nevo.co.il/case/27573270</vt:lpwstr>
      </vt:variant>
      <vt:variant>
        <vt:lpwstr/>
      </vt:variant>
      <vt:variant>
        <vt:i4>3997821</vt:i4>
      </vt:variant>
      <vt:variant>
        <vt:i4>42</vt:i4>
      </vt:variant>
      <vt:variant>
        <vt:i4>0</vt:i4>
      </vt:variant>
      <vt:variant>
        <vt:i4>5</vt:i4>
      </vt:variant>
      <vt:variant>
        <vt:lpwstr>http://www.nevo.co.il/case/26769915</vt:lpwstr>
      </vt:variant>
      <vt:variant>
        <vt:lpwstr/>
      </vt:variant>
      <vt:variant>
        <vt:i4>3997808</vt:i4>
      </vt:variant>
      <vt:variant>
        <vt:i4>39</vt:i4>
      </vt:variant>
      <vt:variant>
        <vt:i4>0</vt:i4>
      </vt:variant>
      <vt:variant>
        <vt:i4>5</vt:i4>
      </vt:variant>
      <vt:variant>
        <vt:lpwstr>http://www.nevo.co.il/case/16956730</vt:lpwstr>
      </vt:variant>
      <vt:variant>
        <vt:lpwstr/>
      </vt:variant>
      <vt:variant>
        <vt:i4>4063356</vt:i4>
      </vt:variant>
      <vt:variant>
        <vt:i4>36</vt:i4>
      </vt:variant>
      <vt:variant>
        <vt:i4>0</vt:i4>
      </vt:variant>
      <vt:variant>
        <vt:i4>5</vt:i4>
      </vt:variant>
      <vt:variant>
        <vt:lpwstr>http://www.nevo.co.il/case/22531980</vt:lpwstr>
      </vt:variant>
      <vt:variant>
        <vt:lpwstr/>
      </vt:variant>
      <vt:variant>
        <vt:i4>3473523</vt:i4>
      </vt:variant>
      <vt:variant>
        <vt:i4>33</vt:i4>
      </vt:variant>
      <vt:variant>
        <vt:i4>0</vt:i4>
      </vt:variant>
      <vt:variant>
        <vt:i4>5</vt:i4>
      </vt:variant>
      <vt:variant>
        <vt:lpwstr>http://www.nevo.co.il/case/18762911</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3670132</vt:i4>
      </vt:variant>
      <vt:variant>
        <vt:i4>21</vt:i4>
      </vt:variant>
      <vt:variant>
        <vt:i4>0</vt:i4>
      </vt:variant>
      <vt:variant>
        <vt:i4>5</vt:i4>
      </vt:variant>
      <vt:variant>
        <vt:lpwstr>http://www.nevo.co.il/case/16913730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4063348</vt:i4>
      </vt:variant>
      <vt:variant>
        <vt:i4>0</vt:i4>
      </vt:variant>
      <vt:variant>
        <vt:i4>0</vt:i4>
      </vt:variant>
      <vt:variant>
        <vt:i4>5</vt:i4>
      </vt:variant>
      <vt:variant>
        <vt:lpwstr>http://www.nevo.co.il/case/25174295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56900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אחמד בן קאיד אלקטנאני</vt:lpwstr>
  </property>
  <property fmtid="{D5CDD505-2E9C-101B-9397-08002B2CF9AE}" pid="10" name="LAWYER">
    <vt:lpwstr>דניאל גלעד;אמיר אזריק</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20230531</vt:lpwstr>
  </property>
  <property fmtid="{D5CDD505-2E9C-101B-9397-08002B2CF9AE}" pid="14" name="TYPE_N_DATE">
    <vt:lpwstr>38020230531</vt:lpwstr>
  </property>
  <property fmtid="{D5CDD505-2E9C-101B-9397-08002B2CF9AE}" pid="15" name="WORDNUMPAGES">
    <vt:lpwstr>14</vt:lpwstr>
  </property>
  <property fmtid="{D5CDD505-2E9C-101B-9397-08002B2CF9AE}" pid="16" name="TYPE_ABS_DATE">
    <vt:lpwstr>380020230531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25174295;16913730;7791493;5852404;6000182;18762911;22531980;16956730;26769915;27573270;27692468;25923515;22961891</vt:lpwstr>
  </property>
  <property fmtid="{D5CDD505-2E9C-101B-9397-08002B2CF9AE}" pid="36" name="LAWLISTTMP1">
    <vt:lpwstr>70301/144.a;144:2;186</vt:lpwstr>
  </property>
</Properties>
</file>