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9A339E" w:rsidRPr="00D712B3" w14:paraId="0392E58D" w14:textId="77777777" w:rsidTr="00D86998">
        <w:trPr>
          <w:trHeight w:hRule="exact" w:val="418"/>
          <w:jc w:val="center"/>
        </w:trPr>
        <w:tc>
          <w:tcPr>
            <w:tcW w:w="8721" w:type="dxa"/>
            <w:gridSpan w:val="2"/>
          </w:tcPr>
          <w:p w14:paraId="5B19B072" w14:textId="77777777" w:rsidR="009A339E" w:rsidRPr="00D64390" w:rsidRDefault="009A339E" w:rsidP="00957414">
            <w:pPr>
              <w:pStyle w:val="a3"/>
              <w:jc w:val="center"/>
              <w:rPr>
                <w:rFonts w:ascii="Tahoma" w:hAnsi="Tahoma" w:cs="Tahoma"/>
                <w:color w:val="000080"/>
                <w:rtl/>
                <w:lang w:val="en-US" w:eastAsia="en-US"/>
              </w:rPr>
            </w:pPr>
            <w:bookmarkStart w:id="0" w:name="FirstLawyer"/>
            <w:r w:rsidRPr="00D64390">
              <w:rPr>
                <w:rFonts w:ascii="Tahoma" w:hAnsi="Tahoma" w:cs="Tahoma"/>
                <w:b/>
                <w:bCs/>
                <w:color w:val="000080"/>
                <w:rtl/>
                <w:lang w:val="en-US" w:eastAsia="en-US"/>
              </w:rPr>
              <w:t>בית משפט השלום ברמלה</w:t>
            </w:r>
          </w:p>
        </w:tc>
      </w:tr>
      <w:tr w:rsidR="009A339E" w:rsidRPr="00D712B3" w14:paraId="707664C2" w14:textId="77777777" w:rsidTr="00D86998">
        <w:trPr>
          <w:trHeight w:val="337"/>
          <w:jc w:val="center"/>
        </w:trPr>
        <w:tc>
          <w:tcPr>
            <w:tcW w:w="5054" w:type="dxa"/>
          </w:tcPr>
          <w:p w14:paraId="357D076C" w14:textId="77777777" w:rsidR="009A339E" w:rsidRPr="00D712B3" w:rsidRDefault="009A339E" w:rsidP="00957414">
            <w:pPr>
              <w:rPr>
                <w:rFonts w:cs="FrankRuehl"/>
                <w:sz w:val="28"/>
                <w:szCs w:val="28"/>
                <w:rtl/>
              </w:rPr>
            </w:pPr>
            <w:r w:rsidRPr="00D712B3">
              <w:rPr>
                <w:rFonts w:cs="FrankRuehl"/>
                <w:sz w:val="28"/>
                <w:szCs w:val="28"/>
                <w:rtl/>
              </w:rPr>
              <w:t>ת"פ</w:t>
            </w:r>
            <w:r w:rsidRPr="00D712B3">
              <w:rPr>
                <w:rFonts w:cs="FrankRuehl" w:hint="cs"/>
                <w:sz w:val="28"/>
                <w:szCs w:val="28"/>
                <w:rtl/>
              </w:rPr>
              <w:t xml:space="preserve"> </w:t>
            </w:r>
            <w:r w:rsidRPr="00D712B3">
              <w:rPr>
                <w:rFonts w:cs="FrankRuehl"/>
                <w:sz w:val="28"/>
                <w:szCs w:val="28"/>
                <w:rtl/>
              </w:rPr>
              <w:t>40076-02-19</w:t>
            </w:r>
            <w:r w:rsidRPr="00D712B3">
              <w:rPr>
                <w:rFonts w:cs="FrankRuehl" w:hint="cs"/>
                <w:sz w:val="28"/>
                <w:szCs w:val="28"/>
                <w:rtl/>
              </w:rPr>
              <w:t xml:space="preserve"> </w:t>
            </w:r>
            <w:r w:rsidRPr="00D712B3">
              <w:rPr>
                <w:rFonts w:cs="FrankRuehl"/>
                <w:sz w:val="28"/>
                <w:szCs w:val="28"/>
                <w:rtl/>
              </w:rPr>
              <w:t>מדינת ישראל נ' אבו צעלוק</w:t>
            </w:r>
          </w:p>
          <w:p w14:paraId="189292BA" w14:textId="77777777" w:rsidR="009A339E" w:rsidRPr="00D64390" w:rsidRDefault="009A339E" w:rsidP="00957414">
            <w:pPr>
              <w:pStyle w:val="a3"/>
              <w:rPr>
                <w:rFonts w:cs="FrankRuehl"/>
                <w:sz w:val="28"/>
                <w:szCs w:val="28"/>
                <w:rtl/>
                <w:lang w:val="en-US" w:eastAsia="en-US"/>
              </w:rPr>
            </w:pPr>
          </w:p>
        </w:tc>
        <w:tc>
          <w:tcPr>
            <w:tcW w:w="3667" w:type="dxa"/>
          </w:tcPr>
          <w:p w14:paraId="4A13B0E7" w14:textId="77777777" w:rsidR="009A339E" w:rsidRPr="00D64390" w:rsidRDefault="009A339E" w:rsidP="00957414">
            <w:pPr>
              <w:pStyle w:val="a3"/>
              <w:jc w:val="right"/>
              <w:rPr>
                <w:rFonts w:cs="FrankRuehl"/>
                <w:sz w:val="28"/>
                <w:szCs w:val="28"/>
                <w:rtl/>
                <w:lang w:val="en-US" w:eastAsia="en-US"/>
              </w:rPr>
            </w:pPr>
          </w:p>
        </w:tc>
      </w:tr>
    </w:tbl>
    <w:p w14:paraId="09045453" w14:textId="77777777" w:rsidR="009A339E" w:rsidRPr="00D712B3" w:rsidRDefault="009A339E" w:rsidP="009A339E">
      <w:pPr>
        <w:pStyle w:val="a3"/>
        <w:rPr>
          <w:rtl/>
        </w:rPr>
      </w:pPr>
      <w:r w:rsidRPr="00D712B3">
        <w:rPr>
          <w:rFonts w:hint="cs"/>
          <w:rtl/>
        </w:rPr>
        <w:t xml:space="preserve"> </w:t>
      </w:r>
    </w:p>
    <w:p w14:paraId="0623B2B9" w14:textId="77777777" w:rsidR="009A339E" w:rsidRPr="00D712B3" w:rsidRDefault="009A339E" w:rsidP="009A339E">
      <w:pPr>
        <w:rPr>
          <w:rtl/>
        </w:rPr>
      </w:pPr>
    </w:p>
    <w:p w14:paraId="228C0A06" w14:textId="77777777" w:rsidR="009A339E" w:rsidRPr="00D712B3" w:rsidRDefault="009A339E" w:rsidP="009A339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A339E" w:rsidRPr="00D712B3" w14:paraId="48282DB3" w14:textId="77777777" w:rsidTr="009A339E">
        <w:trPr>
          <w:trHeight w:val="295"/>
          <w:jc w:val="center"/>
        </w:trPr>
        <w:tc>
          <w:tcPr>
            <w:tcW w:w="923" w:type="dxa"/>
            <w:tcBorders>
              <w:top w:val="nil"/>
              <w:left w:val="nil"/>
              <w:bottom w:val="nil"/>
              <w:right w:val="nil"/>
            </w:tcBorders>
            <w:shd w:val="clear" w:color="auto" w:fill="auto"/>
          </w:tcPr>
          <w:p w14:paraId="71693F19" w14:textId="77777777" w:rsidR="009A339E" w:rsidRPr="00D712B3" w:rsidRDefault="009A339E" w:rsidP="009A339E">
            <w:pPr>
              <w:jc w:val="both"/>
              <w:rPr>
                <w:rFonts w:ascii="Arial" w:hAnsi="Arial" w:cs="FrankRuehl"/>
                <w:sz w:val="28"/>
                <w:szCs w:val="28"/>
              </w:rPr>
            </w:pPr>
            <w:r w:rsidRPr="00D712B3">
              <w:rPr>
                <w:rFonts w:ascii="Arial" w:hAnsi="Arial" w:cs="FrankRuehl" w:hint="cs"/>
                <w:sz w:val="28"/>
                <w:szCs w:val="28"/>
                <w:rtl/>
              </w:rPr>
              <w:t>ב</w:t>
            </w:r>
            <w:r w:rsidRPr="00D712B3">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6DA6A7C0" w14:textId="77777777" w:rsidR="009A339E" w:rsidRPr="00D712B3" w:rsidRDefault="009A339E" w:rsidP="00957414">
            <w:pPr>
              <w:rPr>
                <w:rFonts w:ascii="Arial" w:hAnsi="Arial"/>
                <w:b/>
                <w:bCs/>
                <w:rtl/>
              </w:rPr>
            </w:pPr>
            <w:r w:rsidRPr="00D712B3">
              <w:rPr>
                <w:rFonts w:ascii="Arial" w:hAnsi="Arial" w:hint="cs"/>
                <w:b/>
                <w:bCs/>
                <w:rtl/>
              </w:rPr>
              <w:t>כבוד ה</w:t>
            </w:r>
            <w:r w:rsidRPr="00D712B3">
              <w:rPr>
                <w:rFonts w:ascii="Arial" w:hAnsi="Arial"/>
                <w:b/>
                <w:bCs/>
                <w:rtl/>
              </w:rPr>
              <w:t>שופט, סגן הנשיאה</w:t>
            </w:r>
            <w:r w:rsidRPr="00D712B3">
              <w:rPr>
                <w:rFonts w:ascii="Arial" w:hAnsi="Arial" w:hint="cs"/>
                <w:b/>
                <w:bCs/>
                <w:rtl/>
              </w:rPr>
              <w:t xml:space="preserve">  </w:t>
            </w:r>
            <w:r w:rsidRPr="00D712B3">
              <w:rPr>
                <w:rFonts w:ascii="Arial" w:hAnsi="Arial"/>
                <w:b/>
                <w:bCs/>
                <w:rtl/>
              </w:rPr>
              <w:t>מנחם מזרחי</w:t>
            </w:r>
          </w:p>
          <w:p w14:paraId="2D7E72C1" w14:textId="77777777" w:rsidR="009A339E" w:rsidRPr="00D712B3" w:rsidRDefault="009A339E" w:rsidP="00957414">
            <w:pPr>
              <w:rPr>
                <w:rtl/>
              </w:rPr>
            </w:pPr>
          </w:p>
          <w:p w14:paraId="67050F48" w14:textId="77777777" w:rsidR="009A339E" w:rsidRPr="00D712B3" w:rsidRDefault="009A339E" w:rsidP="009A339E">
            <w:pPr>
              <w:jc w:val="both"/>
              <w:rPr>
                <w:rFonts w:ascii="Arial" w:hAnsi="Arial" w:cs="FrankRuehl"/>
                <w:sz w:val="28"/>
                <w:szCs w:val="28"/>
              </w:rPr>
            </w:pPr>
          </w:p>
        </w:tc>
      </w:tr>
      <w:tr w:rsidR="009A339E" w:rsidRPr="00D712B3" w14:paraId="4A0E96B0" w14:textId="77777777" w:rsidTr="009A339E">
        <w:trPr>
          <w:trHeight w:val="355"/>
          <w:jc w:val="center"/>
        </w:trPr>
        <w:tc>
          <w:tcPr>
            <w:tcW w:w="923" w:type="dxa"/>
            <w:tcBorders>
              <w:top w:val="nil"/>
              <w:left w:val="nil"/>
              <w:bottom w:val="nil"/>
              <w:right w:val="nil"/>
            </w:tcBorders>
            <w:shd w:val="clear" w:color="auto" w:fill="auto"/>
          </w:tcPr>
          <w:p w14:paraId="486DFF1F" w14:textId="77777777" w:rsidR="009A339E" w:rsidRPr="00D712B3" w:rsidRDefault="009A339E" w:rsidP="009A339E">
            <w:pPr>
              <w:jc w:val="both"/>
              <w:rPr>
                <w:rFonts w:ascii="Arial" w:hAnsi="Arial" w:cs="FrankRuehl"/>
                <w:sz w:val="28"/>
                <w:szCs w:val="28"/>
              </w:rPr>
            </w:pPr>
            <w:bookmarkStart w:id="1" w:name="FirstAppellant"/>
            <w:bookmarkStart w:id="2" w:name="LastJudge"/>
            <w:bookmarkEnd w:id="2"/>
            <w:r w:rsidRPr="00D712B3">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3EE132F6" w14:textId="77777777" w:rsidR="009A339E" w:rsidRPr="00D712B3" w:rsidRDefault="009A339E" w:rsidP="00957414">
            <w:r w:rsidRPr="00D712B3">
              <w:rPr>
                <w:rFonts w:ascii="Arial" w:hAnsi="Arial" w:cs="FrankRuehl"/>
                <w:sz w:val="28"/>
                <w:szCs w:val="28"/>
                <w:rtl/>
              </w:rPr>
              <w:t>מדינת ישראל</w:t>
            </w:r>
            <w:r w:rsidRPr="00D712B3">
              <w:rPr>
                <w:rFonts w:ascii="Arial" w:hAnsi="Arial" w:cs="FrankRuehl"/>
                <w:sz w:val="28"/>
                <w:szCs w:val="28"/>
                <w:rtl/>
              </w:rPr>
              <w:br/>
            </w:r>
            <w:r w:rsidRPr="00D712B3">
              <w:rPr>
                <w:rFonts w:hint="cs"/>
                <w:rtl/>
              </w:rPr>
              <w:t>משטרת ישראל</w:t>
            </w:r>
            <w:r w:rsidRPr="00D712B3">
              <w:rPr>
                <w:rtl/>
              </w:rPr>
              <w:br/>
            </w:r>
            <w:r w:rsidRPr="00D712B3">
              <w:rPr>
                <w:rFonts w:hint="cs"/>
                <w:rtl/>
              </w:rPr>
              <w:t>תביעות שלוחת רמלה</w:t>
            </w:r>
            <w:r w:rsidRPr="00D712B3">
              <w:rPr>
                <w:rtl/>
              </w:rPr>
              <w:br/>
            </w:r>
            <w:r w:rsidRPr="00D712B3">
              <w:rPr>
                <w:rFonts w:hint="cs"/>
                <w:rtl/>
              </w:rPr>
              <w:t>באמצעות ב"כ עוה"ד יסמין נוי</w:t>
            </w:r>
          </w:p>
        </w:tc>
        <w:tc>
          <w:tcPr>
            <w:tcW w:w="3771" w:type="dxa"/>
            <w:tcBorders>
              <w:top w:val="nil"/>
              <w:left w:val="nil"/>
              <w:bottom w:val="nil"/>
              <w:right w:val="nil"/>
            </w:tcBorders>
            <w:shd w:val="clear" w:color="auto" w:fill="auto"/>
          </w:tcPr>
          <w:p w14:paraId="606CD404" w14:textId="77777777" w:rsidR="009A339E" w:rsidRPr="00D712B3" w:rsidRDefault="009A339E" w:rsidP="009A339E">
            <w:pPr>
              <w:jc w:val="both"/>
              <w:rPr>
                <w:rFonts w:ascii="Arial" w:hAnsi="Arial" w:cs="FrankRuehl"/>
                <w:sz w:val="28"/>
                <w:szCs w:val="28"/>
              </w:rPr>
            </w:pPr>
          </w:p>
        </w:tc>
      </w:tr>
      <w:bookmarkEnd w:id="1"/>
      <w:tr w:rsidR="009A339E" w:rsidRPr="00D712B3" w14:paraId="58435F89" w14:textId="77777777" w:rsidTr="009A339E">
        <w:trPr>
          <w:trHeight w:val="355"/>
          <w:jc w:val="center"/>
        </w:trPr>
        <w:tc>
          <w:tcPr>
            <w:tcW w:w="923" w:type="dxa"/>
            <w:tcBorders>
              <w:top w:val="nil"/>
              <w:left w:val="nil"/>
              <w:bottom w:val="nil"/>
              <w:right w:val="nil"/>
            </w:tcBorders>
            <w:shd w:val="clear" w:color="auto" w:fill="auto"/>
          </w:tcPr>
          <w:p w14:paraId="2CB7B3BB" w14:textId="77777777" w:rsidR="009A339E" w:rsidRPr="00D712B3" w:rsidRDefault="009A339E" w:rsidP="009A339E">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E76E5F3" w14:textId="77777777" w:rsidR="009A339E" w:rsidRPr="00D712B3" w:rsidRDefault="009A339E" w:rsidP="009A339E">
            <w:pPr>
              <w:jc w:val="both"/>
              <w:rPr>
                <w:rtl/>
              </w:rPr>
            </w:pPr>
          </w:p>
        </w:tc>
        <w:tc>
          <w:tcPr>
            <w:tcW w:w="3771" w:type="dxa"/>
            <w:tcBorders>
              <w:top w:val="nil"/>
              <w:left w:val="nil"/>
              <w:bottom w:val="nil"/>
              <w:right w:val="nil"/>
            </w:tcBorders>
            <w:shd w:val="clear" w:color="auto" w:fill="auto"/>
          </w:tcPr>
          <w:p w14:paraId="52606D06" w14:textId="77777777" w:rsidR="009A339E" w:rsidRPr="00D712B3" w:rsidRDefault="009A339E" w:rsidP="009A339E">
            <w:pPr>
              <w:jc w:val="right"/>
              <w:rPr>
                <w:rFonts w:ascii="Arial" w:hAnsi="Arial" w:cs="FrankRuehl"/>
                <w:sz w:val="28"/>
                <w:szCs w:val="28"/>
                <w:rtl/>
              </w:rPr>
            </w:pPr>
            <w:r w:rsidRPr="00D712B3">
              <w:rPr>
                <w:rFonts w:ascii="Arial" w:hAnsi="Arial" w:cs="FrankRuehl" w:hint="cs"/>
                <w:sz w:val="28"/>
                <w:szCs w:val="28"/>
                <w:rtl/>
              </w:rPr>
              <w:t>ה</w:t>
            </w:r>
            <w:r w:rsidRPr="00D712B3">
              <w:rPr>
                <w:rFonts w:ascii="Arial" w:hAnsi="Arial" w:cs="FrankRuehl"/>
                <w:sz w:val="28"/>
                <w:szCs w:val="28"/>
                <w:rtl/>
              </w:rPr>
              <w:t>מאשימה</w:t>
            </w:r>
          </w:p>
        </w:tc>
      </w:tr>
      <w:tr w:rsidR="009A339E" w:rsidRPr="00D712B3" w14:paraId="6A3BC77E" w14:textId="77777777" w:rsidTr="009A339E">
        <w:trPr>
          <w:trHeight w:val="355"/>
          <w:jc w:val="center"/>
        </w:trPr>
        <w:tc>
          <w:tcPr>
            <w:tcW w:w="923" w:type="dxa"/>
            <w:tcBorders>
              <w:top w:val="nil"/>
              <w:left w:val="nil"/>
              <w:bottom w:val="nil"/>
              <w:right w:val="nil"/>
            </w:tcBorders>
            <w:shd w:val="clear" w:color="auto" w:fill="auto"/>
          </w:tcPr>
          <w:p w14:paraId="2BB4FB3D" w14:textId="77777777" w:rsidR="009A339E" w:rsidRPr="00D712B3" w:rsidRDefault="009A339E" w:rsidP="009A339E">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59171F49" w14:textId="77777777" w:rsidR="009A339E" w:rsidRPr="00D712B3" w:rsidRDefault="009A339E" w:rsidP="009A339E">
            <w:pPr>
              <w:jc w:val="center"/>
              <w:rPr>
                <w:rFonts w:ascii="Arial" w:hAnsi="Arial" w:cs="FrankRuehl"/>
                <w:b/>
                <w:bCs/>
                <w:sz w:val="28"/>
                <w:szCs w:val="28"/>
                <w:rtl/>
              </w:rPr>
            </w:pPr>
          </w:p>
          <w:p w14:paraId="67182256" w14:textId="77777777" w:rsidR="009A339E" w:rsidRPr="00D712B3" w:rsidRDefault="009A339E" w:rsidP="009A339E">
            <w:pPr>
              <w:jc w:val="center"/>
              <w:rPr>
                <w:rFonts w:ascii="Arial" w:hAnsi="Arial" w:cs="FrankRuehl"/>
                <w:b/>
                <w:bCs/>
                <w:sz w:val="28"/>
                <w:szCs w:val="28"/>
                <w:rtl/>
              </w:rPr>
            </w:pPr>
            <w:r w:rsidRPr="00D712B3">
              <w:rPr>
                <w:rFonts w:ascii="Arial" w:hAnsi="Arial" w:cs="FrankRuehl"/>
                <w:b/>
                <w:bCs/>
                <w:sz w:val="28"/>
                <w:szCs w:val="28"/>
                <w:rtl/>
              </w:rPr>
              <w:t>נגד</w:t>
            </w:r>
          </w:p>
          <w:p w14:paraId="23EA2FE2" w14:textId="77777777" w:rsidR="009A339E" w:rsidRPr="00D712B3" w:rsidRDefault="009A339E" w:rsidP="009A339E">
            <w:pPr>
              <w:jc w:val="both"/>
              <w:rPr>
                <w:rFonts w:ascii="Arial" w:hAnsi="Arial" w:cs="FrankRuehl"/>
                <w:sz w:val="28"/>
                <w:szCs w:val="28"/>
              </w:rPr>
            </w:pPr>
          </w:p>
        </w:tc>
      </w:tr>
      <w:tr w:rsidR="009A339E" w:rsidRPr="00D712B3" w14:paraId="2785417B" w14:textId="77777777" w:rsidTr="009A339E">
        <w:trPr>
          <w:trHeight w:val="355"/>
          <w:jc w:val="center"/>
        </w:trPr>
        <w:tc>
          <w:tcPr>
            <w:tcW w:w="923" w:type="dxa"/>
            <w:tcBorders>
              <w:top w:val="nil"/>
              <w:left w:val="nil"/>
              <w:bottom w:val="nil"/>
              <w:right w:val="nil"/>
            </w:tcBorders>
            <w:shd w:val="clear" w:color="auto" w:fill="auto"/>
          </w:tcPr>
          <w:p w14:paraId="1261172D" w14:textId="77777777" w:rsidR="009A339E" w:rsidRPr="00D712B3" w:rsidRDefault="009A339E" w:rsidP="00957414">
            <w:pPr>
              <w:rPr>
                <w:rFonts w:ascii="Arial" w:hAnsi="Arial" w:cs="FrankRuehl"/>
                <w:sz w:val="28"/>
                <w:szCs w:val="28"/>
                <w:rtl/>
              </w:rPr>
            </w:pPr>
          </w:p>
        </w:tc>
        <w:tc>
          <w:tcPr>
            <w:tcW w:w="4126" w:type="dxa"/>
            <w:tcBorders>
              <w:top w:val="nil"/>
              <w:left w:val="nil"/>
              <w:bottom w:val="nil"/>
              <w:right w:val="nil"/>
            </w:tcBorders>
            <w:shd w:val="clear" w:color="auto" w:fill="auto"/>
          </w:tcPr>
          <w:p w14:paraId="31C2CA21" w14:textId="77777777" w:rsidR="009A339E" w:rsidRPr="00D712B3" w:rsidRDefault="009A339E" w:rsidP="00957414">
            <w:pPr>
              <w:rPr>
                <w:rtl/>
              </w:rPr>
            </w:pPr>
            <w:r w:rsidRPr="00D712B3">
              <w:rPr>
                <w:rFonts w:ascii="Arial" w:hAnsi="Arial" w:cs="FrankRuehl"/>
                <w:sz w:val="28"/>
                <w:szCs w:val="28"/>
                <w:rtl/>
              </w:rPr>
              <w:t>מחמד אבו צעלוק</w:t>
            </w:r>
            <w:r w:rsidRPr="00D712B3">
              <w:rPr>
                <w:rtl/>
              </w:rPr>
              <w:br/>
            </w:r>
            <w:r w:rsidRPr="00D712B3">
              <w:rPr>
                <w:rFonts w:hint="cs"/>
                <w:rtl/>
              </w:rPr>
              <w:t>באמצעות ב"כ עוה"ד שאדי כבהא</w:t>
            </w:r>
          </w:p>
        </w:tc>
        <w:tc>
          <w:tcPr>
            <w:tcW w:w="3771" w:type="dxa"/>
            <w:tcBorders>
              <w:top w:val="nil"/>
              <w:left w:val="nil"/>
              <w:bottom w:val="nil"/>
              <w:right w:val="nil"/>
            </w:tcBorders>
            <w:shd w:val="clear" w:color="auto" w:fill="auto"/>
          </w:tcPr>
          <w:p w14:paraId="18D110FC" w14:textId="77777777" w:rsidR="009A339E" w:rsidRPr="00D712B3" w:rsidRDefault="009A339E" w:rsidP="009A339E">
            <w:pPr>
              <w:jc w:val="right"/>
              <w:rPr>
                <w:rFonts w:ascii="Arial" w:hAnsi="Arial" w:cs="FrankRuehl"/>
                <w:sz w:val="28"/>
                <w:szCs w:val="28"/>
              </w:rPr>
            </w:pPr>
          </w:p>
        </w:tc>
      </w:tr>
      <w:tr w:rsidR="009A339E" w:rsidRPr="00D712B3" w14:paraId="0CF87372" w14:textId="77777777" w:rsidTr="009A339E">
        <w:trPr>
          <w:trHeight w:val="355"/>
          <w:jc w:val="center"/>
        </w:trPr>
        <w:tc>
          <w:tcPr>
            <w:tcW w:w="923" w:type="dxa"/>
            <w:tcBorders>
              <w:top w:val="nil"/>
              <w:left w:val="nil"/>
              <w:bottom w:val="nil"/>
              <w:right w:val="nil"/>
            </w:tcBorders>
            <w:shd w:val="clear" w:color="auto" w:fill="auto"/>
          </w:tcPr>
          <w:p w14:paraId="3E2DCC6C" w14:textId="77777777" w:rsidR="009A339E" w:rsidRPr="00D712B3" w:rsidRDefault="009A339E" w:rsidP="009A339E">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E0822AC" w14:textId="77777777" w:rsidR="009A339E" w:rsidRPr="00D712B3" w:rsidRDefault="009A339E" w:rsidP="009A339E">
            <w:pPr>
              <w:jc w:val="both"/>
              <w:rPr>
                <w:rtl/>
              </w:rPr>
            </w:pPr>
          </w:p>
        </w:tc>
        <w:tc>
          <w:tcPr>
            <w:tcW w:w="3771" w:type="dxa"/>
            <w:tcBorders>
              <w:top w:val="nil"/>
              <w:left w:val="nil"/>
              <w:bottom w:val="nil"/>
              <w:right w:val="nil"/>
            </w:tcBorders>
            <w:shd w:val="clear" w:color="auto" w:fill="auto"/>
          </w:tcPr>
          <w:p w14:paraId="19271FB7" w14:textId="77777777" w:rsidR="009A339E" w:rsidRPr="00D712B3" w:rsidRDefault="009A339E" w:rsidP="009A339E">
            <w:pPr>
              <w:jc w:val="right"/>
              <w:rPr>
                <w:rFonts w:ascii="Arial" w:hAnsi="Arial" w:cs="FrankRuehl"/>
                <w:sz w:val="28"/>
                <w:szCs w:val="28"/>
              </w:rPr>
            </w:pPr>
            <w:r w:rsidRPr="00D712B3">
              <w:rPr>
                <w:rFonts w:ascii="Arial" w:hAnsi="Arial" w:cs="FrankRuehl" w:hint="cs"/>
                <w:sz w:val="28"/>
                <w:szCs w:val="28"/>
                <w:rtl/>
              </w:rPr>
              <w:t>ה</w:t>
            </w:r>
            <w:r w:rsidRPr="00D712B3">
              <w:rPr>
                <w:rFonts w:ascii="Arial" w:hAnsi="Arial" w:cs="FrankRuehl"/>
                <w:sz w:val="28"/>
                <w:szCs w:val="28"/>
                <w:rtl/>
              </w:rPr>
              <w:t>נאשם</w:t>
            </w:r>
          </w:p>
        </w:tc>
      </w:tr>
    </w:tbl>
    <w:p w14:paraId="3271863A" w14:textId="77777777" w:rsidR="00D86998" w:rsidRDefault="00D86998" w:rsidP="009A339E">
      <w:pPr>
        <w:rPr>
          <w:rtl/>
        </w:rPr>
      </w:pPr>
    </w:p>
    <w:p w14:paraId="4837202F" w14:textId="77777777" w:rsidR="00D86998" w:rsidRPr="00D86998" w:rsidRDefault="00D86998" w:rsidP="00D86998">
      <w:pPr>
        <w:spacing w:after="120" w:line="240" w:lineRule="exact"/>
        <w:ind w:left="283" w:hanging="283"/>
        <w:jc w:val="both"/>
        <w:rPr>
          <w:rFonts w:ascii="FrankRuehl" w:hAnsi="FrankRuehl" w:cs="FrankRuehl"/>
          <w:rtl/>
        </w:rPr>
      </w:pPr>
    </w:p>
    <w:p w14:paraId="05DA7EFF" w14:textId="77777777" w:rsidR="00195652" w:rsidRDefault="00195652" w:rsidP="00195652">
      <w:pPr>
        <w:rPr>
          <w:rtl/>
        </w:rPr>
      </w:pPr>
      <w:bookmarkStart w:id="3" w:name="LawTable"/>
      <w:bookmarkEnd w:id="3"/>
    </w:p>
    <w:p w14:paraId="2A46C0E6" w14:textId="77777777" w:rsidR="00195652" w:rsidRPr="00195652" w:rsidRDefault="00195652" w:rsidP="00195652">
      <w:pPr>
        <w:spacing w:before="120" w:after="120" w:line="240" w:lineRule="exact"/>
        <w:ind w:left="283" w:hanging="283"/>
        <w:jc w:val="both"/>
        <w:rPr>
          <w:rFonts w:ascii="FrankRuehl" w:hAnsi="FrankRuehl" w:cs="FrankRuehl"/>
          <w:rtl/>
        </w:rPr>
      </w:pPr>
    </w:p>
    <w:p w14:paraId="7762FD3C" w14:textId="77777777" w:rsidR="00195652" w:rsidRPr="00195652" w:rsidRDefault="00195652" w:rsidP="00195652">
      <w:pPr>
        <w:spacing w:before="120" w:after="120" w:line="240" w:lineRule="exact"/>
        <w:ind w:left="283" w:hanging="283"/>
        <w:jc w:val="both"/>
        <w:rPr>
          <w:rFonts w:ascii="FrankRuehl" w:hAnsi="FrankRuehl" w:cs="FrankRuehl"/>
          <w:rtl/>
        </w:rPr>
      </w:pPr>
    </w:p>
    <w:p w14:paraId="2B99E427" w14:textId="77777777" w:rsidR="00195652" w:rsidRPr="00195652" w:rsidRDefault="00195652" w:rsidP="00195652">
      <w:pPr>
        <w:spacing w:before="120" w:after="120" w:line="240" w:lineRule="exact"/>
        <w:ind w:left="283" w:hanging="283"/>
        <w:jc w:val="both"/>
        <w:rPr>
          <w:rFonts w:ascii="FrankRuehl" w:hAnsi="FrankRuehl" w:cs="FrankRuehl"/>
          <w:rtl/>
        </w:rPr>
      </w:pPr>
      <w:r w:rsidRPr="00195652">
        <w:rPr>
          <w:rFonts w:ascii="FrankRuehl" w:hAnsi="FrankRuehl" w:cs="FrankRuehl"/>
          <w:rtl/>
        </w:rPr>
        <w:t xml:space="preserve">חקיקה שאוזכרה: </w:t>
      </w:r>
    </w:p>
    <w:p w14:paraId="49D281A9" w14:textId="77777777" w:rsidR="00195652" w:rsidRPr="00195652" w:rsidRDefault="00195652" w:rsidP="00195652">
      <w:pPr>
        <w:spacing w:before="120" w:after="120" w:line="240" w:lineRule="exact"/>
        <w:ind w:left="283" w:hanging="283"/>
        <w:jc w:val="both"/>
        <w:rPr>
          <w:rFonts w:ascii="FrankRuehl" w:hAnsi="FrankRuehl" w:cs="FrankRuehl"/>
          <w:rtl/>
        </w:rPr>
      </w:pPr>
      <w:hyperlink r:id="rId6" w:history="1">
        <w:r w:rsidRPr="00195652">
          <w:rPr>
            <w:rFonts w:ascii="FrankRuehl" w:hAnsi="FrankRuehl" w:cs="FrankRuehl"/>
            <w:color w:val="0000FF"/>
            <w:rtl/>
          </w:rPr>
          <w:t>חוק העונשין, תשל"ז-1977</w:t>
        </w:r>
      </w:hyperlink>
      <w:r w:rsidRPr="00195652">
        <w:rPr>
          <w:rFonts w:ascii="FrankRuehl" w:hAnsi="FrankRuehl" w:cs="FrankRuehl"/>
          <w:rtl/>
        </w:rPr>
        <w:t xml:space="preserve">: סע'  </w:t>
      </w:r>
      <w:hyperlink r:id="rId7" w:history="1">
        <w:r w:rsidRPr="00195652">
          <w:rPr>
            <w:rFonts w:ascii="FrankRuehl" w:hAnsi="FrankRuehl" w:cs="FrankRuehl"/>
            <w:color w:val="0000FF"/>
            <w:rtl/>
          </w:rPr>
          <w:t>144 (א)</w:t>
        </w:r>
      </w:hyperlink>
      <w:r w:rsidRPr="00195652">
        <w:rPr>
          <w:rFonts w:ascii="FrankRuehl" w:hAnsi="FrankRuehl" w:cs="FrankRuehl"/>
          <w:rtl/>
        </w:rPr>
        <w:t xml:space="preserve">, </w:t>
      </w:r>
      <w:hyperlink r:id="rId8" w:history="1">
        <w:r w:rsidRPr="00195652">
          <w:rPr>
            <w:rFonts w:ascii="FrankRuehl" w:hAnsi="FrankRuehl" w:cs="FrankRuehl"/>
            <w:color w:val="0000FF"/>
            <w:rtl/>
          </w:rPr>
          <w:t>144 (ב)</w:t>
        </w:r>
      </w:hyperlink>
    </w:p>
    <w:p w14:paraId="2BC513E7" w14:textId="77777777" w:rsidR="00195652" w:rsidRPr="00195652" w:rsidRDefault="00195652" w:rsidP="00195652">
      <w:pPr>
        <w:rPr>
          <w:rtl/>
        </w:rPr>
      </w:pPr>
      <w:bookmarkStart w:id="4" w:name="LawTable_End"/>
      <w:bookmarkEnd w:id="4"/>
    </w:p>
    <w:p w14:paraId="429940C9" w14:textId="77777777" w:rsidR="009A339E" w:rsidRPr="00D712B3" w:rsidRDefault="009A339E" w:rsidP="009A339E"/>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A339E" w14:paraId="7FDC5447" w14:textId="77777777" w:rsidTr="009A339E">
        <w:trPr>
          <w:trHeight w:val="355"/>
          <w:jc w:val="center"/>
        </w:trPr>
        <w:tc>
          <w:tcPr>
            <w:tcW w:w="8820" w:type="dxa"/>
            <w:tcBorders>
              <w:top w:val="nil"/>
              <w:left w:val="nil"/>
              <w:bottom w:val="nil"/>
              <w:right w:val="nil"/>
            </w:tcBorders>
            <w:shd w:val="clear" w:color="auto" w:fill="auto"/>
          </w:tcPr>
          <w:p w14:paraId="0C573DE2" w14:textId="77777777" w:rsidR="00D712B3" w:rsidRPr="00D712B3" w:rsidRDefault="00D712B3" w:rsidP="00D712B3">
            <w:pPr>
              <w:jc w:val="center"/>
              <w:rPr>
                <w:rFonts w:ascii="Arial" w:hAnsi="Arial" w:cs="FrankRuehl"/>
                <w:b/>
                <w:bCs/>
                <w:sz w:val="32"/>
                <w:szCs w:val="32"/>
                <w:u w:val="single"/>
                <w:rtl/>
              </w:rPr>
            </w:pPr>
            <w:bookmarkStart w:id="5" w:name="PsakDin" w:colFirst="0" w:colLast="0"/>
            <w:bookmarkEnd w:id="0"/>
            <w:r w:rsidRPr="00D712B3">
              <w:rPr>
                <w:rFonts w:ascii="Arial" w:hAnsi="Arial" w:cs="FrankRuehl"/>
                <w:b/>
                <w:bCs/>
                <w:sz w:val="32"/>
                <w:szCs w:val="32"/>
                <w:u w:val="single"/>
                <w:rtl/>
              </w:rPr>
              <w:t>גזר - דין</w:t>
            </w:r>
          </w:p>
          <w:p w14:paraId="09EDB8EF" w14:textId="77777777" w:rsidR="009A339E" w:rsidRPr="00D712B3" w:rsidRDefault="009A339E" w:rsidP="00D712B3">
            <w:pPr>
              <w:jc w:val="center"/>
              <w:rPr>
                <w:rFonts w:ascii="Arial" w:hAnsi="Arial" w:cs="FrankRuehl"/>
                <w:bCs/>
                <w:sz w:val="32"/>
                <w:szCs w:val="32"/>
                <w:u w:val="single"/>
                <w:rtl/>
              </w:rPr>
            </w:pPr>
          </w:p>
        </w:tc>
      </w:tr>
      <w:bookmarkEnd w:id="5"/>
    </w:tbl>
    <w:p w14:paraId="429A357C" w14:textId="77777777" w:rsidR="009A339E" w:rsidRPr="00B05847" w:rsidRDefault="009A339E" w:rsidP="009A339E">
      <w:pPr>
        <w:rPr>
          <w:rFonts w:ascii="Arial" w:hAnsi="Arial"/>
          <w:rtl/>
        </w:rPr>
      </w:pPr>
    </w:p>
    <w:p w14:paraId="31029C1B" w14:textId="77777777" w:rsidR="009A339E" w:rsidRPr="00B05847" w:rsidRDefault="009A339E" w:rsidP="009A339E">
      <w:pPr>
        <w:rPr>
          <w:rFonts w:ascii="Arial" w:hAnsi="Arial"/>
          <w:rtl/>
        </w:rPr>
      </w:pPr>
    </w:p>
    <w:p w14:paraId="4C2B8B47" w14:textId="77777777" w:rsidR="009A339E" w:rsidRDefault="009A339E" w:rsidP="009A339E">
      <w:pPr>
        <w:spacing w:line="360" w:lineRule="auto"/>
        <w:jc w:val="both"/>
        <w:rPr>
          <w:b/>
          <w:bCs/>
          <w:u w:val="single"/>
          <w:rtl/>
        </w:rPr>
      </w:pPr>
      <w:r>
        <w:rPr>
          <w:rFonts w:hint="cs"/>
          <w:b/>
          <w:bCs/>
          <w:u w:val="single"/>
          <w:rtl/>
        </w:rPr>
        <w:t>א. כתב-האישום:</w:t>
      </w:r>
    </w:p>
    <w:p w14:paraId="3D8B09F8" w14:textId="77777777" w:rsidR="009A339E" w:rsidRDefault="009A339E" w:rsidP="009A339E">
      <w:pPr>
        <w:spacing w:line="360" w:lineRule="auto"/>
        <w:jc w:val="both"/>
        <w:rPr>
          <w:b/>
          <w:bCs/>
          <w:u w:val="single"/>
          <w:rtl/>
        </w:rPr>
      </w:pPr>
      <w:bookmarkStart w:id="6" w:name="ABSTRACT_START"/>
      <w:bookmarkEnd w:id="6"/>
    </w:p>
    <w:p w14:paraId="1A0A4D82" w14:textId="77777777" w:rsidR="009A339E" w:rsidRDefault="009A339E" w:rsidP="009A339E">
      <w:pPr>
        <w:spacing w:line="360" w:lineRule="auto"/>
        <w:jc w:val="both"/>
        <w:rPr>
          <w:rtl/>
        </w:rPr>
      </w:pPr>
      <w:r>
        <w:rPr>
          <w:rFonts w:hint="cs"/>
          <w:rtl/>
        </w:rPr>
        <w:t xml:space="preserve">הנאשם הורשע בעקבות הודאתו בעבירות של החזקת נשק לפי סעיף </w:t>
      </w:r>
      <w:hyperlink r:id="rId9" w:history="1">
        <w:r w:rsidR="00D86998" w:rsidRPr="00D86998">
          <w:rPr>
            <w:rStyle w:val="Hyperlink"/>
            <w:rtl/>
          </w:rPr>
          <w:t>144 (א)</w:t>
        </w:r>
      </w:hyperlink>
      <w:r>
        <w:rPr>
          <w:rFonts w:hint="cs"/>
          <w:rtl/>
        </w:rPr>
        <w:t xml:space="preserve"> ל</w:t>
      </w:r>
      <w:hyperlink r:id="rId10" w:history="1">
        <w:r w:rsidR="00D712B3" w:rsidRPr="00D712B3">
          <w:rPr>
            <w:color w:val="0000FF"/>
            <w:u w:val="single"/>
            <w:rtl/>
          </w:rPr>
          <w:t>חוק העונשין</w:t>
        </w:r>
      </w:hyperlink>
      <w:r>
        <w:rPr>
          <w:rFonts w:hint="cs"/>
          <w:rtl/>
        </w:rPr>
        <w:t xml:space="preserve"> התשל"ז </w:t>
      </w:r>
      <w:r>
        <w:rPr>
          <w:rtl/>
        </w:rPr>
        <w:t>–</w:t>
      </w:r>
      <w:r>
        <w:rPr>
          <w:rFonts w:hint="cs"/>
          <w:rtl/>
        </w:rPr>
        <w:t xml:space="preserve"> 1977 והחזקת חלק של נשק או תחמושת לפי סעיף </w:t>
      </w:r>
      <w:hyperlink r:id="rId11" w:history="1">
        <w:r w:rsidR="00D86998" w:rsidRPr="00D86998">
          <w:rPr>
            <w:rStyle w:val="Hyperlink"/>
            <w:rtl/>
          </w:rPr>
          <w:t>144 (ב)</w:t>
        </w:r>
      </w:hyperlink>
      <w:r>
        <w:rPr>
          <w:rFonts w:hint="cs"/>
          <w:rtl/>
        </w:rPr>
        <w:t xml:space="preserve"> לחוק הנ"ל.</w:t>
      </w:r>
    </w:p>
    <w:p w14:paraId="184C229C" w14:textId="77777777" w:rsidR="009A339E" w:rsidRDefault="009A339E" w:rsidP="009A339E">
      <w:pPr>
        <w:spacing w:line="360" w:lineRule="auto"/>
        <w:jc w:val="both"/>
        <w:rPr>
          <w:rtl/>
        </w:rPr>
      </w:pPr>
    </w:p>
    <w:p w14:paraId="3BD87EDB" w14:textId="77777777" w:rsidR="009A339E" w:rsidRDefault="009A339E" w:rsidP="009A339E">
      <w:pPr>
        <w:spacing w:line="360" w:lineRule="auto"/>
        <w:jc w:val="both"/>
        <w:rPr>
          <w:rtl/>
        </w:rPr>
      </w:pPr>
      <w:r>
        <w:rPr>
          <w:rFonts w:hint="cs"/>
          <w:rtl/>
        </w:rPr>
        <w:t>בתאריך 13.2.19 החזיק הנאשם בביתו בלוד באקדח "גלוק" גנוב ובמחסנית מלאה כדורי 9 מ"מ, בנסיבות המתוארות.</w:t>
      </w:r>
    </w:p>
    <w:p w14:paraId="7B877CA2" w14:textId="77777777" w:rsidR="009A339E" w:rsidRDefault="009A339E" w:rsidP="009A339E">
      <w:pPr>
        <w:spacing w:line="360" w:lineRule="auto"/>
        <w:jc w:val="both"/>
        <w:rPr>
          <w:rtl/>
        </w:rPr>
      </w:pPr>
      <w:bookmarkStart w:id="7" w:name="ABSTRACT_END"/>
      <w:bookmarkEnd w:id="7"/>
    </w:p>
    <w:p w14:paraId="17C55455" w14:textId="77777777" w:rsidR="009A339E" w:rsidRPr="003A55BA" w:rsidRDefault="009A339E" w:rsidP="009A339E">
      <w:pPr>
        <w:spacing w:line="360" w:lineRule="auto"/>
        <w:jc w:val="both"/>
        <w:rPr>
          <w:rtl/>
        </w:rPr>
      </w:pPr>
      <w:r>
        <w:rPr>
          <w:rFonts w:hint="cs"/>
          <w:rtl/>
        </w:rPr>
        <w:lastRenderedPageBreak/>
        <w:t>אפנה לתמונות האקדח והמחסני</w:t>
      </w:r>
      <w:r>
        <w:rPr>
          <w:rFonts w:hint="eastAsia"/>
          <w:rtl/>
        </w:rPr>
        <w:t>ת</w:t>
      </w:r>
      <w:r>
        <w:rPr>
          <w:rFonts w:hint="cs"/>
          <w:rtl/>
        </w:rPr>
        <w:t xml:space="preserve"> כפי שנמצאו (במ/1).</w:t>
      </w:r>
    </w:p>
    <w:p w14:paraId="0840EF90" w14:textId="77777777" w:rsidR="009A339E" w:rsidRDefault="009A339E" w:rsidP="009A339E">
      <w:pPr>
        <w:spacing w:line="360" w:lineRule="auto"/>
        <w:jc w:val="both"/>
        <w:rPr>
          <w:b/>
          <w:bCs/>
          <w:u w:val="single"/>
          <w:rtl/>
        </w:rPr>
      </w:pPr>
    </w:p>
    <w:p w14:paraId="3E332102" w14:textId="77777777" w:rsidR="009A339E" w:rsidRDefault="009A339E" w:rsidP="009A339E">
      <w:pPr>
        <w:spacing w:line="360" w:lineRule="auto"/>
        <w:jc w:val="both"/>
        <w:rPr>
          <w:b/>
          <w:bCs/>
          <w:u w:val="single"/>
          <w:rtl/>
        </w:rPr>
      </w:pPr>
      <w:r>
        <w:rPr>
          <w:rFonts w:hint="cs"/>
          <w:b/>
          <w:bCs/>
          <w:u w:val="single"/>
          <w:rtl/>
        </w:rPr>
        <w:t>ב. מתחם ענישה:</w:t>
      </w:r>
    </w:p>
    <w:p w14:paraId="4A861E52" w14:textId="77777777" w:rsidR="009A339E" w:rsidRDefault="009A339E" w:rsidP="009A339E">
      <w:pPr>
        <w:spacing w:line="360" w:lineRule="auto"/>
        <w:jc w:val="both"/>
        <w:rPr>
          <w:b/>
          <w:bCs/>
          <w:u w:val="single"/>
          <w:rtl/>
        </w:rPr>
      </w:pPr>
    </w:p>
    <w:p w14:paraId="16460C67" w14:textId="77777777" w:rsidR="009A339E" w:rsidRDefault="009A339E" w:rsidP="009A339E">
      <w:pPr>
        <w:spacing w:line="360" w:lineRule="auto"/>
        <w:jc w:val="both"/>
        <w:rPr>
          <w:rFonts w:ascii="Arial" w:hAnsi="Arial"/>
        </w:rPr>
      </w:pPr>
      <w:r>
        <w:rPr>
          <w:rFonts w:ascii="Arial" w:hAnsi="Arial"/>
          <w:b/>
          <w:bCs/>
          <w:rtl/>
        </w:rPr>
        <w:t>התכלית העומדות אחר עבירת הנשק בה פשע הנאשם</w:t>
      </w:r>
      <w:r>
        <w:rPr>
          <w:rFonts w:ascii="Arial" w:hAnsi="Arial"/>
          <w:rtl/>
        </w:rPr>
        <w:t xml:space="preserve"> היא מניעת הפגיעה הפוטנציאלית לשלומו של הציבור, הקיימת מהחזקתו של אמצעי לחימה בלתי חוקי.</w:t>
      </w:r>
    </w:p>
    <w:p w14:paraId="18569261" w14:textId="77777777" w:rsidR="009A339E" w:rsidRDefault="009A339E" w:rsidP="009A339E">
      <w:pPr>
        <w:spacing w:line="360" w:lineRule="auto"/>
        <w:jc w:val="both"/>
        <w:rPr>
          <w:rFonts w:ascii="Arial" w:hAnsi="Arial"/>
          <w:rtl/>
        </w:rPr>
      </w:pPr>
    </w:p>
    <w:p w14:paraId="4C3A473D" w14:textId="77777777" w:rsidR="009A339E" w:rsidRDefault="009A339E" w:rsidP="009A339E">
      <w:pPr>
        <w:spacing w:line="360" w:lineRule="auto"/>
        <w:jc w:val="both"/>
        <w:rPr>
          <w:rFonts w:ascii="Arial" w:hAnsi="Arial"/>
          <w:rtl/>
        </w:rPr>
      </w:pPr>
      <w:r>
        <w:rPr>
          <w:rFonts w:ascii="Arial" w:hAnsi="Arial" w:hint="cs"/>
          <w:rtl/>
        </w:rPr>
        <w:t xml:space="preserve">נוכח </w:t>
      </w:r>
      <w:r>
        <w:rPr>
          <w:rFonts w:ascii="Arial" w:hAnsi="Arial"/>
          <w:rtl/>
        </w:rPr>
        <w:t xml:space="preserve"> עקרון ההלימה, </w:t>
      </w:r>
      <w:r>
        <w:rPr>
          <w:rFonts w:ascii="Arial" w:hAnsi="Arial" w:hint="cs"/>
          <w:rtl/>
        </w:rPr>
        <w:t>ופסיקה הנוהגת בתחום, אני קובע ש</w:t>
      </w:r>
      <w:r>
        <w:rPr>
          <w:rFonts w:ascii="Arial" w:hAnsi="Arial"/>
          <w:rtl/>
        </w:rPr>
        <w:t>מתחם הענישה ביחס לאירוע זה, לנסיבותיו, כאשר מדובר באקדח גנוב, אשר הוחזק בבית עם מחסנית, ובה כדורים נע בין 8 חודשי מאסר עד 18 חודשי מאסר בפועל.</w:t>
      </w:r>
    </w:p>
    <w:p w14:paraId="72CBCB3F" w14:textId="77777777" w:rsidR="009A339E" w:rsidRDefault="009A339E" w:rsidP="009A339E">
      <w:pPr>
        <w:spacing w:line="360" w:lineRule="auto"/>
        <w:jc w:val="both"/>
        <w:rPr>
          <w:rFonts w:ascii="Arial" w:hAnsi="Arial"/>
          <w:b/>
          <w:bCs/>
          <w:noProof/>
        </w:rPr>
      </w:pPr>
    </w:p>
    <w:p w14:paraId="0F4112CC" w14:textId="77777777" w:rsidR="009A339E" w:rsidRDefault="009A339E" w:rsidP="009A339E">
      <w:pPr>
        <w:spacing w:line="360" w:lineRule="auto"/>
        <w:jc w:val="both"/>
        <w:rPr>
          <w:rFonts w:ascii="Arial" w:hAnsi="Arial"/>
          <w:b/>
          <w:bCs/>
          <w:rtl/>
        </w:rPr>
      </w:pPr>
      <w:r>
        <w:rPr>
          <w:rFonts w:ascii="Arial" w:hAnsi="Arial"/>
          <w:b/>
          <w:bCs/>
          <w:rtl/>
        </w:rPr>
        <w:t>אפנה אל פסקי הדין הבאים הנוגעים למתחמי ענישה בעבירת החזקת אקדח ותחמושת:</w:t>
      </w:r>
    </w:p>
    <w:p w14:paraId="4E7AC698" w14:textId="77777777" w:rsidR="009A339E" w:rsidRDefault="009A339E" w:rsidP="009A339E">
      <w:pPr>
        <w:spacing w:line="360" w:lineRule="auto"/>
        <w:jc w:val="both"/>
        <w:rPr>
          <w:rFonts w:ascii="Arial" w:hAnsi="Arial"/>
          <w:noProof/>
        </w:rPr>
      </w:pPr>
    </w:p>
    <w:p w14:paraId="57218EAF" w14:textId="77777777" w:rsidR="009A339E" w:rsidRDefault="00D712B3" w:rsidP="009A339E">
      <w:pPr>
        <w:spacing w:line="360" w:lineRule="auto"/>
        <w:jc w:val="both"/>
        <w:rPr>
          <w:rFonts w:ascii="Arial" w:hAnsi="Arial"/>
        </w:rPr>
      </w:pPr>
      <w:hyperlink r:id="rId12" w:history="1">
        <w:r w:rsidRPr="00D712B3">
          <w:rPr>
            <w:rFonts w:ascii="Arial" w:hAnsi="Arial"/>
            <w:color w:val="0000FF"/>
            <w:u w:val="single"/>
            <w:rtl/>
          </w:rPr>
          <w:t>עפ"ג 14363-08-18</w:t>
        </w:r>
      </w:hyperlink>
      <w:r w:rsidR="009A339E">
        <w:rPr>
          <w:rFonts w:ascii="Arial" w:hAnsi="Arial"/>
          <w:rtl/>
        </w:rPr>
        <w:t xml:space="preserve"> (מחוזי מרכז) (הרכב בראשית כב' השופטת ורדה מרוז, סגנית הנשיאה) </w:t>
      </w:r>
      <w:r w:rsidR="009A339E">
        <w:rPr>
          <w:rFonts w:ascii="Arial" w:hAnsi="Arial"/>
          <w:b/>
          <w:bCs/>
          <w:rtl/>
        </w:rPr>
        <w:t xml:space="preserve">מדינת ישראל נגד ע'אנם </w:t>
      </w:r>
      <w:r w:rsidR="009A339E">
        <w:rPr>
          <w:rFonts w:ascii="Arial" w:hAnsi="Arial"/>
          <w:rtl/>
        </w:rPr>
        <w:t>(9.10.18): נקבע מתחם שבין 8 – 18 חודשי מאסר למי שהחזיק בביתו אקדח גנוב טעון במחסנית ובה כדורים, ובין השאר שיבש את מהלכי החקירה והוראה להשליך את האקדח, אך בית המשפט המחוזי הנכבד קבע: "</w:t>
      </w:r>
      <w:r w:rsidR="009A339E">
        <w:rPr>
          <w:rFonts w:ascii="Arial" w:hAnsi="Arial"/>
          <w:b/>
          <w:bCs/>
          <w:rtl/>
        </w:rPr>
        <w:t xml:space="preserve">מתחם הענישה לעבירה של החזקת נשק שלא כחוק </w:t>
      </w:r>
      <w:r w:rsidR="009A339E">
        <w:rPr>
          <w:rFonts w:ascii="Arial" w:hAnsi="Arial"/>
          <w:b/>
          <w:bCs/>
          <w:u w:val="single"/>
          <w:rtl/>
        </w:rPr>
        <w:t>בעודו טעון</w:t>
      </w:r>
      <w:r w:rsidR="009A339E">
        <w:rPr>
          <w:rFonts w:ascii="Arial" w:hAnsi="Arial"/>
          <w:b/>
          <w:bCs/>
          <w:rtl/>
        </w:rPr>
        <w:t xml:space="preserve">, כאשר ברקע ידוע כי מדובר </w:t>
      </w:r>
      <w:r w:rsidR="009A339E">
        <w:rPr>
          <w:rFonts w:ascii="Arial" w:hAnsi="Arial"/>
          <w:b/>
          <w:bCs/>
          <w:u w:val="single"/>
          <w:rtl/>
        </w:rPr>
        <w:t>בנשק גנוב</w:t>
      </w:r>
      <w:r w:rsidR="009A339E">
        <w:rPr>
          <w:rFonts w:ascii="Arial" w:hAnsi="Arial"/>
          <w:b/>
          <w:bCs/>
          <w:rtl/>
        </w:rPr>
        <w:t>, הוא בין 8 – 18 חודשי מאסר..."</w:t>
      </w:r>
      <w:r w:rsidR="009A339E">
        <w:rPr>
          <w:rFonts w:ascii="Arial" w:hAnsi="Arial"/>
          <w:rtl/>
        </w:rPr>
        <w:t>, נגזרו 8 חודשי מאסר בפועל, במקום 6 חודשי מאסר בדרך של ע"ש, על צעיר, נעדר עבר פלילי, בעל תסקיר חיובי.</w:t>
      </w:r>
    </w:p>
    <w:p w14:paraId="3D6BA4C5" w14:textId="77777777" w:rsidR="009A339E" w:rsidRDefault="009A339E" w:rsidP="009A339E">
      <w:pPr>
        <w:spacing w:line="360" w:lineRule="auto"/>
        <w:jc w:val="both"/>
        <w:rPr>
          <w:rFonts w:ascii="Arial" w:hAnsi="Arial"/>
          <w:rtl/>
        </w:rPr>
      </w:pPr>
    </w:p>
    <w:p w14:paraId="659CE132" w14:textId="77777777" w:rsidR="009A339E" w:rsidRDefault="00D712B3" w:rsidP="009A339E">
      <w:pPr>
        <w:spacing w:line="360" w:lineRule="auto"/>
        <w:jc w:val="both"/>
        <w:rPr>
          <w:rFonts w:ascii="Arial" w:hAnsi="Arial"/>
          <w:rtl/>
        </w:rPr>
      </w:pPr>
      <w:hyperlink r:id="rId13" w:history="1">
        <w:r w:rsidRPr="00D712B3">
          <w:rPr>
            <w:rFonts w:ascii="Arial" w:hAnsi="Arial"/>
            <w:color w:val="0000FF"/>
            <w:u w:val="single"/>
            <w:rtl/>
          </w:rPr>
          <w:t>עפ"ג 24956-04-19</w:t>
        </w:r>
      </w:hyperlink>
      <w:r w:rsidR="009A339E">
        <w:rPr>
          <w:rFonts w:ascii="Arial" w:hAnsi="Arial"/>
          <w:rtl/>
        </w:rPr>
        <w:t xml:space="preserve"> (מחוזי מרכז)(הרכב בראשות השופט שמואל בורנשטיין) </w:t>
      </w:r>
      <w:r w:rsidR="009A339E">
        <w:rPr>
          <w:rFonts w:ascii="Arial" w:hAnsi="Arial"/>
          <w:b/>
          <w:bCs/>
          <w:rtl/>
        </w:rPr>
        <w:t>מדינת ישראל נגד סילמי</w:t>
      </w:r>
      <w:r w:rsidR="009A339E">
        <w:rPr>
          <w:rFonts w:ascii="Arial" w:hAnsi="Arial"/>
          <w:rtl/>
        </w:rPr>
        <w:t xml:space="preserve"> (2.7.19): החזקת  </w:t>
      </w:r>
      <w:r w:rsidR="009A339E">
        <w:rPr>
          <w:rFonts w:ascii="Arial" w:hAnsi="Arial"/>
          <w:b/>
          <w:bCs/>
          <w:rtl/>
        </w:rPr>
        <w:t>שלושה אקדחים</w:t>
      </w:r>
      <w:r w:rsidR="009A339E">
        <w:rPr>
          <w:rFonts w:ascii="Arial" w:hAnsi="Arial"/>
          <w:rtl/>
        </w:rPr>
        <w:t>, שתי מחסניות, צעיר, נעדר עבר פלילי, תסקיר חיובי נדון ל – 16 חודשי מאסר בפועל.</w:t>
      </w:r>
    </w:p>
    <w:p w14:paraId="4E782DE1" w14:textId="77777777" w:rsidR="009A339E" w:rsidRDefault="009A339E" w:rsidP="009A339E">
      <w:pPr>
        <w:spacing w:line="360" w:lineRule="auto"/>
        <w:jc w:val="both"/>
        <w:rPr>
          <w:rFonts w:ascii="Arial" w:hAnsi="Arial"/>
          <w:rtl/>
        </w:rPr>
      </w:pPr>
    </w:p>
    <w:p w14:paraId="7384EE19" w14:textId="77777777" w:rsidR="009A339E" w:rsidRDefault="00D712B3" w:rsidP="009A339E">
      <w:pPr>
        <w:spacing w:line="360" w:lineRule="auto"/>
        <w:jc w:val="both"/>
        <w:rPr>
          <w:rFonts w:ascii="Arial" w:hAnsi="Arial"/>
          <w:rtl/>
        </w:rPr>
      </w:pPr>
      <w:hyperlink r:id="rId14" w:history="1">
        <w:r w:rsidRPr="00D712B3">
          <w:rPr>
            <w:rFonts w:ascii="Arial" w:hAnsi="Arial"/>
            <w:color w:val="0000FF"/>
            <w:u w:val="single"/>
            <w:rtl/>
          </w:rPr>
          <w:t>עפ"ג 20562-08-18</w:t>
        </w:r>
      </w:hyperlink>
      <w:r w:rsidR="009A339E">
        <w:rPr>
          <w:rFonts w:ascii="Arial" w:hAnsi="Arial"/>
          <w:rtl/>
        </w:rPr>
        <w:t xml:space="preserve"> (מחוזי מרכז)(הרכב בראשות כב' השופטת ורדה מרוז – סגנית הנשיאה) </w:t>
      </w:r>
      <w:r w:rsidR="009A339E">
        <w:rPr>
          <w:rFonts w:ascii="Arial" w:hAnsi="Arial"/>
          <w:b/>
          <w:bCs/>
          <w:rtl/>
        </w:rPr>
        <w:t xml:space="preserve">מדינת ישראל נגד בהא לבן </w:t>
      </w:r>
      <w:r w:rsidR="009A339E">
        <w:rPr>
          <w:rFonts w:ascii="Arial" w:hAnsi="Arial"/>
          <w:rtl/>
        </w:rPr>
        <w:t>(20.11.18): 6 חודשי מאסר בעבודות שירות למי אשר החזיק בביתו אקדח, מחסנית 32 כדורים, נעדר עבר פלילי, בעל תסקיר חיובי, הודה, היה נתון חודש במעצר ממש, בבית משפט השלום נקבע מתחם שבין 6 – 20 חודשי מאסר בפועל, בית המשפט המחוזי לא קבע קביעה שונה ביחס למתחם, הגם שהחמיר בענישה בדרך של הטלת קנס בסך 3,000 ₪.</w:t>
      </w:r>
    </w:p>
    <w:p w14:paraId="4DAF1B5C" w14:textId="77777777" w:rsidR="009A339E" w:rsidRDefault="009A339E" w:rsidP="009A339E">
      <w:pPr>
        <w:spacing w:line="360" w:lineRule="auto"/>
        <w:jc w:val="both"/>
        <w:rPr>
          <w:rFonts w:ascii="Arial" w:hAnsi="Arial"/>
          <w:rtl/>
        </w:rPr>
      </w:pPr>
    </w:p>
    <w:p w14:paraId="51B97003" w14:textId="77777777" w:rsidR="009A339E" w:rsidRDefault="00D712B3" w:rsidP="009A339E">
      <w:pPr>
        <w:spacing w:line="360" w:lineRule="auto"/>
        <w:jc w:val="both"/>
        <w:rPr>
          <w:rFonts w:ascii="Arial" w:hAnsi="Arial"/>
          <w:rtl/>
        </w:rPr>
      </w:pPr>
      <w:hyperlink r:id="rId15" w:history="1">
        <w:r w:rsidRPr="00D712B3">
          <w:rPr>
            <w:rFonts w:ascii="Arial" w:hAnsi="Arial"/>
            <w:color w:val="0000FF"/>
            <w:u w:val="single"/>
            <w:rtl/>
          </w:rPr>
          <w:t>עפ"ג 23661-07-18</w:t>
        </w:r>
      </w:hyperlink>
      <w:r w:rsidR="009A339E">
        <w:rPr>
          <w:rFonts w:ascii="Arial" w:hAnsi="Arial"/>
          <w:rtl/>
        </w:rPr>
        <w:t xml:space="preserve"> (מחוזי מרכז)(הרכב בראשות כב' השופטת דנה מרשק מרום) </w:t>
      </w:r>
      <w:r w:rsidR="009A339E">
        <w:rPr>
          <w:rFonts w:ascii="Arial" w:hAnsi="Arial"/>
          <w:b/>
          <w:bCs/>
          <w:rtl/>
        </w:rPr>
        <w:t xml:space="preserve">מדינת ישראל נגד מרשה </w:t>
      </w:r>
      <w:r w:rsidR="009A339E">
        <w:rPr>
          <w:rFonts w:ascii="Arial" w:hAnsi="Arial"/>
          <w:rtl/>
        </w:rPr>
        <w:t xml:space="preserve">(25.11.18): נקבע מתחם המתחיל מ – 8 חודשי מאסר בפועל, והעמיד את עונשו של מי שהחזיק אקדח </w:t>
      </w:r>
      <w:r w:rsidR="009A339E">
        <w:rPr>
          <w:rFonts w:ascii="Arial" w:hAnsi="Arial"/>
          <w:b/>
          <w:bCs/>
          <w:rtl/>
        </w:rPr>
        <w:t>גנוב</w:t>
      </w:r>
      <w:r w:rsidR="009A339E">
        <w:rPr>
          <w:rFonts w:ascii="Arial" w:hAnsi="Arial"/>
          <w:rtl/>
        </w:rPr>
        <w:t>, מחזנית וכדורים מוסלקים, נעדר עבר פלילי, תסקיר חיובי, היה עצור 19 ימים, על שמונה חודשי מאסר בפועל, חלף 6 חודשי מאסר בדרך של עבודות שירות, בניכוי תקופת מעצרו.</w:t>
      </w:r>
    </w:p>
    <w:p w14:paraId="520B09E4" w14:textId="77777777" w:rsidR="009A339E" w:rsidRDefault="009A339E" w:rsidP="009A339E">
      <w:pPr>
        <w:spacing w:line="360" w:lineRule="auto"/>
        <w:jc w:val="both"/>
        <w:rPr>
          <w:rFonts w:ascii="Arial" w:hAnsi="Arial"/>
          <w:rtl/>
        </w:rPr>
      </w:pPr>
    </w:p>
    <w:p w14:paraId="0C8751C3" w14:textId="77777777" w:rsidR="009A339E" w:rsidRDefault="009A339E" w:rsidP="009A339E">
      <w:pPr>
        <w:spacing w:line="360" w:lineRule="auto"/>
        <w:jc w:val="both"/>
        <w:rPr>
          <w:rFonts w:ascii="Arial" w:hAnsi="Arial"/>
          <w:rtl/>
        </w:rPr>
      </w:pPr>
      <w:r>
        <w:rPr>
          <w:rFonts w:ascii="Arial" w:hAnsi="Arial" w:hint="cs"/>
          <w:rtl/>
        </w:rPr>
        <w:lastRenderedPageBreak/>
        <w:t xml:space="preserve">המאשימה הגישה את </w:t>
      </w:r>
      <w:hyperlink r:id="rId16" w:history="1">
        <w:r w:rsidR="00D712B3" w:rsidRPr="00D712B3">
          <w:rPr>
            <w:rFonts w:ascii="Arial" w:hAnsi="Arial"/>
            <w:color w:val="0000FF"/>
            <w:u w:val="single"/>
            <w:rtl/>
          </w:rPr>
          <w:t>עפ"ג 27108-01-16</w:t>
        </w:r>
      </w:hyperlink>
      <w:r>
        <w:rPr>
          <w:rFonts w:ascii="Arial" w:hAnsi="Arial" w:hint="cs"/>
          <w:rtl/>
        </w:rPr>
        <w:t xml:space="preserve"> (מחוזי מרכז)(הרכב בראשות הנשיא טל) </w:t>
      </w:r>
      <w:r>
        <w:rPr>
          <w:rFonts w:ascii="Arial" w:hAnsi="Arial" w:hint="cs"/>
          <w:b/>
          <w:bCs/>
          <w:rtl/>
        </w:rPr>
        <w:t xml:space="preserve"> </w:t>
      </w:r>
      <w:r>
        <w:rPr>
          <w:rFonts w:ascii="Arial" w:hAnsi="Arial" w:hint="cs"/>
          <w:rtl/>
        </w:rPr>
        <w:t>ש</w:t>
      </w:r>
      <w:r w:rsidRPr="001F55A8">
        <w:rPr>
          <w:rFonts w:ascii="Arial" w:hAnsi="Arial" w:hint="cs"/>
          <w:rtl/>
        </w:rPr>
        <w:t>אושר</w:t>
      </w:r>
      <w:r>
        <w:rPr>
          <w:rFonts w:ascii="Arial" w:hAnsi="Arial" w:hint="cs"/>
          <w:b/>
          <w:bCs/>
          <w:rtl/>
        </w:rPr>
        <w:t xml:space="preserve"> </w:t>
      </w:r>
      <w:r>
        <w:rPr>
          <w:rFonts w:ascii="Arial" w:hAnsi="Arial" w:hint="cs"/>
          <w:rtl/>
        </w:rPr>
        <w:t>ב</w:t>
      </w:r>
      <w:hyperlink r:id="rId17" w:history="1">
        <w:r w:rsidR="00D712B3" w:rsidRPr="00D712B3">
          <w:rPr>
            <w:rFonts w:ascii="Arial" w:hAnsi="Arial"/>
            <w:color w:val="0000FF"/>
            <w:u w:val="single"/>
            <w:rtl/>
          </w:rPr>
          <w:t>רע"פ 4559/16</w:t>
        </w:r>
      </w:hyperlink>
      <w:r>
        <w:rPr>
          <w:rFonts w:ascii="Arial" w:hAnsi="Arial" w:hint="cs"/>
          <w:rtl/>
        </w:rPr>
        <w:t xml:space="preserve"> </w:t>
      </w:r>
      <w:r>
        <w:rPr>
          <w:rFonts w:ascii="Arial" w:hAnsi="Arial" w:hint="cs"/>
          <w:b/>
          <w:bCs/>
          <w:rtl/>
        </w:rPr>
        <w:t xml:space="preserve">נוסיראת נגד מדינת ישראל </w:t>
      </w:r>
      <w:r>
        <w:rPr>
          <w:rFonts w:ascii="Arial" w:hAnsi="Arial" w:hint="cs"/>
          <w:rtl/>
        </w:rPr>
        <w:t xml:space="preserve">22.6.16), בעניינו של נאשם אשר החזיק  בביתו רובה מסוג קרל גוסטב ומחסנית תואמת (הפרט מתקבל מעיון בגדר דינו של בית-משפט השלום) נעדר עבר פלילי, נורמטיבי, תסקיר שלא בא בהמלצה שיקומית, אשר נדון ל </w:t>
      </w:r>
      <w:r>
        <w:rPr>
          <w:rFonts w:ascii="Arial" w:hAnsi="Arial"/>
          <w:rtl/>
        </w:rPr>
        <w:t>–</w:t>
      </w:r>
      <w:r>
        <w:rPr>
          <w:rFonts w:ascii="Arial" w:hAnsi="Arial" w:hint="cs"/>
          <w:rtl/>
        </w:rPr>
        <w:t xml:space="preserve"> </w:t>
      </w:r>
      <w:r>
        <w:rPr>
          <w:rFonts w:ascii="Arial" w:hAnsi="Arial" w:hint="cs"/>
          <w:b/>
          <w:bCs/>
          <w:rtl/>
        </w:rPr>
        <w:t>9 חודשי מאסר בפועל</w:t>
      </w:r>
      <w:r>
        <w:rPr>
          <w:rFonts w:ascii="Arial" w:hAnsi="Arial" w:hint="cs"/>
          <w:rtl/>
        </w:rPr>
        <w:t>.</w:t>
      </w:r>
    </w:p>
    <w:p w14:paraId="3E5868D3" w14:textId="77777777" w:rsidR="009A339E" w:rsidRDefault="009A339E" w:rsidP="009A339E">
      <w:pPr>
        <w:spacing w:line="360" w:lineRule="auto"/>
        <w:jc w:val="both"/>
        <w:rPr>
          <w:rFonts w:ascii="Arial" w:hAnsi="Arial"/>
          <w:rtl/>
        </w:rPr>
      </w:pPr>
    </w:p>
    <w:p w14:paraId="60BA4F53" w14:textId="77777777" w:rsidR="009A339E" w:rsidRDefault="009A339E" w:rsidP="009A339E">
      <w:pPr>
        <w:spacing w:line="360" w:lineRule="auto"/>
        <w:jc w:val="both"/>
        <w:rPr>
          <w:rFonts w:ascii="Arial" w:hAnsi="Arial"/>
          <w:rtl/>
        </w:rPr>
      </w:pPr>
      <w:r>
        <w:rPr>
          <w:rFonts w:ascii="Arial" w:hAnsi="Arial" w:hint="cs"/>
          <w:rtl/>
        </w:rPr>
        <w:t xml:space="preserve">המאשימה הגישה את </w:t>
      </w:r>
      <w:hyperlink r:id="rId18" w:history="1">
        <w:r w:rsidR="00D712B3" w:rsidRPr="00D712B3">
          <w:rPr>
            <w:rFonts w:ascii="Arial" w:hAnsi="Arial"/>
            <w:color w:val="0000FF"/>
            <w:u w:val="single"/>
            <w:rtl/>
          </w:rPr>
          <w:t>עפ"ג (מחוזי חיפה) 24796-06-20</w:t>
        </w:r>
      </w:hyperlink>
      <w:r>
        <w:rPr>
          <w:rFonts w:ascii="Arial" w:hAnsi="Arial" w:hint="cs"/>
          <w:rtl/>
        </w:rPr>
        <w:t xml:space="preserve"> </w:t>
      </w:r>
      <w:r>
        <w:rPr>
          <w:rFonts w:ascii="Arial" w:hAnsi="Arial" w:hint="cs"/>
          <w:b/>
          <w:bCs/>
          <w:rtl/>
        </w:rPr>
        <w:t xml:space="preserve">חג'אזי נגד מדינת ישראל </w:t>
      </w:r>
      <w:r>
        <w:rPr>
          <w:rFonts w:ascii="Arial" w:hAnsi="Arial" w:hint="cs"/>
          <w:rtl/>
        </w:rPr>
        <w:t xml:space="preserve">(9.7.20): בעניינו של נאשם שנדון ל </w:t>
      </w:r>
      <w:r>
        <w:rPr>
          <w:rFonts w:ascii="Arial" w:hAnsi="Arial"/>
          <w:rtl/>
        </w:rPr>
        <w:t>–</w:t>
      </w:r>
      <w:r>
        <w:rPr>
          <w:rFonts w:ascii="Arial" w:hAnsi="Arial" w:hint="cs"/>
          <w:rtl/>
        </w:rPr>
        <w:t xml:space="preserve"> </w:t>
      </w:r>
      <w:r w:rsidRPr="006B3025">
        <w:rPr>
          <w:rFonts w:ascii="Arial" w:hAnsi="Arial" w:hint="cs"/>
          <w:b/>
          <w:bCs/>
          <w:rtl/>
        </w:rPr>
        <w:t>15 חודשי מאסר בפועל</w:t>
      </w:r>
      <w:r>
        <w:rPr>
          <w:rFonts w:ascii="Arial" w:hAnsi="Arial" w:hint="cs"/>
          <w:rtl/>
        </w:rPr>
        <w:t>, ואולם, במקרה החזיק הנאשם את האקדח בתוכו מחסנית טעונה,  בין רגליו, כשהוא יושב בתוך חוות סוסים.</w:t>
      </w:r>
    </w:p>
    <w:p w14:paraId="668219D6" w14:textId="77777777" w:rsidR="009A339E" w:rsidRDefault="009A339E" w:rsidP="009A339E">
      <w:pPr>
        <w:spacing w:line="360" w:lineRule="auto"/>
        <w:jc w:val="both"/>
        <w:rPr>
          <w:rFonts w:ascii="Arial" w:hAnsi="Arial"/>
          <w:rtl/>
        </w:rPr>
      </w:pPr>
    </w:p>
    <w:p w14:paraId="28261C28" w14:textId="77777777" w:rsidR="009A339E" w:rsidRDefault="009A339E" w:rsidP="009A339E">
      <w:pPr>
        <w:spacing w:line="360" w:lineRule="auto"/>
        <w:jc w:val="both"/>
        <w:rPr>
          <w:rFonts w:ascii="Arial" w:hAnsi="Arial"/>
          <w:rtl/>
        </w:rPr>
      </w:pPr>
      <w:r>
        <w:rPr>
          <w:rFonts w:ascii="Arial" w:hAnsi="Arial" w:hint="cs"/>
          <w:rtl/>
        </w:rPr>
        <w:t xml:space="preserve">עוד הגישה את </w:t>
      </w:r>
      <w:hyperlink r:id="rId19" w:history="1">
        <w:r w:rsidR="00D712B3" w:rsidRPr="00D712B3">
          <w:rPr>
            <w:rFonts w:ascii="Arial" w:hAnsi="Arial"/>
            <w:color w:val="0000FF"/>
            <w:u w:val="single"/>
            <w:rtl/>
          </w:rPr>
          <w:t>עפ"ג 52602-12-19</w:t>
        </w:r>
      </w:hyperlink>
      <w:r>
        <w:rPr>
          <w:rFonts w:ascii="Arial" w:hAnsi="Arial" w:hint="cs"/>
          <w:rtl/>
        </w:rPr>
        <w:t xml:space="preserve"> (מחוזי חיפה) 52602-12-19 </w:t>
      </w:r>
      <w:r>
        <w:rPr>
          <w:rFonts w:ascii="Arial" w:hAnsi="Arial" w:hint="cs"/>
          <w:b/>
          <w:bCs/>
          <w:rtl/>
        </w:rPr>
        <w:t xml:space="preserve">מדינת ישראל נגד ריזק </w:t>
      </w:r>
      <w:r>
        <w:rPr>
          <w:rFonts w:ascii="Arial" w:hAnsi="Arial" w:hint="cs"/>
          <w:rtl/>
        </w:rPr>
        <w:t xml:space="preserve">(27.1.20) בעניינו של נאשם, אשר נדון ל </w:t>
      </w:r>
      <w:r>
        <w:rPr>
          <w:rFonts w:ascii="Arial" w:hAnsi="Arial"/>
          <w:rtl/>
        </w:rPr>
        <w:t>–</w:t>
      </w:r>
      <w:r>
        <w:rPr>
          <w:rFonts w:ascii="Arial" w:hAnsi="Arial" w:hint="cs"/>
          <w:rtl/>
        </w:rPr>
        <w:t xml:space="preserve"> 1</w:t>
      </w:r>
      <w:r w:rsidRPr="006B3025">
        <w:rPr>
          <w:rFonts w:ascii="Arial" w:hAnsi="Arial" w:hint="cs"/>
          <w:b/>
          <w:bCs/>
          <w:rtl/>
        </w:rPr>
        <w:t>0 חודשי מאסר בפועל</w:t>
      </w:r>
      <w:r>
        <w:rPr>
          <w:rFonts w:ascii="Arial" w:hAnsi="Arial" w:hint="cs"/>
          <w:rtl/>
        </w:rPr>
        <w:t>, אשר החזיק בביתו אקדח ומחסנית, אך דווקא שם ציין בית-המשפט המחוזי: "אכן, קיים מנעד רחב של פסיקה בעבירות של החזקת נשק שלא כדין, החל ממקרים בהם הוטל מאסר לריצוי בדרך של עבודות שירות ועד להטלת מאסר בפועל של 12 חודשים, ואף יותר" (פסקה יא).</w:t>
      </w:r>
    </w:p>
    <w:p w14:paraId="5912F635" w14:textId="77777777" w:rsidR="009A339E" w:rsidRDefault="009A339E" w:rsidP="009A339E">
      <w:pPr>
        <w:spacing w:line="360" w:lineRule="auto"/>
        <w:jc w:val="both"/>
        <w:rPr>
          <w:rFonts w:ascii="Arial" w:hAnsi="Arial"/>
          <w:rtl/>
        </w:rPr>
      </w:pPr>
    </w:p>
    <w:p w14:paraId="477C3AA0" w14:textId="77777777" w:rsidR="009A339E" w:rsidRPr="001A39D3" w:rsidRDefault="009A339E" w:rsidP="009A339E">
      <w:pPr>
        <w:spacing w:line="360" w:lineRule="auto"/>
        <w:jc w:val="both"/>
        <w:rPr>
          <w:rFonts w:ascii="Arial" w:hAnsi="Arial"/>
          <w:rtl/>
        </w:rPr>
      </w:pPr>
      <w:r>
        <w:rPr>
          <w:rFonts w:ascii="Arial" w:hAnsi="Arial" w:hint="cs"/>
          <w:rtl/>
        </w:rPr>
        <w:t>יתר פסקי הדין שאותם הגישה המאשימה דנו בעבירות נשק חמורות יותר, או בנסיבות מחמירות, כגון נשיאת למפגש יישוב סכסוכים (</w:t>
      </w:r>
      <w:hyperlink r:id="rId20" w:history="1">
        <w:r w:rsidR="00D712B3" w:rsidRPr="00D712B3">
          <w:rPr>
            <w:rFonts w:ascii="Arial" w:hAnsi="Arial"/>
            <w:color w:val="0000FF"/>
            <w:u w:val="single"/>
            <w:rtl/>
          </w:rPr>
          <w:t>ע"פ 3877/16</w:t>
        </w:r>
      </w:hyperlink>
      <w:r>
        <w:rPr>
          <w:rFonts w:ascii="Arial" w:hAnsi="Arial" w:hint="cs"/>
          <w:rtl/>
        </w:rPr>
        <w:t xml:space="preserve"> </w:t>
      </w:r>
      <w:r w:rsidRPr="006B3025">
        <w:rPr>
          <w:rFonts w:ascii="Arial" w:hAnsi="Arial" w:hint="cs"/>
          <w:b/>
          <w:bCs/>
          <w:rtl/>
        </w:rPr>
        <w:t>ג'באלי נגד מדינת ישראל</w:t>
      </w:r>
      <w:r>
        <w:rPr>
          <w:rFonts w:ascii="Arial" w:hAnsi="Arial" w:hint="cs"/>
          <w:b/>
          <w:bCs/>
          <w:rtl/>
        </w:rPr>
        <w:t xml:space="preserve"> </w:t>
      </w:r>
      <w:r>
        <w:rPr>
          <w:rFonts w:ascii="Arial" w:hAnsi="Arial" w:hint="cs"/>
          <w:rtl/>
        </w:rPr>
        <w:t>-  17.11.16) או החזקת אמל"ח בכמות נכבדה יותר (</w:t>
      </w:r>
      <w:hyperlink r:id="rId21" w:history="1">
        <w:r w:rsidR="00D712B3" w:rsidRPr="00D712B3">
          <w:rPr>
            <w:rFonts w:ascii="Arial" w:hAnsi="Arial"/>
            <w:color w:val="0000FF"/>
            <w:u w:val="single"/>
            <w:rtl/>
          </w:rPr>
          <w:t>עפ"ג 23419-01-17</w:t>
        </w:r>
      </w:hyperlink>
      <w:r>
        <w:rPr>
          <w:rFonts w:ascii="Arial" w:hAnsi="Arial" w:hint="cs"/>
          <w:rtl/>
        </w:rPr>
        <w:t xml:space="preserve"> מחוזי באר שבע </w:t>
      </w:r>
      <w:r>
        <w:rPr>
          <w:rFonts w:ascii="Arial" w:hAnsi="Arial" w:hint="cs"/>
          <w:b/>
          <w:bCs/>
          <w:rtl/>
        </w:rPr>
        <w:t>מדינת ישראל נגד עיד</w:t>
      </w:r>
      <w:r>
        <w:rPr>
          <w:rFonts w:ascii="Arial" w:hAnsi="Arial" w:hint="cs"/>
          <w:rtl/>
        </w:rPr>
        <w:t xml:space="preserve"> 2.3.17), או קיומו של עבר פלילי של בעל תסקיר שלילי (</w:t>
      </w:r>
      <w:hyperlink r:id="rId22" w:history="1">
        <w:r w:rsidR="00D712B3" w:rsidRPr="00D712B3">
          <w:rPr>
            <w:rFonts w:ascii="Arial" w:hAnsi="Arial"/>
            <w:color w:val="0000FF"/>
            <w:u w:val="single"/>
            <w:rtl/>
          </w:rPr>
          <w:t>עפ"ג 37217-03-19</w:t>
        </w:r>
      </w:hyperlink>
      <w:r>
        <w:rPr>
          <w:rFonts w:ascii="Arial" w:hAnsi="Arial" w:hint="cs"/>
          <w:rtl/>
        </w:rPr>
        <w:t xml:space="preserve"> מחוזי נצרת </w:t>
      </w:r>
      <w:r>
        <w:rPr>
          <w:rFonts w:ascii="Arial" w:hAnsi="Arial" w:hint="cs"/>
          <w:b/>
          <w:bCs/>
          <w:rtl/>
        </w:rPr>
        <w:t xml:space="preserve">ג'ואברה נגד מדינת ישראל </w:t>
      </w:r>
      <w:r>
        <w:rPr>
          <w:rFonts w:ascii="Arial" w:hAnsi="Arial" w:hint="cs"/>
          <w:rtl/>
        </w:rPr>
        <w:t>25.11.19) או החזקת הנשק הטעון ברכב מתחת לשטיח, על ידי בעל עבר, בעל תסקיר שלילי (</w:t>
      </w:r>
      <w:hyperlink r:id="rId23" w:history="1">
        <w:r w:rsidR="00D712B3" w:rsidRPr="00D712B3">
          <w:rPr>
            <w:rFonts w:ascii="Arial" w:hAnsi="Arial"/>
            <w:color w:val="0000FF"/>
            <w:u w:val="single"/>
            <w:rtl/>
          </w:rPr>
          <w:t>ע"פ 5646/15</w:t>
        </w:r>
      </w:hyperlink>
      <w:r>
        <w:rPr>
          <w:rFonts w:ascii="Arial" w:hAnsi="Arial" w:hint="cs"/>
          <w:rtl/>
        </w:rPr>
        <w:t xml:space="preserve"> </w:t>
      </w:r>
      <w:r w:rsidRPr="001A39D3">
        <w:rPr>
          <w:rFonts w:ascii="Arial" w:hAnsi="Arial" w:hint="cs"/>
          <w:b/>
          <w:bCs/>
          <w:rtl/>
        </w:rPr>
        <w:t>תיהאווי נגד</w:t>
      </w:r>
      <w:r>
        <w:rPr>
          <w:rFonts w:ascii="Arial" w:hAnsi="Arial" w:hint="cs"/>
          <w:rtl/>
        </w:rPr>
        <w:t xml:space="preserve"> </w:t>
      </w:r>
      <w:r>
        <w:rPr>
          <w:rFonts w:ascii="Arial" w:hAnsi="Arial" w:hint="cs"/>
          <w:b/>
          <w:bCs/>
          <w:rtl/>
        </w:rPr>
        <w:t xml:space="preserve">מדינת ישראל </w:t>
      </w:r>
      <w:r>
        <w:rPr>
          <w:rFonts w:ascii="Arial" w:hAnsi="Arial"/>
          <w:rtl/>
        </w:rPr>
        <w:t>–</w:t>
      </w:r>
      <w:r>
        <w:rPr>
          <w:rFonts w:ascii="Arial" w:hAnsi="Arial" w:hint="cs"/>
          <w:rtl/>
        </w:rPr>
        <w:t xml:space="preserve"> 14.2.16), או החזקת האקדח והמחסנית לאחר שנרכש קודם לכן (</w:t>
      </w:r>
      <w:hyperlink r:id="rId24" w:history="1">
        <w:r w:rsidR="00D712B3" w:rsidRPr="00D712B3">
          <w:rPr>
            <w:rFonts w:ascii="Arial" w:hAnsi="Arial"/>
            <w:color w:val="0000FF"/>
            <w:u w:val="single"/>
            <w:rtl/>
          </w:rPr>
          <w:t>רע"פ 1246/17</w:t>
        </w:r>
      </w:hyperlink>
      <w:r>
        <w:rPr>
          <w:rFonts w:ascii="Arial" w:hAnsi="Arial" w:hint="cs"/>
          <w:rtl/>
        </w:rPr>
        <w:t xml:space="preserve"> </w:t>
      </w:r>
      <w:r>
        <w:rPr>
          <w:rFonts w:ascii="Arial" w:hAnsi="Arial" w:hint="cs"/>
          <w:b/>
          <w:bCs/>
          <w:rtl/>
        </w:rPr>
        <w:t xml:space="preserve">מטר נגד מדינת ישראל </w:t>
      </w:r>
      <w:r>
        <w:rPr>
          <w:rFonts w:ascii="Arial" w:hAnsi="Arial" w:hint="cs"/>
          <w:rtl/>
        </w:rPr>
        <w:t>12.3.17) ועוד כהנה וכהנה.</w:t>
      </w:r>
    </w:p>
    <w:p w14:paraId="03E1F122" w14:textId="77777777" w:rsidR="009A339E" w:rsidRDefault="009A339E" w:rsidP="009A339E">
      <w:pPr>
        <w:spacing w:line="360" w:lineRule="auto"/>
        <w:jc w:val="both"/>
        <w:rPr>
          <w:b/>
          <w:bCs/>
          <w:u w:val="single"/>
          <w:rtl/>
        </w:rPr>
      </w:pPr>
    </w:p>
    <w:p w14:paraId="0DEC5323" w14:textId="77777777" w:rsidR="009A339E" w:rsidRDefault="009A339E" w:rsidP="009A339E">
      <w:pPr>
        <w:spacing w:line="360" w:lineRule="auto"/>
        <w:jc w:val="both"/>
        <w:rPr>
          <w:b/>
          <w:bCs/>
          <w:u w:val="single"/>
          <w:rtl/>
        </w:rPr>
      </w:pPr>
      <w:r>
        <w:rPr>
          <w:rFonts w:hint="cs"/>
          <w:b/>
          <w:bCs/>
          <w:u w:val="single"/>
          <w:rtl/>
        </w:rPr>
        <w:t>ג. שיקולי ענישה:</w:t>
      </w:r>
    </w:p>
    <w:p w14:paraId="3E3E1884" w14:textId="77777777" w:rsidR="009A339E" w:rsidRDefault="009A339E" w:rsidP="009A339E">
      <w:pPr>
        <w:spacing w:line="360" w:lineRule="auto"/>
        <w:jc w:val="both"/>
        <w:rPr>
          <w:b/>
          <w:bCs/>
          <w:u w:val="single"/>
          <w:rtl/>
        </w:rPr>
      </w:pPr>
    </w:p>
    <w:p w14:paraId="6F3F5FA2" w14:textId="77777777" w:rsidR="009A339E" w:rsidRDefault="009A339E" w:rsidP="009A339E">
      <w:pPr>
        <w:spacing w:line="360" w:lineRule="auto"/>
        <w:jc w:val="both"/>
        <w:rPr>
          <w:b/>
          <w:bCs/>
          <w:u w:val="single"/>
          <w:rtl/>
        </w:rPr>
      </w:pPr>
      <w:r>
        <w:rPr>
          <w:rFonts w:hint="cs"/>
          <w:b/>
          <w:bCs/>
          <w:u w:val="single"/>
          <w:rtl/>
        </w:rPr>
        <w:t>(1). חומרת העבירות:</w:t>
      </w:r>
    </w:p>
    <w:p w14:paraId="6D44C854" w14:textId="77777777" w:rsidR="009A339E" w:rsidRDefault="009A339E" w:rsidP="009A339E">
      <w:pPr>
        <w:spacing w:line="360" w:lineRule="auto"/>
        <w:jc w:val="both"/>
        <w:rPr>
          <w:b/>
          <w:bCs/>
          <w:u w:val="single"/>
          <w:rtl/>
        </w:rPr>
      </w:pPr>
    </w:p>
    <w:p w14:paraId="02C62FBD" w14:textId="77777777" w:rsidR="009A339E" w:rsidRDefault="009A339E" w:rsidP="009A339E">
      <w:pPr>
        <w:spacing w:line="360" w:lineRule="auto"/>
        <w:jc w:val="both"/>
        <w:rPr>
          <w:rtl/>
        </w:rPr>
      </w:pPr>
      <w:r>
        <w:rPr>
          <w:rFonts w:hint="cs"/>
          <w:rtl/>
        </w:rPr>
        <w:t>אין מחלוקת כי העבירות שאותן ביצע הנאשם חמורות.</w:t>
      </w:r>
    </w:p>
    <w:p w14:paraId="08220476" w14:textId="77777777" w:rsidR="009A339E" w:rsidRDefault="009A339E" w:rsidP="009A339E">
      <w:pPr>
        <w:spacing w:line="360" w:lineRule="auto"/>
        <w:jc w:val="both"/>
        <w:rPr>
          <w:rtl/>
        </w:rPr>
      </w:pPr>
    </w:p>
    <w:p w14:paraId="1C11C916" w14:textId="77777777" w:rsidR="009A339E" w:rsidRPr="00E0089F" w:rsidRDefault="009A339E" w:rsidP="009A339E">
      <w:pPr>
        <w:spacing w:line="360" w:lineRule="auto"/>
        <w:jc w:val="both"/>
        <w:rPr>
          <w:b/>
          <w:bCs/>
          <w:rtl/>
        </w:rPr>
      </w:pPr>
      <w:r>
        <w:rPr>
          <w:rFonts w:hint="cs"/>
          <w:rtl/>
        </w:rPr>
        <w:t xml:space="preserve">הנאשם </w:t>
      </w:r>
      <w:r w:rsidRPr="00E0089F">
        <w:rPr>
          <w:rFonts w:hint="cs"/>
          <w:b/>
          <w:bCs/>
          <w:rtl/>
        </w:rPr>
        <w:t>החזיק בביתו אקדח, מחסנית וכדורים, שבכוחם לגרום נזק חמור לבריאותו של אדם.</w:t>
      </w:r>
    </w:p>
    <w:p w14:paraId="715C0D86" w14:textId="77777777" w:rsidR="009A339E" w:rsidRDefault="009A339E" w:rsidP="009A339E">
      <w:pPr>
        <w:spacing w:line="360" w:lineRule="auto"/>
        <w:jc w:val="both"/>
        <w:rPr>
          <w:rtl/>
        </w:rPr>
      </w:pPr>
    </w:p>
    <w:p w14:paraId="737FB5A4" w14:textId="77777777" w:rsidR="009A339E" w:rsidRDefault="009A339E" w:rsidP="009A339E">
      <w:pPr>
        <w:spacing w:line="360" w:lineRule="auto"/>
        <w:jc w:val="both"/>
        <w:rPr>
          <w:rtl/>
        </w:rPr>
      </w:pPr>
      <w:r>
        <w:rPr>
          <w:rFonts w:hint="cs"/>
          <w:rtl/>
        </w:rPr>
        <w:t>בית-המשפט העליון קבע ב</w:t>
      </w:r>
      <w:hyperlink r:id="rId25" w:history="1">
        <w:r w:rsidR="00D712B3" w:rsidRPr="00D712B3">
          <w:rPr>
            <w:color w:val="0000FF"/>
            <w:u w:val="single"/>
            <w:rtl/>
          </w:rPr>
          <w:t>ע"פ 4406/19</w:t>
        </w:r>
      </w:hyperlink>
      <w:r>
        <w:rPr>
          <w:rFonts w:hint="cs"/>
          <w:rtl/>
        </w:rPr>
        <w:t xml:space="preserve"> </w:t>
      </w:r>
      <w:r>
        <w:rPr>
          <w:rFonts w:hint="cs"/>
          <w:b/>
          <w:bCs/>
          <w:rtl/>
        </w:rPr>
        <w:t>מדינת ישראל נגד סובח</w:t>
      </w:r>
      <w:r>
        <w:rPr>
          <w:rFonts w:hint="cs"/>
          <w:rtl/>
        </w:rPr>
        <w:t xml:space="preserve"> (5.11.19): </w:t>
      </w:r>
    </w:p>
    <w:p w14:paraId="056842A7" w14:textId="77777777" w:rsidR="009A339E" w:rsidRDefault="009A339E" w:rsidP="009A339E">
      <w:pPr>
        <w:spacing w:line="360" w:lineRule="auto"/>
        <w:jc w:val="both"/>
        <w:rPr>
          <w:rtl/>
        </w:rPr>
      </w:pPr>
    </w:p>
    <w:p w14:paraId="0BD1ADB4" w14:textId="77777777" w:rsidR="009A339E" w:rsidRDefault="009A339E" w:rsidP="009A339E">
      <w:pPr>
        <w:spacing w:line="360" w:lineRule="auto"/>
        <w:jc w:val="both"/>
        <w:rPr>
          <w:rtl/>
        </w:rPr>
      </w:pPr>
      <w:r>
        <w:rPr>
          <w:rFonts w:hint="cs"/>
          <w:rtl/>
        </w:rPr>
        <w:t xml:space="preserve">"השימוש בנשק חם ככלי ליישוב סכסוכים הפך לרעה חולה, וכמעשה של יום ביומו גובה חיי אדם ולעתים אף את חייהם של חפים מפשע אשר כל חטאם היה כי התהלכו באותה עת ברחובה של עיר. בשנים האחרונות אף חלה עליה מתמדת במספר אירועי הירי המדווחים למשטרה...על רקע המציאות אותה אנו חווים למרבה הצער מדי יום, אנו עדים לקריאה ציבורית נרגשת להגברת האכיפה כלפי עבירות נשק </w:t>
      </w:r>
      <w:r>
        <w:rPr>
          <w:rtl/>
        </w:rPr>
        <w:t>–</w:t>
      </w:r>
      <w:r>
        <w:rPr>
          <w:rFonts w:hint="cs"/>
          <w:rtl/>
        </w:rPr>
        <w:t xml:space="preserve"> ולהחמרה במדיניות הענישה הנוהגת. בית משפט זה לא נותר אדיש למו השימוש הגובר בנשק חם והדגיש לא אחת את הצורך בענישה מחמירה ומרתיעה כלפי השימוש בו לשם פתרון סכסוכים...".</w:t>
      </w:r>
    </w:p>
    <w:p w14:paraId="06018C3D" w14:textId="77777777" w:rsidR="009A339E" w:rsidRDefault="009A339E" w:rsidP="009A339E">
      <w:pPr>
        <w:spacing w:line="360" w:lineRule="auto"/>
        <w:jc w:val="both"/>
        <w:rPr>
          <w:rtl/>
        </w:rPr>
      </w:pPr>
    </w:p>
    <w:p w14:paraId="046DBC55" w14:textId="77777777" w:rsidR="009A339E" w:rsidRDefault="009A339E" w:rsidP="009A339E">
      <w:pPr>
        <w:spacing w:line="360" w:lineRule="auto"/>
        <w:jc w:val="both"/>
        <w:rPr>
          <w:rtl/>
        </w:rPr>
      </w:pPr>
      <w:r>
        <w:rPr>
          <w:rFonts w:hint="cs"/>
          <w:rtl/>
        </w:rPr>
        <w:t>איני נדרש לקבלת נתונים סטטיסטיים מאת משטרת ישראל באזור השיפוט עליו אני מופקד, בכדי להגיע למסקנה כי החזקת אמל"ח, גם על-ידי צעירים נעדרי עבר פלילי, הפכה לתופעה רווחת וביושבי כשופט "מוקד פלילי" ניתן לפגוש בכתב-אישום ממן זה באופן תדיר ביותר.</w:t>
      </w:r>
    </w:p>
    <w:p w14:paraId="00DEB6E4" w14:textId="77777777" w:rsidR="009A339E" w:rsidRDefault="009A339E" w:rsidP="009A339E">
      <w:pPr>
        <w:spacing w:line="360" w:lineRule="auto"/>
        <w:jc w:val="both"/>
        <w:rPr>
          <w:rtl/>
        </w:rPr>
      </w:pPr>
    </w:p>
    <w:p w14:paraId="7B1AEA2B" w14:textId="77777777" w:rsidR="009A339E" w:rsidRDefault="009A339E" w:rsidP="009A339E">
      <w:pPr>
        <w:spacing w:line="360" w:lineRule="auto"/>
        <w:jc w:val="both"/>
        <w:rPr>
          <w:rtl/>
        </w:rPr>
      </w:pPr>
      <w:r>
        <w:rPr>
          <w:rFonts w:hint="cs"/>
          <w:rtl/>
        </w:rPr>
        <w:t>מצב דברים זה מחייב לנקוט בענישה של ממש המרתיעה את היחיד ואת הרבים.</w:t>
      </w:r>
    </w:p>
    <w:p w14:paraId="52966D4E" w14:textId="77777777" w:rsidR="009A339E" w:rsidRDefault="009A339E" w:rsidP="009A339E">
      <w:pPr>
        <w:spacing w:line="360" w:lineRule="auto"/>
        <w:jc w:val="both"/>
        <w:rPr>
          <w:rtl/>
        </w:rPr>
      </w:pPr>
    </w:p>
    <w:p w14:paraId="6FEC2E1D" w14:textId="77777777" w:rsidR="009A339E" w:rsidRPr="00E0089F" w:rsidRDefault="009A339E" w:rsidP="009A339E">
      <w:pPr>
        <w:spacing w:line="360" w:lineRule="auto"/>
        <w:jc w:val="both"/>
        <w:rPr>
          <w:b/>
          <w:bCs/>
          <w:u w:val="single"/>
          <w:rtl/>
        </w:rPr>
      </w:pPr>
      <w:r>
        <w:rPr>
          <w:rFonts w:hint="cs"/>
          <w:b/>
          <w:bCs/>
          <w:u w:val="single"/>
          <w:rtl/>
        </w:rPr>
        <w:t>(2). שיקולים לקולא:</w:t>
      </w:r>
    </w:p>
    <w:p w14:paraId="52B1F423" w14:textId="77777777" w:rsidR="009A339E" w:rsidRDefault="009A339E" w:rsidP="009A339E">
      <w:pPr>
        <w:spacing w:line="360" w:lineRule="auto"/>
        <w:jc w:val="both"/>
        <w:rPr>
          <w:rtl/>
        </w:rPr>
      </w:pPr>
    </w:p>
    <w:p w14:paraId="0FEFC83F" w14:textId="77777777" w:rsidR="009A339E" w:rsidRPr="0040036F" w:rsidRDefault="009A339E" w:rsidP="009A339E">
      <w:pPr>
        <w:spacing w:line="360" w:lineRule="auto"/>
        <w:jc w:val="both"/>
        <w:rPr>
          <w:rtl/>
        </w:rPr>
      </w:pPr>
      <w:r>
        <w:rPr>
          <w:rFonts w:hint="cs"/>
          <w:rtl/>
        </w:rPr>
        <w:t>אך יש לזכור, כי מעשה גזירת העונש אינו מהלך המנותק מן העושה העומד בפניי.</w:t>
      </w:r>
    </w:p>
    <w:p w14:paraId="7CE1D114" w14:textId="77777777" w:rsidR="009A339E" w:rsidRDefault="009A339E" w:rsidP="009A339E">
      <w:pPr>
        <w:spacing w:line="360" w:lineRule="auto"/>
        <w:jc w:val="both"/>
        <w:rPr>
          <w:rtl/>
        </w:rPr>
      </w:pPr>
    </w:p>
    <w:p w14:paraId="7E1EF54E" w14:textId="77777777" w:rsidR="009A339E" w:rsidRDefault="009A339E" w:rsidP="009A339E">
      <w:pPr>
        <w:spacing w:line="360" w:lineRule="auto"/>
        <w:jc w:val="both"/>
        <w:rPr>
          <w:rtl/>
        </w:rPr>
      </w:pPr>
      <w:r>
        <w:rPr>
          <w:rFonts w:hint="cs"/>
          <w:rtl/>
        </w:rPr>
        <w:t>הנאשם הודה, לא ניהל משפט, חסך זמן ציבורי.</w:t>
      </w:r>
    </w:p>
    <w:p w14:paraId="04B5BA16" w14:textId="77777777" w:rsidR="009A339E" w:rsidRDefault="009A339E" w:rsidP="009A339E">
      <w:pPr>
        <w:spacing w:line="360" w:lineRule="auto"/>
        <w:jc w:val="both"/>
        <w:rPr>
          <w:rtl/>
        </w:rPr>
      </w:pPr>
    </w:p>
    <w:p w14:paraId="4AB07E23" w14:textId="77777777" w:rsidR="009A339E" w:rsidRDefault="009A339E" w:rsidP="009A339E">
      <w:pPr>
        <w:spacing w:line="360" w:lineRule="auto"/>
        <w:jc w:val="both"/>
        <w:rPr>
          <w:rtl/>
        </w:rPr>
      </w:pPr>
      <w:r>
        <w:rPr>
          <w:rFonts w:hint="cs"/>
          <w:rtl/>
        </w:rPr>
        <w:t xml:space="preserve">הנאשם צעיר, יליד 1990, </w:t>
      </w:r>
      <w:r w:rsidRPr="00E0089F">
        <w:rPr>
          <w:rFonts w:hint="cs"/>
          <w:b/>
          <w:bCs/>
          <w:rtl/>
        </w:rPr>
        <w:t>נעדר הרשעות קודמות</w:t>
      </w:r>
      <w:r>
        <w:rPr>
          <w:rFonts w:hint="cs"/>
          <w:rtl/>
        </w:rPr>
        <w:t>.</w:t>
      </w:r>
    </w:p>
    <w:p w14:paraId="6FE3DBA1" w14:textId="77777777" w:rsidR="009A339E" w:rsidRDefault="009A339E" w:rsidP="009A339E">
      <w:pPr>
        <w:spacing w:line="360" w:lineRule="auto"/>
        <w:jc w:val="both"/>
        <w:rPr>
          <w:rtl/>
        </w:rPr>
      </w:pPr>
    </w:p>
    <w:p w14:paraId="136DA44E" w14:textId="77777777" w:rsidR="009A339E" w:rsidRDefault="009A339E" w:rsidP="009A339E">
      <w:pPr>
        <w:spacing w:line="360" w:lineRule="auto"/>
        <w:jc w:val="both"/>
        <w:rPr>
          <w:rtl/>
        </w:rPr>
      </w:pPr>
      <w:r>
        <w:rPr>
          <w:rFonts w:hint="cs"/>
          <w:rtl/>
        </w:rPr>
        <w:t xml:space="preserve">הנאשם </w:t>
      </w:r>
      <w:r w:rsidRPr="00E0089F">
        <w:rPr>
          <w:rFonts w:hint="cs"/>
          <w:b/>
          <w:bCs/>
          <w:rtl/>
        </w:rPr>
        <w:t>היה נתון במעצר</w:t>
      </w:r>
      <w:r>
        <w:rPr>
          <w:rFonts w:hint="cs"/>
          <w:rtl/>
        </w:rPr>
        <w:t xml:space="preserve"> מתאריך 13.2.19 </w:t>
      </w:r>
      <w:r>
        <w:rPr>
          <w:rtl/>
        </w:rPr>
        <w:t>–</w:t>
      </w:r>
      <w:r>
        <w:rPr>
          <w:rFonts w:hint="cs"/>
          <w:rtl/>
        </w:rPr>
        <w:t xml:space="preserve"> 14.4.19, כלומר</w:t>
      </w:r>
      <w:r w:rsidRPr="00E0089F">
        <w:rPr>
          <w:rFonts w:hint="cs"/>
          <w:b/>
          <w:bCs/>
          <w:rtl/>
        </w:rPr>
        <w:t xml:space="preserve"> כחודשיים</w:t>
      </w:r>
      <w:r>
        <w:rPr>
          <w:rFonts w:hint="cs"/>
          <w:rtl/>
        </w:rPr>
        <w:t>, ולאחר מכן היה עצור באיזוק אלקטרוני עד ליום 14.7.19, ומכאן והלאה בתנאים מגבילים עד ליום 4.6.20.</w:t>
      </w:r>
    </w:p>
    <w:p w14:paraId="7044FEB4" w14:textId="77777777" w:rsidR="009A339E" w:rsidRDefault="009A339E" w:rsidP="009A339E">
      <w:pPr>
        <w:spacing w:line="360" w:lineRule="auto"/>
        <w:jc w:val="both"/>
        <w:rPr>
          <w:rtl/>
        </w:rPr>
      </w:pPr>
    </w:p>
    <w:p w14:paraId="21EC2C57" w14:textId="77777777" w:rsidR="009A339E" w:rsidRDefault="009A339E" w:rsidP="009A339E">
      <w:pPr>
        <w:spacing w:line="360" w:lineRule="auto"/>
        <w:jc w:val="both"/>
        <w:rPr>
          <w:rtl/>
        </w:rPr>
      </w:pPr>
      <w:r w:rsidRPr="00E0089F">
        <w:rPr>
          <w:rFonts w:hint="cs"/>
          <w:b/>
          <w:bCs/>
          <w:rtl/>
        </w:rPr>
        <w:t>יש להביא בחשבון את תקופת מעצרו באיזוק אלקטרוני</w:t>
      </w:r>
      <w:r>
        <w:rPr>
          <w:rFonts w:hint="cs"/>
          <w:rtl/>
        </w:rPr>
        <w:t xml:space="preserve">, הגם שאין לעשות כן תוך חישוב מתמטי, כפי שהדבר נהוג ביחס למעצר של ממש (ראו: </w:t>
      </w:r>
      <w:hyperlink r:id="rId26" w:history="1">
        <w:r w:rsidR="00D712B3" w:rsidRPr="00D712B3">
          <w:rPr>
            <w:color w:val="0000FF"/>
            <w:u w:val="single"/>
            <w:rtl/>
          </w:rPr>
          <w:t>ע"פ 7768/15</w:t>
        </w:r>
      </w:hyperlink>
      <w:r>
        <w:rPr>
          <w:rFonts w:hint="cs"/>
          <w:rtl/>
        </w:rPr>
        <w:t xml:space="preserve"> </w:t>
      </w:r>
      <w:r w:rsidRPr="00E0089F">
        <w:rPr>
          <w:rFonts w:hint="cs"/>
          <w:b/>
          <w:bCs/>
          <w:rtl/>
        </w:rPr>
        <w:t>פלוני נגד מדינת ישראל</w:t>
      </w:r>
      <w:r>
        <w:rPr>
          <w:rFonts w:hint="cs"/>
          <w:rtl/>
        </w:rPr>
        <w:t xml:space="preserve"> </w:t>
      </w:r>
      <w:r>
        <w:rPr>
          <w:rtl/>
        </w:rPr>
        <w:t>–</w:t>
      </w:r>
      <w:r>
        <w:rPr>
          <w:rFonts w:hint="cs"/>
          <w:rtl/>
        </w:rPr>
        <w:t xml:space="preserve"> 20.4.16: </w:t>
      </w:r>
      <w:hyperlink r:id="rId27" w:history="1">
        <w:r w:rsidR="00D712B3" w:rsidRPr="00D712B3">
          <w:rPr>
            <w:color w:val="0000FF"/>
            <w:u w:val="single"/>
            <w:rtl/>
          </w:rPr>
          <w:t>ע"פ 6201/18</w:t>
        </w:r>
      </w:hyperlink>
      <w:r>
        <w:rPr>
          <w:rFonts w:hint="cs"/>
          <w:rtl/>
        </w:rPr>
        <w:t xml:space="preserve"> </w:t>
      </w:r>
      <w:r w:rsidRPr="00E0089F">
        <w:rPr>
          <w:rFonts w:hint="cs"/>
          <w:b/>
          <w:bCs/>
          <w:rtl/>
        </w:rPr>
        <w:t>טובול נגד מדינת ישראל</w:t>
      </w:r>
      <w:r>
        <w:rPr>
          <w:rFonts w:hint="cs"/>
          <w:rtl/>
        </w:rPr>
        <w:t xml:space="preserve"> </w:t>
      </w:r>
      <w:r>
        <w:rPr>
          <w:rtl/>
        </w:rPr>
        <w:t>–</w:t>
      </w:r>
      <w:r>
        <w:rPr>
          <w:rFonts w:hint="cs"/>
          <w:rtl/>
        </w:rPr>
        <w:t xml:space="preserve"> 28.10.19).</w:t>
      </w:r>
    </w:p>
    <w:p w14:paraId="7C6DBD46" w14:textId="77777777" w:rsidR="009A339E" w:rsidRDefault="009A339E" w:rsidP="009A339E">
      <w:pPr>
        <w:spacing w:line="360" w:lineRule="auto"/>
        <w:jc w:val="both"/>
        <w:rPr>
          <w:rtl/>
        </w:rPr>
      </w:pPr>
    </w:p>
    <w:p w14:paraId="19032510" w14:textId="77777777" w:rsidR="009A339E" w:rsidRPr="00E0089F" w:rsidRDefault="009A339E" w:rsidP="009A339E">
      <w:pPr>
        <w:spacing w:line="360" w:lineRule="auto"/>
        <w:jc w:val="both"/>
        <w:rPr>
          <w:b/>
          <w:bCs/>
          <w:u w:val="single"/>
          <w:rtl/>
        </w:rPr>
      </w:pPr>
      <w:r>
        <w:rPr>
          <w:rFonts w:hint="cs"/>
          <w:b/>
          <w:bCs/>
          <w:u w:val="single"/>
          <w:rtl/>
        </w:rPr>
        <w:t xml:space="preserve">(3). התסקירים: </w:t>
      </w:r>
    </w:p>
    <w:p w14:paraId="28B18964" w14:textId="77777777" w:rsidR="009A339E" w:rsidRDefault="009A339E" w:rsidP="009A339E">
      <w:pPr>
        <w:spacing w:line="360" w:lineRule="auto"/>
        <w:jc w:val="both"/>
        <w:rPr>
          <w:rtl/>
        </w:rPr>
      </w:pPr>
    </w:p>
    <w:p w14:paraId="3DF08C1B" w14:textId="77777777" w:rsidR="009A339E" w:rsidRDefault="009A339E" w:rsidP="009A339E">
      <w:pPr>
        <w:spacing w:line="360" w:lineRule="auto"/>
        <w:jc w:val="both"/>
        <w:rPr>
          <w:rtl/>
        </w:rPr>
      </w:pPr>
      <w:r w:rsidRPr="00E0089F">
        <w:rPr>
          <w:rFonts w:hint="cs"/>
          <w:b/>
          <w:bCs/>
          <w:rtl/>
        </w:rPr>
        <w:t>התסקיר הראשון</w:t>
      </w:r>
      <w:r>
        <w:rPr>
          <w:rFonts w:hint="cs"/>
          <w:rtl/>
        </w:rPr>
        <w:t>, מנובמבר 2019,  תיאר את תולדות חייו, מסר כי הוא "אינו מאופיין בדפוסי חשיבה שוליים", קיבל אחריות על המעשה, הגם ששיתף באופן מצמצם מתוך התייחסות ילדותית ושטחית, הקשה להעמיק בבחירותיו, מסר הסבר שלפיו הוא "מצא באופן מקרי" את הנשק והתבקשה דחייה לבחון את המשך הקשר עם שירות המבחן.</w:t>
      </w:r>
    </w:p>
    <w:p w14:paraId="503BCC49" w14:textId="77777777" w:rsidR="009A339E" w:rsidRDefault="009A339E" w:rsidP="009A339E">
      <w:pPr>
        <w:spacing w:line="360" w:lineRule="auto"/>
        <w:jc w:val="both"/>
        <w:rPr>
          <w:rtl/>
        </w:rPr>
      </w:pPr>
    </w:p>
    <w:p w14:paraId="2118FC9D" w14:textId="77777777" w:rsidR="009A339E" w:rsidRDefault="009A339E" w:rsidP="009A339E">
      <w:pPr>
        <w:spacing w:line="360" w:lineRule="auto"/>
        <w:jc w:val="both"/>
        <w:rPr>
          <w:rtl/>
        </w:rPr>
      </w:pPr>
      <w:r w:rsidRPr="00E0089F">
        <w:rPr>
          <w:rFonts w:hint="cs"/>
          <w:b/>
          <w:bCs/>
          <w:rtl/>
        </w:rPr>
        <w:t>התסקיר השני</w:t>
      </w:r>
      <w:r>
        <w:rPr>
          <w:rFonts w:hint="cs"/>
          <w:rtl/>
        </w:rPr>
        <w:t>, ממרץ 2020, לימד כי הנאשם השתלב במסגרת טיפולית, מתמיד להגיע למפגשים, נוטל בהם חלק פעיל, "החל לגבש תובנות ראשונות באשר לחומרת מעשיו", הוא בעל מוטיבציה לחיים תקינים, בעל כוחות ויכולות לשיקום, הביע חרטה על המעשה, נמסרה הערכה בדבר רמת סיכון נמוכה" להישנות מעשים אלימים, הומלץ להעמידו במבחן ולהטיל עליו של"צ.</w:t>
      </w:r>
    </w:p>
    <w:p w14:paraId="569FE2AF" w14:textId="77777777" w:rsidR="009A339E" w:rsidRDefault="009A339E" w:rsidP="009A339E">
      <w:pPr>
        <w:spacing w:line="360" w:lineRule="auto"/>
        <w:jc w:val="both"/>
        <w:rPr>
          <w:rtl/>
        </w:rPr>
      </w:pPr>
    </w:p>
    <w:p w14:paraId="4EC830A2" w14:textId="77777777" w:rsidR="009A339E" w:rsidRDefault="009A339E" w:rsidP="009A339E">
      <w:pPr>
        <w:spacing w:line="360" w:lineRule="auto"/>
        <w:jc w:val="both"/>
        <w:rPr>
          <w:rtl/>
        </w:rPr>
      </w:pPr>
      <w:r w:rsidRPr="00E0089F">
        <w:rPr>
          <w:rFonts w:hint="cs"/>
          <w:b/>
          <w:bCs/>
          <w:rtl/>
        </w:rPr>
        <w:t>התסקיר השלישי</w:t>
      </w:r>
      <w:r>
        <w:rPr>
          <w:rFonts w:hint="cs"/>
          <w:rtl/>
        </w:rPr>
        <w:t xml:space="preserve">, מיולי 2020 ממשיך בדרך זו וכולל המלצה להעדיף את הענישה השיקומית יחד עם העמדתו במבחן. שירות המבחן סקר את הגורמים מגבירי הסיכון מול אלה מפחיתי הסיכון והגיע למסקנה כי "רמת הסיכון נמוכה בהתנהלות אלימה בעתיד". </w:t>
      </w:r>
    </w:p>
    <w:p w14:paraId="70FEA79E" w14:textId="77777777" w:rsidR="009A339E" w:rsidRDefault="009A339E" w:rsidP="009A339E">
      <w:pPr>
        <w:spacing w:line="360" w:lineRule="auto"/>
        <w:jc w:val="both"/>
        <w:rPr>
          <w:rtl/>
        </w:rPr>
      </w:pPr>
    </w:p>
    <w:p w14:paraId="74714065" w14:textId="77777777" w:rsidR="009A339E" w:rsidRPr="00133A11" w:rsidRDefault="009A339E" w:rsidP="009A339E">
      <w:pPr>
        <w:spacing w:line="360" w:lineRule="auto"/>
        <w:jc w:val="both"/>
        <w:rPr>
          <w:b/>
          <w:bCs/>
          <w:u w:val="single"/>
          <w:rtl/>
        </w:rPr>
      </w:pPr>
      <w:r>
        <w:rPr>
          <w:rFonts w:hint="cs"/>
          <w:b/>
          <w:bCs/>
          <w:u w:val="single"/>
          <w:rtl/>
        </w:rPr>
        <w:t>ד. מסקנות:</w:t>
      </w:r>
    </w:p>
    <w:p w14:paraId="37C06764" w14:textId="77777777" w:rsidR="009A339E" w:rsidRDefault="009A339E" w:rsidP="009A339E">
      <w:pPr>
        <w:spacing w:line="360" w:lineRule="auto"/>
        <w:jc w:val="both"/>
        <w:rPr>
          <w:rtl/>
        </w:rPr>
      </w:pPr>
    </w:p>
    <w:p w14:paraId="6B4B352D" w14:textId="77777777" w:rsidR="009A339E" w:rsidRDefault="009A339E" w:rsidP="009A339E">
      <w:pPr>
        <w:spacing w:line="360" w:lineRule="auto"/>
        <w:jc w:val="both"/>
        <w:rPr>
          <w:rtl/>
        </w:rPr>
      </w:pPr>
      <w:r>
        <w:rPr>
          <w:rFonts w:hint="cs"/>
          <w:rtl/>
        </w:rPr>
        <w:t>אני מסכים כי אין בפניי נאשם, אשר הציג מהלך שיקומי רלוונטי שבכוחו להוביל לסטייה לקולה מן המתחם, שכן אין להבין מה הקשר</w:t>
      </w:r>
      <w:r w:rsidRPr="00144E65">
        <w:rPr>
          <w:rFonts w:hint="cs"/>
          <w:b/>
          <w:bCs/>
          <w:rtl/>
        </w:rPr>
        <w:t xml:space="preserve"> הישיר</w:t>
      </w:r>
      <w:r>
        <w:rPr>
          <w:rFonts w:hint="cs"/>
          <w:rtl/>
        </w:rPr>
        <w:t xml:space="preserve"> בין הפגישות שהוא עורך עם שירות המבחן ובין העבירות בהן הורשע. אין מדובר, למשל, בעבריין המכור לסמים, אשר עבר הליך גמילה משמעותי וכיו"ב המאפשר סטייה לקולה.</w:t>
      </w:r>
    </w:p>
    <w:p w14:paraId="3F43F4FC" w14:textId="77777777" w:rsidR="009A339E" w:rsidRDefault="009A339E" w:rsidP="009A339E">
      <w:pPr>
        <w:spacing w:line="360" w:lineRule="auto"/>
        <w:jc w:val="both"/>
        <w:rPr>
          <w:rtl/>
        </w:rPr>
      </w:pPr>
    </w:p>
    <w:p w14:paraId="2D1A4848" w14:textId="77777777" w:rsidR="009A339E" w:rsidRDefault="009A339E" w:rsidP="009A339E">
      <w:pPr>
        <w:spacing w:line="360" w:lineRule="auto"/>
        <w:jc w:val="both"/>
        <w:rPr>
          <w:rtl/>
        </w:rPr>
      </w:pPr>
      <w:r>
        <w:rPr>
          <w:rFonts w:hint="cs"/>
          <w:rtl/>
        </w:rPr>
        <w:t>הנאשם נשלח לקבלת חוות דעת מאת הממונה על עבודות השירות ונמצא כשיר לביצוע עבודות שירות.</w:t>
      </w:r>
    </w:p>
    <w:p w14:paraId="6453B8BD" w14:textId="77777777" w:rsidR="009A339E" w:rsidRDefault="009A339E" w:rsidP="009A339E">
      <w:pPr>
        <w:spacing w:line="360" w:lineRule="auto"/>
        <w:jc w:val="both"/>
        <w:rPr>
          <w:rtl/>
        </w:rPr>
      </w:pPr>
    </w:p>
    <w:p w14:paraId="7AE3088B" w14:textId="77777777" w:rsidR="009A339E" w:rsidRDefault="009A339E" w:rsidP="009A339E">
      <w:pPr>
        <w:spacing w:line="360" w:lineRule="auto"/>
        <w:jc w:val="both"/>
        <w:rPr>
          <w:rtl/>
        </w:rPr>
      </w:pPr>
      <w:r>
        <w:rPr>
          <w:rFonts w:hint="cs"/>
          <w:rtl/>
        </w:rPr>
        <w:t xml:space="preserve">המאשימה בטיעוניה הציעה לקבוע מתחם המתחיל משנת מאסר ולקבוע את עונשו של הנאשם בתוך המתחם, אך לא בתחתיתו. </w:t>
      </w:r>
    </w:p>
    <w:p w14:paraId="72CBAD2F" w14:textId="77777777" w:rsidR="009A339E" w:rsidRDefault="009A339E" w:rsidP="009A339E">
      <w:pPr>
        <w:spacing w:line="360" w:lineRule="auto"/>
        <w:jc w:val="both"/>
        <w:rPr>
          <w:rtl/>
        </w:rPr>
      </w:pPr>
    </w:p>
    <w:p w14:paraId="0ABFEB79" w14:textId="77777777" w:rsidR="009A339E" w:rsidRDefault="009A339E" w:rsidP="009A339E">
      <w:pPr>
        <w:spacing w:line="360" w:lineRule="auto"/>
        <w:jc w:val="both"/>
        <w:rPr>
          <w:rtl/>
        </w:rPr>
      </w:pPr>
      <w:r>
        <w:rPr>
          <w:rFonts w:hint="cs"/>
          <w:rtl/>
        </w:rPr>
        <w:t>כפי שפורט לעיל, איני סבור כי זהו הרף המזערי של המתחם, שכן המאשימה הגיעה למסקנתה תוך הסתמכות על פסיקה שניתן לאבחנה לחומרה.</w:t>
      </w:r>
    </w:p>
    <w:p w14:paraId="7FB93D1F" w14:textId="77777777" w:rsidR="009A339E" w:rsidRDefault="009A339E" w:rsidP="009A339E">
      <w:pPr>
        <w:spacing w:line="360" w:lineRule="auto"/>
        <w:jc w:val="both"/>
        <w:rPr>
          <w:rtl/>
        </w:rPr>
      </w:pPr>
    </w:p>
    <w:p w14:paraId="006AC900" w14:textId="77777777" w:rsidR="009A339E" w:rsidRDefault="009A339E" w:rsidP="009A339E">
      <w:pPr>
        <w:spacing w:line="360" w:lineRule="auto"/>
        <w:jc w:val="both"/>
        <w:rPr>
          <w:rtl/>
        </w:rPr>
      </w:pPr>
      <w:r>
        <w:rPr>
          <w:rFonts w:hint="cs"/>
          <w:rtl/>
        </w:rPr>
        <w:t>הבה נשקול את האפשרות המוצעת על-ידי המאשימה להטיל על הנאשם העומד בפניי ענישה בדרך של מאסר בפועל של ממש: ברור לכל, כי במקרה כזה, נוכח נסיבות המקרה ונסיבותיו של העושה,  אין להטיל עליו ענישה שהיא מעבר לאחד-עשרה חודשים - שנת מאסר בפועל. כזכור, הנאשם היה נתון במעצר משך חודשיים ואחר מכן היה נתון במעצר באיזוק.</w:t>
      </w:r>
      <w:r w:rsidRPr="00BC4A78">
        <w:rPr>
          <w:rFonts w:hint="cs"/>
          <w:rtl/>
        </w:rPr>
        <w:t xml:space="preserve"> </w:t>
      </w:r>
      <w:r>
        <w:rPr>
          <w:rFonts w:hint="cs"/>
          <w:rtl/>
        </w:rPr>
        <w:t>כנהוג במקרה כזה, ינוכו חודשיים מעצר והנה אנו באים אל הרף העליון האפשרי לריצוי בדרך של עבודות שירות במיוחד כאשר אין מנכים את תקופת מעצרו. במקרה כזה, יקבל הנאשם עונש כגמולו עבור העבירות אותן ביצע, יש בכך אלמנט של הרתעה, במיוחד כאשר דנים בנאשם נעדר עבר פלילי ולכן אין יתרון הכרחי בהטלת מאסר לתקופת מאסר קצרה.</w:t>
      </w:r>
    </w:p>
    <w:p w14:paraId="1BADA67F" w14:textId="77777777" w:rsidR="009A339E" w:rsidRDefault="009A339E" w:rsidP="009A339E">
      <w:pPr>
        <w:spacing w:line="360" w:lineRule="auto"/>
        <w:jc w:val="both"/>
        <w:rPr>
          <w:rtl/>
        </w:rPr>
      </w:pPr>
    </w:p>
    <w:p w14:paraId="6FD91107" w14:textId="77777777" w:rsidR="009A339E" w:rsidRDefault="009A339E" w:rsidP="009A339E">
      <w:pPr>
        <w:spacing w:line="360" w:lineRule="auto"/>
        <w:jc w:val="both"/>
        <w:rPr>
          <w:rtl/>
        </w:rPr>
      </w:pPr>
      <w:r>
        <w:rPr>
          <w:rFonts w:hint="cs"/>
          <w:rtl/>
        </w:rPr>
        <w:t>אני סבור, כי יש לבכר את האפשרות הפוגענית פחות באינטרס הציבורי הכולל, במיוחד כאשר היא מאפשרת לשם את הנאשם בצו מבחן שתמיד יאפשר להשיבו אל בית המשפט ולדון אותו מלכתחילה, אם יפר את הצו.</w:t>
      </w:r>
    </w:p>
    <w:p w14:paraId="756F3C67" w14:textId="77777777" w:rsidR="009A339E" w:rsidRDefault="009A339E" w:rsidP="009A339E">
      <w:pPr>
        <w:spacing w:line="360" w:lineRule="auto"/>
        <w:jc w:val="both"/>
        <w:rPr>
          <w:rtl/>
        </w:rPr>
      </w:pPr>
    </w:p>
    <w:p w14:paraId="476D3194" w14:textId="77777777" w:rsidR="009A339E" w:rsidRPr="008103AB" w:rsidRDefault="009A339E" w:rsidP="009A339E">
      <w:pPr>
        <w:spacing w:line="360" w:lineRule="auto"/>
        <w:jc w:val="both"/>
        <w:rPr>
          <w:rtl/>
        </w:rPr>
      </w:pPr>
    </w:p>
    <w:p w14:paraId="4313E5D7" w14:textId="77777777" w:rsidR="009A339E" w:rsidRDefault="009A339E" w:rsidP="009A339E">
      <w:pPr>
        <w:spacing w:line="360" w:lineRule="auto"/>
        <w:jc w:val="both"/>
        <w:rPr>
          <w:b/>
          <w:bCs/>
          <w:u w:val="single"/>
          <w:rtl/>
        </w:rPr>
      </w:pPr>
    </w:p>
    <w:p w14:paraId="6D65323C" w14:textId="77777777" w:rsidR="009A339E" w:rsidRDefault="009A339E" w:rsidP="009A339E">
      <w:pPr>
        <w:spacing w:line="360" w:lineRule="auto"/>
        <w:jc w:val="both"/>
        <w:rPr>
          <w:b/>
          <w:bCs/>
          <w:u w:val="single"/>
          <w:rtl/>
        </w:rPr>
      </w:pPr>
      <w:r>
        <w:rPr>
          <w:rFonts w:hint="cs"/>
          <w:b/>
          <w:bCs/>
          <w:u w:val="single"/>
          <w:rtl/>
        </w:rPr>
        <w:t>ה. תוצאה:</w:t>
      </w:r>
    </w:p>
    <w:p w14:paraId="5E450C6D" w14:textId="77777777" w:rsidR="009A339E" w:rsidRDefault="009A339E" w:rsidP="009A339E">
      <w:pPr>
        <w:spacing w:line="360" w:lineRule="auto"/>
        <w:jc w:val="both"/>
        <w:rPr>
          <w:b/>
          <w:bCs/>
          <w:u w:val="single"/>
          <w:rtl/>
        </w:rPr>
      </w:pPr>
    </w:p>
    <w:p w14:paraId="19FA8957" w14:textId="77777777" w:rsidR="009A339E" w:rsidRDefault="009A339E" w:rsidP="009A339E">
      <w:pPr>
        <w:spacing w:line="360" w:lineRule="auto"/>
        <w:jc w:val="both"/>
        <w:rPr>
          <w:b/>
          <w:bCs/>
          <w:rtl/>
        </w:rPr>
      </w:pPr>
      <w:r>
        <w:rPr>
          <w:rFonts w:hint="cs"/>
          <w:b/>
          <w:bCs/>
          <w:rtl/>
        </w:rPr>
        <w:t>לאור כל האמור לעיל, אני גוזר על הנאשם את העונשים הבאים:</w:t>
      </w:r>
    </w:p>
    <w:p w14:paraId="3B739CFB" w14:textId="77777777" w:rsidR="009A339E" w:rsidRDefault="009A339E" w:rsidP="009A339E">
      <w:pPr>
        <w:spacing w:line="360" w:lineRule="auto"/>
        <w:jc w:val="both"/>
        <w:rPr>
          <w:b/>
          <w:bCs/>
          <w:rtl/>
        </w:rPr>
      </w:pPr>
    </w:p>
    <w:p w14:paraId="5D5A22DF" w14:textId="77777777" w:rsidR="009A339E" w:rsidRDefault="009A339E" w:rsidP="009A339E">
      <w:pPr>
        <w:spacing w:line="360" w:lineRule="auto"/>
        <w:jc w:val="both"/>
        <w:rPr>
          <w:rtl/>
        </w:rPr>
      </w:pPr>
      <w:r>
        <w:rPr>
          <w:rFonts w:hint="cs"/>
          <w:b/>
          <w:bCs/>
          <w:rtl/>
        </w:rPr>
        <w:t xml:space="preserve">א. </w:t>
      </w:r>
      <w:r>
        <w:rPr>
          <w:rFonts w:hint="cs"/>
          <w:rtl/>
        </w:rPr>
        <w:t>9 חודשי מאסר לריצוי בדרך של עבודות שירות, לפי חוות דעת הממונה על עבודות השירות, ולשם כך יתייצב הנאשם  בתאריך  2.12.20 בשעה 09:00 במפקדת הממונה על עבודות השירות מחוז מרכז.</w:t>
      </w:r>
    </w:p>
    <w:p w14:paraId="65F8AF1C" w14:textId="77777777" w:rsidR="009A339E" w:rsidRDefault="009A339E" w:rsidP="009A339E">
      <w:pPr>
        <w:spacing w:line="360" w:lineRule="auto"/>
        <w:jc w:val="both"/>
        <w:rPr>
          <w:rtl/>
        </w:rPr>
      </w:pPr>
    </w:p>
    <w:p w14:paraId="1062A6CF" w14:textId="77777777" w:rsidR="009A339E" w:rsidRDefault="009A339E" w:rsidP="009A339E">
      <w:pPr>
        <w:spacing w:line="360" w:lineRule="auto"/>
        <w:jc w:val="both"/>
        <w:rPr>
          <w:rtl/>
        </w:rPr>
      </w:pPr>
      <w:r>
        <w:rPr>
          <w:rFonts w:hint="cs"/>
          <w:b/>
          <w:bCs/>
          <w:rtl/>
        </w:rPr>
        <w:t xml:space="preserve">ב. </w:t>
      </w:r>
      <w:r>
        <w:rPr>
          <w:rFonts w:hint="cs"/>
          <w:rtl/>
        </w:rPr>
        <w:t xml:space="preserve"> 6 חודשי מאסר שאותם לא ירצה הנאשם אלא אם כן יעבוד בתוך 3 שנים מהיום עבירה בה הורשע.</w:t>
      </w:r>
    </w:p>
    <w:p w14:paraId="33A5FA50" w14:textId="77777777" w:rsidR="009A339E" w:rsidRDefault="009A339E" w:rsidP="009A339E">
      <w:pPr>
        <w:spacing w:line="360" w:lineRule="auto"/>
        <w:jc w:val="both"/>
        <w:rPr>
          <w:rtl/>
        </w:rPr>
      </w:pPr>
    </w:p>
    <w:p w14:paraId="0180A1DD" w14:textId="77777777" w:rsidR="009A339E" w:rsidRDefault="009A339E" w:rsidP="009A339E">
      <w:pPr>
        <w:spacing w:line="360" w:lineRule="auto"/>
        <w:jc w:val="both"/>
        <w:rPr>
          <w:rtl/>
        </w:rPr>
      </w:pPr>
      <w:r>
        <w:rPr>
          <w:rFonts w:hint="cs"/>
          <w:b/>
          <w:bCs/>
          <w:rtl/>
        </w:rPr>
        <w:t xml:space="preserve">ג. </w:t>
      </w:r>
      <w:r>
        <w:rPr>
          <w:rFonts w:hint="cs"/>
          <w:rtl/>
        </w:rPr>
        <w:t>5,000 ₪ קנס או 60 ימים מאסר תמורתו, והקנס ישולם בעשרה תשלומים חודשיים שווים, הראשון בתאריך 1.10.20 ובכל ראשון לחודש שלאחר מכן. סכום הקנס ניתן לקיזוז מן הפיקדון בתיק המ"ת והיתרה תושב לו.</w:t>
      </w:r>
    </w:p>
    <w:p w14:paraId="3ECE43BF" w14:textId="77777777" w:rsidR="009A339E" w:rsidRDefault="009A339E" w:rsidP="009A339E">
      <w:pPr>
        <w:spacing w:line="360" w:lineRule="auto"/>
        <w:jc w:val="both"/>
        <w:rPr>
          <w:rtl/>
        </w:rPr>
      </w:pPr>
    </w:p>
    <w:p w14:paraId="0A09D387" w14:textId="77777777" w:rsidR="009A339E" w:rsidRDefault="009A339E" w:rsidP="009A339E">
      <w:pPr>
        <w:spacing w:line="360" w:lineRule="auto"/>
        <w:jc w:val="both"/>
        <w:rPr>
          <w:rtl/>
        </w:rPr>
      </w:pPr>
      <w:r>
        <w:rPr>
          <w:rFonts w:hint="cs"/>
          <w:b/>
          <w:bCs/>
          <w:rtl/>
        </w:rPr>
        <w:t xml:space="preserve">ד. </w:t>
      </w:r>
      <w:r>
        <w:rPr>
          <w:rFonts w:hint="cs"/>
          <w:rtl/>
        </w:rPr>
        <w:t>צו מבחן למשך 12 חודשים והנאשם מוזהר כי אם יפר את הצו ניתן להשיב אותו אל בית-המשפט ולדון אותו לעונש כאילו מלכתחילה.</w:t>
      </w:r>
    </w:p>
    <w:p w14:paraId="36049884" w14:textId="77777777" w:rsidR="009A339E" w:rsidRDefault="009A339E" w:rsidP="009A339E">
      <w:pPr>
        <w:spacing w:line="360" w:lineRule="auto"/>
        <w:jc w:val="both"/>
        <w:rPr>
          <w:rtl/>
        </w:rPr>
      </w:pPr>
    </w:p>
    <w:p w14:paraId="695BDBD0" w14:textId="77777777" w:rsidR="009A339E" w:rsidRDefault="009A339E" w:rsidP="009A339E">
      <w:pPr>
        <w:spacing w:line="360" w:lineRule="auto"/>
        <w:jc w:val="both"/>
        <w:rPr>
          <w:rtl/>
        </w:rPr>
      </w:pPr>
      <w:r>
        <w:rPr>
          <w:rFonts w:hint="cs"/>
          <w:rtl/>
        </w:rPr>
        <w:t>עותק לשירות המבחן.</w:t>
      </w:r>
    </w:p>
    <w:p w14:paraId="040CAEEE" w14:textId="77777777" w:rsidR="009A339E" w:rsidRDefault="009A339E" w:rsidP="009A339E">
      <w:pPr>
        <w:spacing w:line="360" w:lineRule="auto"/>
        <w:jc w:val="both"/>
        <w:rPr>
          <w:b/>
          <w:bCs/>
          <w:u w:val="single"/>
          <w:rtl/>
        </w:rPr>
      </w:pPr>
    </w:p>
    <w:p w14:paraId="759F974E" w14:textId="77777777" w:rsidR="009A339E" w:rsidRDefault="009A339E" w:rsidP="009A339E">
      <w:pPr>
        <w:spacing w:line="360" w:lineRule="auto"/>
        <w:jc w:val="both"/>
        <w:rPr>
          <w:rtl/>
        </w:rPr>
      </w:pPr>
      <w:r>
        <w:rPr>
          <w:rFonts w:hint="cs"/>
          <w:rtl/>
        </w:rPr>
        <w:t>זכות ערעור לבית-המשפט המחוזי מרכז/לוד בתוך 45 ימים.</w:t>
      </w:r>
    </w:p>
    <w:p w14:paraId="067C8A0B" w14:textId="77777777" w:rsidR="009A339E" w:rsidRDefault="009A339E" w:rsidP="009A339E">
      <w:pPr>
        <w:spacing w:line="360" w:lineRule="auto"/>
        <w:jc w:val="both"/>
        <w:rPr>
          <w:rtl/>
        </w:rPr>
      </w:pPr>
    </w:p>
    <w:p w14:paraId="72C88177" w14:textId="77777777" w:rsidR="009A339E" w:rsidRDefault="009A339E" w:rsidP="009A339E">
      <w:pPr>
        <w:spacing w:line="360" w:lineRule="auto"/>
        <w:jc w:val="both"/>
        <w:rPr>
          <w:rtl/>
        </w:rPr>
      </w:pPr>
      <w:r>
        <w:rPr>
          <w:rFonts w:hint="cs"/>
          <w:rtl/>
        </w:rPr>
        <w:t>צו כללי למוצגים.</w:t>
      </w:r>
    </w:p>
    <w:p w14:paraId="111B9849" w14:textId="77777777" w:rsidR="009A339E" w:rsidRDefault="009A339E" w:rsidP="009A339E">
      <w:pPr>
        <w:spacing w:line="360" w:lineRule="auto"/>
        <w:jc w:val="both"/>
        <w:rPr>
          <w:rtl/>
        </w:rPr>
      </w:pPr>
    </w:p>
    <w:p w14:paraId="6AADEB47" w14:textId="77777777" w:rsidR="009A339E" w:rsidRPr="003A55BA" w:rsidRDefault="009A339E" w:rsidP="009A339E">
      <w:pPr>
        <w:spacing w:line="360" w:lineRule="auto"/>
        <w:jc w:val="both"/>
        <w:rPr>
          <w:rtl/>
        </w:rPr>
      </w:pPr>
      <w:r>
        <w:rPr>
          <w:rFonts w:hint="cs"/>
          <w:rtl/>
        </w:rPr>
        <w:t>התיק סגור.</w:t>
      </w:r>
    </w:p>
    <w:p w14:paraId="2D27FCED" w14:textId="77777777" w:rsidR="009A339E" w:rsidRPr="00B05847" w:rsidRDefault="009A339E" w:rsidP="009A339E">
      <w:pPr>
        <w:spacing w:line="360" w:lineRule="auto"/>
        <w:jc w:val="both"/>
        <w:rPr>
          <w:rtl/>
        </w:rPr>
      </w:pPr>
    </w:p>
    <w:p w14:paraId="721EECC8" w14:textId="77777777" w:rsidR="009A339E" w:rsidRPr="00D712B3" w:rsidRDefault="00D712B3" w:rsidP="009A339E">
      <w:pPr>
        <w:rPr>
          <w:color w:val="FFFFFF"/>
          <w:sz w:val="2"/>
          <w:szCs w:val="2"/>
          <w:rtl/>
        </w:rPr>
      </w:pPr>
      <w:r w:rsidRPr="00D712B3">
        <w:rPr>
          <w:color w:val="FFFFFF"/>
          <w:sz w:val="2"/>
          <w:szCs w:val="2"/>
          <w:rtl/>
        </w:rPr>
        <w:t>5129371</w:t>
      </w:r>
    </w:p>
    <w:p w14:paraId="276EA8F2" w14:textId="77777777" w:rsidR="009A339E" w:rsidRDefault="00D712B3" w:rsidP="009A339E">
      <w:pPr>
        <w:rPr>
          <w:rFonts w:cs="FrankRuehl"/>
          <w:sz w:val="28"/>
          <w:szCs w:val="28"/>
          <w:rtl/>
        </w:rPr>
      </w:pPr>
      <w:bookmarkStart w:id="8" w:name="Nitan"/>
      <w:r w:rsidRPr="00D712B3">
        <w:rPr>
          <w:rFonts w:ascii="Arial" w:hAnsi="Arial"/>
          <w:color w:val="FFFFFF"/>
          <w:sz w:val="2"/>
          <w:szCs w:val="2"/>
          <w:rtl/>
        </w:rPr>
        <w:t>54678313</w:t>
      </w:r>
      <w:r>
        <w:rPr>
          <w:rFonts w:ascii="Arial" w:hAnsi="Arial"/>
          <w:rtl/>
        </w:rPr>
        <w:t xml:space="preserve">ניתן היום,  י"ד אב תש"פ, 04 אוגוסט 2020, במעמד הצדדים. </w:t>
      </w:r>
      <w:bookmarkEnd w:id="8"/>
      <w:r w:rsidR="00025E1E">
        <w:rPr>
          <w:rFonts w:cs="FrankRuehl" w:hint="cs"/>
          <w:sz w:val="28"/>
          <w:szCs w:val="28"/>
          <w:rtl/>
        </w:rPr>
        <w:t xml:space="preserve"> </w:t>
      </w:r>
    </w:p>
    <w:p w14:paraId="5B542228" w14:textId="77777777" w:rsidR="009A339E" w:rsidRDefault="009A339E" w:rsidP="00D712B3">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5AF34FE" w14:textId="77777777" w:rsidR="009A339E" w:rsidRDefault="009A339E" w:rsidP="009A339E">
      <w:pPr>
        <w:jc w:val="center"/>
        <w:rPr>
          <w:rFonts w:ascii="Arial" w:hAnsi="Arial" w:cs="FrankRuehl"/>
          <w:sz w:val="28"/>
          <w:szCs w:val="28"/>
          <w:rtl/>
        </w:rPr>
      </w:pPr>
    </w:p>
    <w:p w14:paraId="6D90D3A8" w14:textId="77777777" w:rsidR="009A339E" w:rsidRDefault="009A339E" w:rsidP="009A339E">
      <w:pPr>
        <w:rPr>
          <w:rFonts w:cs="FrankRuehl"/>
          <w:sz w:val="28"/>
          <w:szCs w:val="28"/>
          <w:rtl/>
        </w:rPr>
      </w:pPr>
    </w:p>
    <w:p w14:paraId="6814B6A2" w14:textId="77777777" w:rsidR="009A339E" w:rsidRPr="00D86998" w:rsidRDefault="00D86998" w:rsidP="009A339E">
      <w:pPr>
        <w:pStyle w:val="a3"/>
        <w:jc w:val="center"/>
        <w:rPr>
          <w:color w:val="FFFFFF"/>
          <w:sz w:val="2"/>
          <w:szCs w:val="2"/>
          <w:rtl/>
        </w:rPr>
      </w:pPr>
      <w:r w:rsidRPr="00D86998">
        <w:rPr>
          <w:color w:val="FFFFFF"/>
          <w:sz w:val="2"/>
          <w:szCs w:val="2"/>
          <w:rtl/>
        </w:rPr>
        <w:t>5129371</w:t>
      </w:r>
    </w:p>
    <w:p w14:paraId="7DAF668D" w14:textId="77777777" w:rsidR="00D712B3" w:rsidRPr="00D86998" w:rsidRDefault="00D86998" w:rsidP="00D86998">
      <w:pPr>
        <w:keepNext/>
        <w:rPr>
          <w:rFonts w:ascii="David" w:hAnsi="David" w:hint="cs"/>
          <w:color w:val="FFFFFF"/>
          <w:sz w:val="2"/>
          <w:szCs w:val="2"/>
          <w:rtl/>
        </w:rPr>
      </w:pPr>
      <w:r w:rsidRPr="00D86998">
        <w:rPr>
          <w:rFonts w:ascii="David" w:hAnsi="David"/>
          <w:color w:val="FFFFFF"/>
          <w:sz w:val="2"/>
          <w:szCs w:val="2"/>
          <w:rtl/>
        </w:rPr>
        <w:t>54678313</w:t>
      </w:r>
    </w:p>
    <w:p w14:paraId="4CFE192C" w14:textId="77777777" w:rsidR="00D712B3" w:rsidRDefault="00D712B3" w:rsidP="00D712B3">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4B1880D4" w14:textId="77777777" w:rsidR="00D86998" w:rsidRPr="00D86998" w:rsidRDefault="00D86998" w:rsidP="00D86998">
      <w:pPr>
        <w:keepNext/>
        <w:rPr>
          <w:rFonts w:ascii="David" w:hAnsi="David"/>
          <w:color w:val="000000"/>
          <w:sz w:val="22"/>
          <w:szCs w:val="22"/>
          <w:rtl/>
        </w:rPr>
      </w:pPr>
    </w:p>
    <w:p w14:paraId="061328AD" w14:textId="77777777" w:rsidR="00D86998" w:rsidRPr="00D86998" w:rsidRDefault="00D86998" w:rsidP="00D86998">
      <w:pPr>
        <w:keepNext/>
        <w:rPr>
          <w:rFonts w:ascii="David" w:hAnsi="David"/>
          <w:color w:val="000000"/>
          <w:sz w:val="22"/>
          <w:szCs w:val="22"/>
          <w:rtl/>
        </w:rPr>
      </w:pPr>
      <w:r w:rsidRPr="00D86998">
        <w:rPr>
          <w:rFonts w:ascii="David" w:hAnsi="David"/>
          <w:color w:val="000000"/>
          <w:sz w:val="22"/>
          <w:szCs w:val="22"/>
          <w:rtl/>
        </w:rPr>
        <w:t>מנחם מזרחי 54678313-/</w:t>
      </w:r>
    </w:p>
    <w:p w14:paraId="280C184A" w14:textId="77777777" w:rsidR="00D712B3" w:rsidRPr="00D712B3" w:rsidRDefault="00D86998" w:rsidP="00D86998">
      <w:pPr>
        <w:rPr>
          <w:color w:val="0000FF"/>
          <w:u w:val="single"/>
        </w:rPr>
      </w:pPr>
      <w:r w:rsidRPr="00D86998">
        <w:rPr>
          <w:color w:val="000000"/>
          <w:u w:val="single"/>
          <w:rtl/>
        </w:rPr>
        <w:t>נוסח מסמך זה כפוף לשינויי ניסוח ועריכה</w:t>
      </w:r>
    </w:p>
    <w:sectPr w:rsidR="00D712B3" w:rsidRPr="00D712B3" w:rsidSect="00D86998">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DED73E" w14:textId="77777777" w:rsidR="000C7396" w:rsidRDefault="000C7396" w:rsidP="00176846">
      <w:r>
        <w:separator/>
      </w:r>
    </w:p>
  </w:endnote>
  <w:endnote w:type="continuationSeparator" w:id="0">
    <w:p w14:paraId="62E7F333" w14:textId="77777777" w:rsidR="000C7396" w:rsidRDefault="000C7396" w:rsidP="00176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AA7207" w14:textId="77777777" w:rsidR="00D86998" w:rsidRDefault="00D86998" w:rsidP="00D8699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2E52359" w14:textId="77777777" w:rsidR="00957414" w:rsidRPr="00D86998" w:rsidRDefault="00D86998" w:rsidP="00D86998">
    <w:pPr>
      <w:pStyle w:val="a5"/>
      <w:pBdr>
        <w:top w:val="single" w:sz="4" w:space="1" w:color="auto"/>
        <w:between w:val="single" w:sz="4" w:space="0" w:color="auto"/>
      </w:pBdr>
      <w:spacing w:after="60"/>
      <w:jc w:val="center"/>
      <w:rPr>
        <w:rFonts w:ascii="FrankRuehl" w:hAnsi="FrankRuehl" w:cs="FrankRuehl"/>
        <w:color w:val="000000"/>
      </w:rPr>
    </w:pPr>
    <w:r w:rsidRPr="00D8699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086B88" w14:textId="77777777" w:rsidR="00D86998" w:rsidRDefault="00D86998" w:rsidP="00D8699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530F0">
      <w:rPr>
        <w:rFonts w:ascii="FrankRuehl" w:hAnsi="FrankRuehl" w:cs="FrankRuehl"/>
        <w:noProof/>
        <w:rtl/>
      </w:rPr>
      <w:t>1</w:t>
    </w:r>
    <w:r>
      <w:rPr>
        <w:rFonts w:ascii="FrankRuehl" w:hAnsi="FrankRuehl" w:cs="FrankRuehl"/>
        <w:rtl/>
      </w:rPr>
      <w:fldChar w:fldCharType="end"/>
    </w:r>
  </w:p>
  <w:p w14:paraId="361213A7" w14:textId="77777777" w:rsidR="00957414" w:rsidRPr="00D86998" w:rsidRDefault="00D86998" w:rsidP="00D86998">
    <w:pPr>
      <w:pStyle w:val="a5"/>
      <w:pBdr>
        <w:top w:val="single" w:sz="4" w:space="1" w:color="auto"/>
        <w:between w:val="single" w:sz="4" w:space="0" w:color="auto"/>
      </w:pBdr>
      <w:spacing w:after="60"/>
      <w:jc w:val="center"/>
      <w:rPr>
        <w:rFonts w:ascii="FrankRuehl" w:hAnsi="FrankRuehl" w:cs="FrankRuehl"/>
        <w:color w:val="000000"/>
      </w:rPr>
    </w:pPr>
    <w:r w:rsidRPr="00D86998">
      <w:rPr>
        <w:rFonts w:ascii="FrankRuehl" w:hAnsi="FrankRuehl" w:cs="FrankRuehl"/>
        <w:color w:val="000000"/>
      </w:rPr>
      <w:pict w14:anchorId="7CBA65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35F871" w14:textId="77777777" w:rsidR="000C7396" w:rsidRDefault="000C7396" w:rsidP="00176846">
      <w:r>
        <w:separator/>
      </w:r>
    </w:p>
  </w:footnote>
  <w:footnote w:type="continuationSeparator" w:id="0">
    <w:p w14:paraId="27E9765E" w14:textId="77777777" w:rsidR="000C7396" w:rsidRDefault="000C7396" w:rsidP="001768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E694D" w14:textId="77777777" w:rsidR="00D712B3" w:rsidRPr="00D86998" w:rsidRDefault="00D86998" w:rsidP="00D8699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40076-02-19</w:t>
    </w:r>
    <w:r>
      <w:rPr>
        <w:rFonts w:ascii="David" w:hAnsi="David"/>
        <w:color w:val="000000"/>
        <w:sz w:val="22"/>
        <w:szCs w:val="22"/>
        <w:rtl/>
      </w:rPr>
      <w:tab/>
      <w:t xml:space="preserve"> מדינת ישראל נ' מחמד אבו צעלוק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4DE82" w14:textId="77777777" w:rsidR="00D712B3" w:rsidRPr="00D86998" w:rsidRDefault="00D86998" w:rsidP="00D8699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40076-02-19</w:t>
    </w:r>
    <w:r>
      <w:rPr>
        <w:rFonts w:ascii="David" w:hAnsi="David"/>
        <w:color w:val="000000"/>
        <w:sz w:val="22"/>
        <w:szCs w:val="22"/>
        <w:rtl/>
      </w:rPr>
      <w:tab/>
      <w:t xml:space="preserve"> מדינת ישראל נ' מחמד אבו צעלוק</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A339E"/>
    <w:rsid w:val="00025E1E"/>
    <w:rsid w:val="000C7396"/>
    <w:rsid w:val="00176846"/>
    <w:rsid w:val="00195652"/>
    <w:rsid w:val="001A7E4B"/>
    <w:rsid w:val="00361C71"/>
    <w:rsid w:val="00471151"/>
    <w:rsid w:val="00957414"/>
    <w:rsid w:val="009A339E"/>
    <w:rsid w:val="00A91A3D"/>
    <w:rsid w:val="00B530F0"/>
    <w:rsid w:val="00C501AB"/>
    <w:rsid w:val="00D64390"/>
    <w:rsid w:val="00D712B3"/>
    <w:rsid w:val="00D86998"/>
    <w:rsid w:val="00D9004B"/>
    <w:rsid w:val="00E202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855EF75"/>
  <w15:chartTrackingRefBased/>
  <w15:docId w15:val="{5578C705-7FD0-4823-913C-31B0891BF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A339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A339E"/>
    <w:pPr>
      <w:tabs>
        <w:tab w:val="center" w:pos="4153"/>
        <w:tab w:val="right" w:pos="8306"/>
      </w:tabs>
    </w:pPr>
    <w:rPr>
      <w:rFonts w:cs="Times New Roman"/>
      <w:lang w:val="x-none" w:eastAsia="x-none"/>
    </w:rPr>
  </w:style>
  <w:style w:type="character" w:customStyle="1" w:styleId="a4">
    <w:name w:val="כותרת עליונה תו"/>
    <w:link w:val="a3"/>
    <w:rsid w:val="009A339E"/>
    <w:rPr>
      <w:rFonts w:ascii="Times New Roman" w:eastAsia="Times New Roman" w:hAnsi="Times New Roman" w:cs="David"/>
      <w:sz w:val="24"/>
      <w:szCs w:val="24"/>
    </w:rPr>
  </w:style>
  <w:style w:type="paragraph" w:styleId="a5">
    <w:name w:val="footer"/>
    <w:basedOn w:val="a"/>
    <w:link w:val="a6"/>
    <w:rsid w:val="009A339E"/>
    <w:pPr>
      <w:tabs>
        <w:tab w:val="center" w:pos="4153"/>
        <w:tab w:val="right" w:pos="8306"/>
      </w:tabs>
    </w:pPr>
    <w:rPr>
      <w:rFonts w:cs="Times New Roman"/>
      <w:lang w:val="x-none" w:eastAsia="x-none"/>
    </w:rPr>
  </w:style>
  <w:style w:type="character" w:customStyle="1" w:styleId="a6">
    <w:name w:val="כותרת תחתונה תו"/>
    <w:link w:val="a5"/>
    <w:rsid w:val="009A339E"/>
    <w:rPr>
      <w:rFonts w:ascii="Times New Roman" w:eastAsia="Times New Roman" w:hAnsi="Times New Roman" w:cs="David"/>
      <w:sz w:val="24"/>
      <w:szCs w:val="24"/>
    </w:rPr>
  </w:style>
  <w:style w:type="table" w:styleId="a7">
    <w:name w:val="Table Grid"/>
    <w:basedOn w:val="a1"/>
    <w:rsid w:val="009A339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A339E"/>
  </w:style>
  <w:style w:type="character" w:styleId="Hyperlink">
    <w:name w:val="Hyperlink"/>
    <w:rsid w:val="00D712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5614110" TargetMode="External"/><Relationship Id="rId18" Type="http://schemas.openxmlformats.org/officeDocument/2006/relationships/hyperlink" Target="http://www.nevo.co.il/case/26745252" TargetMode="External"/><Relationship Id="rId26" Type="http://schemas.openxmlformats.org/officeDocument/2006/relationships/hyperlink" Target="http://www.nevo.co.il/case/20832660" TargetMode="External"/><Relationship Id="rId3" Type="http://schemas.openxmlformats.org/officeDocument/2006/relationships/webSettings" Target="webSettings.xml"/><Relationship Id="rId21" Type="http://schemas.openxmlformats.org/officeDocument/2006/relationships/hyperlink" Target="http://www.nevo.co.il/case/22112345" TargetMode="External"/><Relationship Id="rId34" Type="http://schemas.openxmlformats.org/officeDocument/2006/relationships/theme" Target="theme/theme1.xml"/><Relationship Id="rId7" Type="http://schemas.openxmlformats.org/officeDocument/2006/relationships/hyperlink" Target="http://www.nevo.co.il/law/70301/144.a" TargetMode="External"/><Relationship Id="rId12" Type="http://schemas.openxmlformats.org/officeDocument/2006/relationships/hyperlink" Target="http://www.nevo.co.il/case/24900915" TargetMode="External"/><Relationship Id="rId17" Type="http://schemas.openxmlformats.org/officeDocument/2006/relationships/hyperlink" Target="http://www.nevo.co.il/case/21475135" TargetMode="External"/><Relationship Id="rId25" Type="http://schemas.openxmlformats.org/officeDocument/2006/relationships/hyperlink" Target="http://www.nevo.co.il/case/25824863"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case/20881655" TargetMode="External"/><Relationship Id="rId20" Type="http://schemas.openxmlformats.org/officeDocument/2006/relationships/hyperlink" Target="http://www.nevo.co.il/case/21474168" TargetMode="External"/><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case/22228298" TargetMode="External"/><Relationship Id="rId32"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case/24372653" TargetMode="External"/><Relationship Id="rId23" Type="http://schemas.openxmlformats.org/officeDocument/2006/relationships/hyperlink" Target="http://www.nevo.co.il/case/20531134"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26294158" TargetMode="External"/><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case/24908116" TargetMode="External"/><Relationship Id="rId22" Type="http://schemas.openxmlformats.org/officeDocument/2006/relationships/hyperlink" Target="http://www.nevo.co.il/case/25543800" TargetMode="External"/><Relationship Id="rId27" Type="http://schemas.openxmlformats.org/officeDocument/2006/relationships/hyperlink" Target="http://www.nevo.co.il/case/24951166" TargetMode="External"/><Relationship Id="rId30" Type="http://schemas.openxmlformats.org/officeDocument/2006/relationships/header" Target="header2.xml"/><Relationship Id="rId8" Type="http://schemas.openxmlformats.org/officeDocument/2006/relationships/hyperlink" Target="http://www.nevo.co.il/law/70301/144.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1681</Words>
  <Characters>8406</Characters>
  <Application>Microsoft Office Word</Application>
  <DocSecurity>0</DocSecurity>
  <Lines>70</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10067</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3932276</vt:i4>
      </vt:variant>
      <vt:variant>
        <vt:i4>63</vt:i4>
      </vt:variant>
      <vt:variant>
        <vt:i4>0</vt:i4>
      </vt:variant>
      <vt:variant>
        <vt:i4>5</vt:i4>
      </vt:variant>
      <vt:variant>
        <vt:lpwstr>http://www.nevo.co.il/case/24951166</vt:lpwstr>
      </vt:variant>
      <vt:variant>
        <vt:lpwstr/>
      </vt:variant>
      <vt:variant>
        <vt:i4>4063345</vt:i4>
      </vt:variant>
      <vt:variant>
        <vt:i4>60</vt:i4>
      </vt:variant>
      <vt:variant>
        <vt:i4>0</vt:i4>
      </vt:variant>
      <vt:variant>
        <vt:i4>5</vt:i4>
      </vt:variant>
      <vt:variant>
        <vt:lpwstr>http://www.nevo.co.il/case/20832660</vt:lpwstr>
      </vt:variant>
      <vt:variant>
        <vt:lpwstr/>
      </vt:variant>
      <vt:variant>
        <vt:i4>3670139</vt:i4>
      </vt:variant>
      <vt:variant>
        <vt:i4>57</vt:i4>
      </vt:variant>
      <vt:variant>
        <vt:i4>0</vt:i4>
      </vt:variant>
      <vt:variant>
        <vt:i4>5</vt:i4>
      </vt:variant>
      <vt:variant>
        <vt:lpwstr>http://www.nevo.co.il/case/25824863</vt:lpwstr>
      </vt:variant>
      <vt:variant>
        <vt:lpwstr/>
      </vt:variant>
      <vt:variant>
        <vt:i4>3211382</vt:i4>
      </vt:variant>
      <vt:variant>
        <vt:i4>54</vt:i4>
      </vt:variant>
      <vt:variant>
        <vt:i4>0</vt:i4>
      </vt:variant>
      <vt:variant>
        <vt:i4>5</vt:i4>
      </vt:variant>
      <vt:variant>
        <vt:lpwstr>http://www.nevo.co.il/case/22228298</vt:lpwstr>
      </vt:variant>
      <vt:variant>
        <vt:lpwstr/>
      </vt:variant>
      <vt:variant>
        <vt:i4>3473526</vt:i4>
      </vt:variant>
      <vt:variant>
        <vt:i4>51</vt:i4>
      </vt:variant>
      <vt:variant>
        <vt:i4>0</vt:i4>
      </vt:variant>
      <vt:variant>
        <vt:i4>5</vt:i4>
      </vt:variant>
      <vt:variant>
        <vt:lpwstr>http://www.nevo.co.il/case/20531134</vt:lpwstr>
      </vt:variant>
      <vt:variant>
        <vt:lpwstr/>
      </vt:variant>
      <vt:variant>
        <vt:i4>3407997</vt:i4>
      </vt:variant>
      <vt:variant>
        <vt:i4>48</vt:i4>
      </vt:variant>
      <vt:variant>
        <vt:i4>0</vt:i4>
      </vt:variant>
      <vt:variant>
        <vt:i4>5</vt:i4>
      </vt:variant>
      <vt:variant>
        <vt:lpwstr>http://www.nevo.co.il/case/25543800</vt:lpwstr>
      </vt:variant>
      <vt:variant>
        <vt:lpwstr/>
      </vt:variant>
      <vt:variant>
        <vt:i4>3473524</vt:i4>
      </vt:variant>
      <vt:variant>
        <vt:i4>45</vt:i4>
      </vt:variant>
      <vt:variant>
        <vt:i4>0</vt:i4>
      </vt:variant>
      <vt:variant>
        <vt:i4>5</vt:i4>
      </vt:variant>
      <vt:variant>
        <vt:lpwstr>http://www.nevo.co.il/case/22112345</vt:lpwstr>
      </vt:variant>
      <vt:variant>
        <vt:lpwstr/>
      </vt:variant>
      <vt:variant>
        <vt:i4>3407987</vt:i4>
      </vt:variant>
      <vt:variant>
        <vt:i4>42</vt:i4>
      </vt:variant>
      <vt:variant>
        <vt:i4>0</vt:i4>
      </vt:variant>
      <vt:variant>
        <vt:i4>5</vt:i4>
      </vt:variant>
      <vt:variant>
        <vt:lpwstr>http://www.nevo.co.il/case/21474168</vt:lpwstr>
      </vt:variant>
      <vt:variant>
        <vt:lpwstr/>
      </vt:variant>
      <vt:variant>
        <vt:i4>3211386</vt:i4>
      </vt:variant>
      <vt:variant>
        <vt:i4>39</vt:i4>
      </vt:variant>
      <vt:variant>
        <vt:i4>0</vt:i4>
      </vt:variant>
      <vt:variant>
        <vt:i4>5</vt:i4>
      </vt:variant>
      <vt:variant>
        <vt:lpwstr>http://www.nevo.co.il/case/26294158</vt:lpwstr>
      </vt:variant>
      <vt:variant>
        <vt:lpwstr/>
      </vt:variant>
      <vt:variant>
        <vt:i4>3473524</vt:i4>
      </vt:variant>
      <vt:variant>
        <vt:i4>36</vt:i4>
      </vt:variant>
      <vt:variant>
        <vt:i4>0</vt:i4>
      </vt:variant>
      <vt:variant>
        <vt:i4>5</vt:i4>
      </vt:variant>
      <vt:variant>
        <vt:lpwstr>http://www.nevo.co.il/case/26745252</vt:lpwstr>
      </vt:variant>
      <vt:variant>
        <vt:lpwstr/>
      </vt:variant>
      <vt:variant>
        <vt:i4>3145843</vt:i4>
      </vt:variant>
      <vt:variant>
        <vt:i4>33</vt:i4>
      </vt:variant>
      <vt:variant>
        <vt:i4>0</vt:i4>
      </vt:variant>
      <vt:variant>
        <vt:i4>5</vt:i4>
      </vt:variant>
      <vt:variant>
        <vt:lpwstr>http://www.nevo.co.il/case/21475135</vt:lpwstr>
      </vt:variant>
      <vt:variant>
        <vt:lpwstr/>
      </vt:variant>
      <vt:variant>
        <vt:i4>4063354</vt:i4>
      </vt:variant>
      <vt:variant>
        <vt:i4>30</vt:i4>
      </vt:variant>
      <vt:variant>
        <vt:i4>0</vt:i4>
      </vt:variant>
      <vt:variant>
        <vt:i4>5</vt:i4>
      </vt:variant>
      <vt:variant>
        <vt:lpwstr>http://www.nevo.co.il/case/20881655</vt:lpwstr>
      </vt:variant>
      <vt:variant>
        <vt:lpwstr/>
      </vt:variant>
      <vt:variant>
        <vt:i4>3539057</vt:i4>
      </vt:variant>
      <vt:variant>
        <vt:i4>27</vt:i4>
      </vt:variant>
      <vt:variant>
        <vt:i4>0</vt:i4>
      </vt:variant>
      <vt:variant>
        <vt:i4>5</vt:i4>
      </vt:variant>
      <vt:variant>
        <vt:lpwstr>http://www.nevo.co.il/case/24372653</vt:lpwstr>
      </vt:variant>
      <vt:variant>
        <vt:lpwstr/>
      </vt:variant>
      <vt:variant>
        <vt:i4>3276913</vt:i4>
      </vt:variant>
      <vt:variant>
        <vt:i4>24</vt:i4>
      </vt:variant>
      <vt:variant>
        <vt:i4>0</vt:i4>
      </vt:variant>
      <vt:variant>
        <vt:i4>5</vt:i4>
      </vt:variant>
      <vt:variant>
        <vt:lpwstr>http://www.nevo.co.il/case/24908116</vt:lpwstr>
      </vt:variant>
      <vt:variant>
        <vt:lpwstr/>
      </vt:variant>
      <vt:variant>
        <vt:i4>3211377</vt:i4>
      </vt:variant>
      <vt:variant>
        <vt:i4>21</vt:i4>
      </vt:variant>
      <vt:variant>
        <vt:i4>0</vt:i4>
      </vt:variant>
      <vt:variant>
        <vt:i4>5</vt:i4>
      </vt:variant>
      <vt:variant>
        <vt:lpwstr>http://www.nevo.co.il/case/25614110</vt:lpwstr>
      </vt:variant>
      <vt:variant>
        <vt:lpwstr/>
      </vt:variant>
      <vt:variant>
        <vt:i4>3801209</vt:i4>
      </vt:variant>
      <vt:variant>
        <vt:i4>18</vt:i4>
      </vt:variant>
      <vt:variant>
        <vt:i4>0</vt:i4>
      </vt:variant>
      <vt:variant>
        <vt:i4>5</vt:i4>
      </vt:variant>
      <vt:variant>
        <vt:lpwstr>http://www.nevo.co.il/case/24900915</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2025-01-19T17:41:00Z</dcterms:created>
  <dcterms:modified xsi:type="dcterms:W3CDTF">2025-01-19T17:41:00Z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40076</vt:lpwstr>
  </property>
  <property fmtid="{D5CDD505-2E9C-101B-9397-08002B2CF9AE}" pid="6" name="NEWPARTB">
    <vt:lpwstr>02</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מחמד אבו צעלוק</vt:lpwstr>
  </property>
  <property fmtid="{D5CDD505-2E9C-101B-9397-08002B2CF9AE}" pid="10" name="LAWYER">
    <vt:lpwstr>יסמין נוי;שאדי כבהא</vt:lpwstr>
  </property>
  <property fmtid="{D5CDD505-2E9C-101B-9397-08002B2CF9AE}" pid="11" name="JUDGE">
    <vt:lpwstr>מנחם מזרחי</vt:lpwstr>
  </property>
  <property fmtid="{D5CDD505-2E9C-101B-9397-08002B2CF9AE}" pid="12" name="CITY">
    <vt:lpwstr>רמ'</vt:lpwstr>
  </property>
  <property fmtid="{D5CDD505-2E9C-101B-9397-08002B2CF9AE}" pid="13" name="DATE">
    <vt:lpwstr>20200804</vt:lpwstr>
  </property>
  <property fmtid="{D5CDD505-2E9C-101B-9397-08002B2CF9AE}" pid="14" name="TYPE_N_DATE">
    <vt:lpwstr>38020200804</vt:lpwstr>
  </property>
  <property fmtid="{D5CDD505-2E9C-101B-9397-08002B2CF9AE}" pid="15" name="WORDNUMPAGES">
    <vt:lpwstr>7</vt:lpwstr>
  </property>
  <property fmtid="{D5CDD505-2E9C-101B-9397-08002B2CF9AE}" pid="16" name="TYPE_ABS_DATE">
    <vt:lpwstr>380020200804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24900915;25614110;24908116;24372653;20881655;21475135;26745252;26294158;21474168;22112345;25543800;20531134;22228298;25824863;20832660;24951166</vt:lpwstr>
  </property>
  <property fmtid="{D5CDD505-2E9C-101B-9397-08002B2CF9AE}" pid="36" name="LAWLISTTMP1">
    <vt:lpwstr>70301/144.a;144.b</vt:lpwstr>
  </property>
</Properties>
</file>