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DE76E5" w:rsidRPr="00501215" w14:paraId="6A56BC08" w14:textId="77777777" w:rsidTr="00B1323E">
        <w:trPr>
          <w:trHeight w:hRule="exact" w:val="418"/>
          <w:jc w:val="center"/>
        </w:trPr>
        <w:tc>
          <w:tcPr>
            <w:tcW w:w="8721" w:type="dxa"/>
            <w:gridSpan w:val="2"/>
          </w:tcPr>
          <w:p w14:paraId="4313D171" w14:textId="77777777" w:rsidR="00DE76E5" w:rsidRPr="00501215" w:rsidRDefault="00DE76E5" w:rsidP="0014768D">
            <w:pPr>
              <w:pStyle w:val="a3"/>
              <w:jc w:val="center"/>
              <w:rPr>
                <w:rFonts w:ascii="Tahoma" w:hAnsi="Tahoma" w:cs="Tahoma"/>
                <w:color w:val="000080"/>
                <w:rtl/>
              </w:rPr>
            </w:pPr>
            <w:bookmarkStart w:id="0" w:name="LastJudge"/>
            <w:r w:rsidRPr="00501215">
              <w:rPr>
                <w:rFonts w:ascii="Tahoma" w:hAnsi="Tahoma" w:cs="Tahoma"/>
                <w:b/>
                <w:bCs/>
                <w:color w:val="000080"/>
                <w:rtl/>
              </w:rPr>
              <w:t>בית משפט השלום בנצרת</w:t>
            </w:r>
          </w:p>
        </w:tc>
      </w:tr>
      <w:tr w:rsidR="00DE76E5" w:rsidRPr="00501215" w14:paraId="515699AE" w14:textId="77777777" w:rsidTr="00B1323E">
        <w:trPr>
          <w:trHeight w:val="337"/>
          <w:jc w:val="center"/>
        </w:trPr>
        <w:tc>
          <w:tcPr>
            <w:tcW w:w="5058" w:type="dxa"/>
          </w:tcPr>
          <w:p w14:paraId="1C7872E6" w14:textId="77777777" w:rsidR="00DE76E5" w:rsidRPr="00501215" w:rsidRDefault="00DE76E5" w:rsidP="0014768D">
            <w:pPr>
              <w:rPr>
                <w:rFonts w:ascii="David" w:hAnsi="David"/>
                <w:b/>
                <w:bCs/>
                <w:sz w:val="26"/>
                <w:szCs w:val="26"/>
                <w:rtl/>
              </w:rPr>
            </w:pPr>
            <w:r w:rsidRPr="00501215">
              <w:rPr>
                <w:rFonts w:ascii="David" w:hAnsi="David"/>
                <w:b/>
                <w:bCs/>
                <w:sz w:val="26"/>
                <w:szCs w:val="26"/>
                <w:rtl/>
              </w:rPr>
              <w:t>ת"פ 17916-05-19 מדינת ישראל נ' שלבי(עציר)</w:t>
            </w:r>
          </w:p>
        </w:tc>
        <w:tc>
          <w:tcPr>
            <w:tcW w:w="3663" w:type="dxa"/>
          </w:tcPr>
          <w:p w14:paraId="53DC9BEC" w14:textId="77777777" w:rsidR="00DE76E5" w:rsidRPr="00501215" w:rsidRDefault="00DE76E5" w:rsidP="0014768D">
            <w:pPr>
              <w:pStyle w:val="a3"/>
              <w:jc w:val="right"/>
              <w:rPr>
                <w:rFonts w:cs="FrankRuehl"/>
                <w:sz w:val="28"/>
                <w:szCs w:val="28"/>
                <w:rtl/>
              </w:rPr>
            </w:pPr>
          </w:p>
        </w:tc>
      </w:tr>
    </w:tbl>
    <w:p w14:paraId="0252861A" w14:textId="77777777" w:rsidR="00DE76E5" w:rsidRPr="00501215" w:rsidRDefault="00DE76E5" w:rsidP="00DE76E5">
      <w:pPr>
        <w:pStyle w:val="a3"/>
        <w:rPr>
          <w:rtl/>
        </w:rPr>
      </w:pPr>
      <w:r w:rsidRPr="00501215">
        <w:rPr>
          <w:rFonts w:hint="cs"/>
          <w:rtl/>
        </w:rPr>
        <w:t xml:space="preserve"> </w:t>
      </w:r>
    </w:p>
    <w:p w14:paraId="32EF3769" w14:textId="77777777" w:rsidR="00DE76E5" w:rsidRPr="00501215" w:rsidRDefault="00DE76E5" w:rsidP="00DE76E5">
      <w:pPr>
        <w:rPr>
          <w:rtl/>
        </w:rPr>
      </w:pPr>
    </w:p>
    <w:p w14:paraId="1E2D982E" w14:textId="77777777" w:rsidR="00DE76E5" w:rsidRPr="00501215" w:rsidRDefault="00DE76E5" w:rsidP="00DE76E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E76E5" w:rsidRPr="00501215" w14:paraId="64879B99" w14:textId="77777777" w:rsidTr="00DE76E5">
        <w:trPr>
          <w:trHeight w:val="295"/>
          <w:jc w:val="center"/>
        </w:trPr>
        <w:tc>
          <w:tcPr>
            <w:tcW w:w="923" w:type="dxa"/>
            <w:tcBorders>
              <w:top w:val="nil"/>
              <w:left w:val="nil"/>
              <w:bottom w:val="nil"/>
              <w:right w:val="nil"/>
            </w:tcBorders>
            <w:shd w:val="clear" w:color="auto" w:fill="auto"/>
          </w:tcPr>
          <w:p w14:paraId="5633EFCE" w14:textId="77777777" w:rsidR="00DE76E5" w:rsidRPr="00501215" w:rsidRDefault="00DE76E5" w:rsidP="00DE76E5">
            <w:pPr>
              <w:jc w:val="both"/>
              <w:rPr>
                <w:rFonts w:ascii="David" w:hAnsi="David"/>
                <w:b/>
                <w:bCs/>
                <w:sz w:val="26"/>
                <w:szCs w:val="26"/>
              </w:rPr>
            </w:pPr>
            <w:r w:rsidRPr="00501215">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1839C89" w14:textId="77777777" w:rsidR="00DE76E5" w:rsidRPr="00501215" w:rsidRDefault="00DE76E5" w:rsidP="0014768D">
            <w:pPr>
              <w:rPr>
                <w:rFonts w:ascii="David" w:hAnsi="David"/>
                <w:b/>
                <w:bCs/>
                <w:sz w:val="26"/>
                <w:szCs w:val="26"/>
                <w:rtl/>
              </w:rPr>
            </w:pPr>
            <w:r w:rsidRPr="00501215">
              <w:rPr>
                <w:rFonts w:ascii="David" w:hAnsi="David"/>
                <w:b/>
                <w:bCs/>
                <w:sz w:val="26"/>
                <w:szCs w:val="26"/>
                <w:rtl/>
              </w:rPr>
              <w:t>כבוד השופטת  רות שפילברג כהן</w:t>
            </w:r>
          </w:p>
          <w:p w14:paraId="5119006C" w14:textId="77777777" w:rsidR="00DE76E5" w:rsidRPr="00501215" w:rsidRDefault="00DE76E5" w:rsidP="0014768D">
            <w:pPr>
              <w:rPr>
                <w:rFonts w:ascii="David" w:hAnsi="David"/>
                <w:b/>
                <w:bCs/>
                <w:sz w:val="26"/>
                <w:szCs w:val="26"/>
                <w:rtl/>
              </w:rPr>
            </w:pPr>
          </w:p>
          <w:p w14:paraId="4732021B" w14:textId="77777777" w:rsidR="00DE76E5" w:rsidRPr="00501215" w:rsidRDefault="00DE76E5" w:rsidP="00DE76E5">
            <w:pPr>
              <w:jc w:val="both"/>
              <w:rPr>
                <w:rFonts w:ascii="David" w:hAnsi="David"/>
                <w:b/>
                <w:bCs/>
                <w:sz w:val="26"/>
                <w:szCs w:val="26"/>
              </w:rPr>
            </w:pPr>
          </w:p>
        </w:tc>
      </w:tr>
      <w:tr w:rsidR="00DE76E5" w:rsidRPr="00501215" w14:paraId="361C0172" w14:textId="77777777" w:rsidTr="00DE76E5">
        <w:trPr>
          <w:trHeight w:val="355"/>
          <w:jc w:val="center"/>
        </w:trPr>
        <w:tc>
          <w:tcPr>
            <w:tcW w:w="923" w:type="dxa"/>
            <w:tcBorders>
              <w:top w:val="nil"/>
              <w:left w:val="nil"/>
              <w:bottom w:val="nil"/>
              <w:right w:val="nil"/>
            </w:tcBorders>
            <w:shd w:val="clear" w:color="auto" w:fill="auto"/>
          </w:tcPr>
          <w:p w14:paraId="41693BF6" w14:textId="77777777" w:rsidR="00DE76E5" w:rsidRPr="00501215" w:rsidRDefault="00DE76E5" w:rsidP="00DE76E5">
            <w:pPr>
              <w:jc w:val="both"/>
              <w:rPr>
                <w:rFonts w:ascii="David" w:hAnsi="David"/>
                <w:b/>
                <w:bCs/>
                <w:sz w:val="26"/>
                <w:szCs w:val="26"/>
              </w:rPr>
            </w:pPr>
            <w:bookmarkStart w:id="1" w:name="FirstAppellant"/>
            <w:r w:rsidRPr="00501215">
              <w:rPr>
                <w:rFonts w:ascii="David" w:hAnsi="David"/>
                <w:b/>
                <w:bCs/>
                <w:sz w:val="26"/>
                <w:szCs w:val="26"/>
                <w:rtl/>
              </w:rPr>
              <w:t>בעניין:</w:t>
            </w:r>
          </w:p>
        </w:tc>
        <w:tc>
          <w:tcPr>
            <w:tcW w:w="4126" w:type="dxa"/>
            <w:tcBorders>
              <w:top w:val="nil"/>
              <w:left w:val="nil"/>
              <w:bottom w:val="nil"/>
              <w:right w:val="nil"/>
            </w:tcBorders>
            <w:shd w:val="clear" w:color="auto" w:fill="auto"/>
          </w:tcPr>
          <w:p w14:paraId="7D2E1E1C" w14:textId="77777777" w:rsidR="00DE76E5" w:rsidRPr="00501215" w:rsidRDefault="00DE76E5" w:rsidP="0014768D">
            <w:pPr>
              <w:rPr>
                <w:rFonts w:ascii="David" w:hAnsi="David"/>
                <w:b/>
                <w:bCs/>
                <w:sz w:val="26"/>
                <w:szCs w:val="26"/>
              </w:rPr>
            </w:pPr>
            <w:r w:rsidRPr="00501215">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6D461EE4" w14:textId="77777777" w:rsidR="00DE76E5" w:rsidRPr="00501215" w:rsidRDefault="00DE76E5" w:rsidP="00DE76E5">
            <w:pPr>
              <w:jc w:val="both"/>
              <w:rPr>
                <w:rFonts w:ascii="David" w:hAnsi="David"/>
                <w:b/>
                <w:bCs/>
                <w:sz w:val="26"/>
                <w:szCs w:val="26"/>
              </w:rPr>
            </w:pPr>
          </w:p>
        </w:tc>
      </w:tr>
      <w:bookmarkEnd w:id="1"/>
      <w:tr w:rsidR="00DE76E5" w:rsidRPr="00501215" w14:paraId="1DBB816D" w14:textId="77777777" w:rsidTr="00DE76E5">
        <w:trPr>
          <w:trHeight w:val="355"/>
          <w:jc w:val="center"/>
        </w:trPr>
        <w:tc>
          <w:tcPr>
            <w:tcW w:w="923" w:type="dxa"/>
            <w:tcBorders>
              <w:top w:val="nil"/>
              <w:left w:val="nil"/>
              <w:bottom w:val="nil"/>
              <w:right w:val="nil"/>
            </w:tcBorders>
            <w:shd w:val="clear" w:color="auto" w:fill="auto"/>
          </w:tcPr>
          <w:p w14:paraId="6B704C8D" w14:textId="77777777" w:rsidR="00DE76E5" w:rsidRPr="00501215" w:rsidRDefault="00DE76E5" w:rsidP="00DE76E5">
            <w:pPr>
              <w:jc w:val="both"/>
              <w:rPr>
                <w:rFonts w:ascii="David" w:hAnsi="David"/>
                <w:b/>
                <w:bCs/>
                <w:sz w:val="26"/>
                <w:szCs w:val="26"/>
                <w:rtl/>
              </w:rPr>
            </w:pPr>
          </w:p>
        </w:tc>
        <w:tc>
          <w:tcPr>
            <w:tcW w:w="4126" w:type="dxa"/>
            <w:tcBorders>
              <w:top w:val="nil"/>
              <w:left w:val="nil"/>
              <w:bottom w:val="nil"/>
              <w:right w:val="nil"/>
            </w:tcBorders>
            <w:shd w:val="clear" w:color="auto" w:fill="auto"/>
          </w:tcPr>
          <w:p w14:paraId="4E35AAC4" w14:textId="77777777" w:rsidR="00DE76E5" w:rsidRPr="00501215" w:rsidRDefault="00DE76E5" w:rsidP="00DE76E5">
            <w:pPr>
              <w:jc w:val="both"/>
              <w:rPr>
                <w:rFonts w:ascii="David" w:hAnsi="David"/>
                <w:b/>
                <w:bCs/>
                <w:sz w:val="26"/>
                <w:szCs w:val="26"/>
                <w:rtl/>
              </w:rPr>
            </w:pPr>
          </w:p>
        </w:tc>
        <w:tc>
          <w:tcPr>
            <w:tcW w:w="3771" w:type="dxa"/>
            <w:tcBorders>
              <w:top w:val="nil"/>
              <w:left w:val="nil"/>
              <w:bottom w:val="nil"/>
              <w:right w:val="nil"/>
            </w:tcBorders>
            <w:shd w:val="clear" w:color="auto" w:fill="auto"/>
          </w:tcPr>
          <w:p w14:paraId="7BE5109E" w14:textId="77777777" w:rsidR="00DE76E5" w:rsidRPr="00501215" w:rsidRDefault="00DE76E5" w:rsidP="00DE76E5">
            <w:pPr>
              <w:jc w:val="right"/>
              <w:rPr>
                <w:rFonts w:ascii="David" w:hAnsi="David"/>
                <w:b/>
                <w:bCs/>
                <w:sz w:val="26"/>
                <w:szCs w:val="26"/>
                <w:rtl/>
              </w:rPr>
            </w:pPr>
            <w:r w:rsidRPr="00501215">
              <w:rPr>
                <w:rFonts w:ascii="David" w:hAnsi="David"/>
                <w:b/>
                <w:bCs/>
                <w:sz w:val="26"/>
                <w:szCs w:val="26"/>
                <w:rtl/>
              </w:rPr>
              <w:t>המאשימה</w:t>
            </w:r>
          </w:p>
        </w:tc>
      </w:tr>
      <w:tr w:rsidR="00DE76E5" w:rsidRPr="00501215" w14:paraId="0679578C" w14:textId="77777777" w:rsidTr="00DE76E5">
        <w:trPr>
          <w:trHeight w:val="355"/>
          <w:jc w:val="center"/>
        </w:trPr>
        <w:tc>
          <w:tcPr>
            <w:tcW w:w="923" w:type="dxa"/>
            <w:tcBorders>
              <w:top w:val="nil"/>
              <w:left w:val="nil"/>
              <w:bottom w:val="nil"/>
              <w:right w:val="nil"/>
            </w:tcBorders>
            <w:shd w:val="clear" w:color="auto" w:fill="auto"/>
          </w:tcPr>
          <w:p w14:paraId="3D60E82C" w14:textId="77777777" w:rsidR="00DE76E5" w:rsidRPr="00501215" w:rsidRDefault="00DE76E5" w:rsidP="00DE76E5">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9B7B4F4" w14:textId="77777777" w:rsidR="00DE76E5" w:rsidRPr="00501215" w:rsidRDefault="00DE76E5" w:rsidP="00DE76E5">
            <w:pPr>
              <w:jc w:val="center"/>
              <w:rPr>
                <w:rFonts w:ascii="David" w:hAnsi="David"/>
                <w:b/>
                <w:bCs/>
                <w:sz w:val="26"/>
                <w:szCs w:val="26"/>
                <w:rtl/>
              </w:rPr>
            </w:pPr>
          </w:p>
          <w:p w14:paraId="27A5CDBB" w14:textId="77777777" w:rsidR="00DE76E5" w:rsidRPr="00501215" w:rsidRDefault="00DE76E5" w:rsidP="00DE76E5">
            <w:pPr>
              <w:jc w:val="center"/>
              <w:rPr>
                <w:rFonts w:ascii="David" w:hAnsi="David"/>
                <w:b/>
                <w:bCs/>
                <w:sz w:val="26"/>
                <w:szCs w:val="26"/>
                <w:rtl/>
              </w:rPr>
            </w:pPr>
            <w:r w:rsidRPr="00501215">
              <w:rPr>
                <w:rFonts w:ascii="David" w:hAnsi="David"/>
                <w:b/>
                <w:bCs/>
                <w:sz w:val="26"/>
                <w:szCs w:val="26"/>
                <w:rtl/>
              </w:rPr>
              <w:t>נגד</w:t>
            </w:r>
          </w:p>
          <w:p w14:paraId="1ED257A7" w14:textId="77777777" w:rsidR="00DE76E5" w:rsidRPr="00501215" w:rsidRDefault="00DE76E5" w:rsidP="00DE76E5">
            <w:pPr>
              <w:jc w:val="both"/>
              <w:rPr>
                <w:rFonts w:ascii="David" w:hAnsi="David"/>
                <w:b/>
                <w:bCs/>
                <w:sz w:val="26"/>
                <w:szCs w:val="26"/>
              </w:rPr>
            </w:pPr>
          </w:p>
        </w:tc>
      </w:tr>
      <w:tr w:rsidR="00DE76E5" w:rsidRPr="00501215" w14:paraId="3DE28095" w14:textId="77777777" w:rsidTr="00DE76E5">
        <w:trPr>
          <w:trHeight w:val="355"/>
          <w:jc w:val="center"/>
        </w:trPr>
        <w:tc>
          <w:tcPr>
            <w:tcW w:w="923" w:type="dxa"/>
            <w:tcBorders>
              <w:top w:val="nil"/>
              <w:left w:val="nil"/>
              <w:bottom w:val="nil"/>
              <w:right w:val="nil"/>
            </w:tcBorders>
            <w:shd w:val="clear" w:color="auto" w:fill="auto"/>
          </w:tcPr>
          <w:p w14:paraId="782039F9" w14:textId="77777777" w:rsidR="00DE76E5" w:rsidRPr="00501215" w:rsidRDefault="00DE76E5" w:rsidP="0014768D">
            <w:pPr>
              <w:rPr>
                <w:rFonts w:ascii="David" w:hAnsi="David"/>
                <w:b/>
                <w:bCs/>
                <w:sz w:val="26"/>
                <w:szCs w:val="26"/>
                <w:rtl/>
              </w:rPr>
            </w:pPr>
          </w:p>
        </w:tc>
        <w:tc>
          <w:tcPr>
            <w:tcW w:w="4126" w:type="dxa"/>
            <w:tcBorders>
              <w:top w:val="nil"/>
              <w:left w:val="nil"/>
              <w:bottom w:val="nil"/>
              <w:right w:val="nil"/>
            </w:tcBorders>
            <w:shd w:val="clear" w:color="auto" w:fill="auto"/>
          </w:tcPr>
          <w:p w14:paraId="075CF46E" w14:textId="77777777" w:rsidR="00DE76E5" w:rsidRPr="00501215" w:rsidRDefault="00DE76E5" w:rsidP="0014768D">
            <w:pPr>
              <w:rPr>
                <w:rFonts w:ascii="David" w:hAnsi="David"/>
                <w:b/>
                <w:bCs/>
                <w:sz w:val="26"/>
                <w:szCs w:val="26"/>
                <w:rtl/>
              </w:rPr>
            </w:pPr>
            <w:r w:rsidRPr="00501215">
              <w:rPr>
                <w:rFonts w:ascii="David" w:hAnsi="David"/>
                <w:b/>
                <w:bCs/>
                <w:sz w:val="26"/>
                <w:szCs w:val="26"/>
                <w:rtl/>
              </w:rPr>
              <w:t xml:space="preserve">אחמד שלבי </w:t>
            </w:r>
          </w:p>
        </w:tc>
        <w:tc>
          <w:tcPr>
            <w:tcW w:w="3771" w:type="dxa"/>
            <w:tcBorders>
              <w:top w:val="nil"/>
              <w:left w:val="nil"/>
              <w:bottom w:val="nil"/>
              <w:right w:val="nil"/>
            </w:tcBorders>
            <w:shd w:val="clear" w:color="auto" w:fill="auto"/>
          </w:tcPr>
          <w:p w14:paraId="1419D3E4" w14:textId="77777777" w:rsidR="00DE76E5" w:rsidRPr="00501215" w:rsidRDefault="00DE76E5" w:rsidP="00DE76E5">
            <w:pPr>
              <w:jc w:val="right"/>
              <w:rPr>
                <w:rFonts w:ascii="David" w:hAnsi="David"/>
                <w:b/>
                <w:bCs/>
                <w:sz w:val="26"/>
                <w:szCs w:val="26"/>
              </w:rPr>
            </w:pPr>
          </w:p>
        </w:tc>
      </w:tr>
      <w:tr w:rsidR="00DE76E5" w:rsidRPr="00501215" w14:paraId="49108522" w14:textId="77777777" w:rsidTr="00DE76E5">
        <w:trPr>
          <w:trHeight w:val="355"/>
          <w:jc w:val="center"/>
        </w:trPr>
        <w:tc>
          <w:tcPr>
            <w:tcW w:w="923" w:type="dxa"/>
            <w:tcBorders>
              <w:top w:val="nil"/>
              <w:left w:val="nil"/>
              <w:bottom w:val="nil"/>
              <w:right w:val="nil"/>
            </w:tcBorders>
            <w:shd w:val="clear" w:color="auto" w:fill="auto"/>
          </w:tcPr>
          <w:p w14:paraId="356BBB28" w14:textId="77777777" w:rsidR="00DE76E5" w:rsidRPr="00501215" w:rsidRDefault="00DE76E5" w:rsidP="00DE76E5">
            <w:pPr>
              <w:jc w:val="both"/>
              <w:rPr>
                <w:rFonts w:ascii="David" w:hAnsi="David"/>
                <w:b/>
                <w:bCs/>
                <w:sz w:val="26"/>
                <w:szCs w:val="26"/>
                <w:rtl/>
              </w:rPr>
            </w:pPr>
          </w:p>
        </w:tc>
        <w:tc>
          <w:tcPr>
            <w:tcW w:w="4126" w:type="dxa"/>
            <w:tcBorders>
              <w:top w:val="nil"/>
              <w:left w:val="nil"/>
              <w:bottom w:val="nil"/>
              <w:right w:val="nil"/>
            </w:tcBorders>
            <w:shd w:val="clear" w:color="auto" w:fill="auto"/>
          </w:tcPr>
          <w:p w14:paraId="00F7BE02" w14:textId="77777777" w:rsidR="00DE76E5" w:rsidRPr="00501215" w:rsidRDefault="00DE76E5" w:rsidP="00DE76E5">
            <w:pPr>
              <w:jc w:val="both"/>
              <w:rPr>
                <w:rFonts w:ascii="David" w:hAnsi="David"/>
                <w:b/>
                <w:bCs/>
                <w:sz w:val="26"/>
                <w:szCs w:val="26"/>
                <w:rtl/>
              </w:rPr>
            </w:pPr>
          </w:p>
        </w:tc>
        <w:tc>
          <w:tcPr>
            <w:tcW w:w="3771" w:type="dxa"/>
            <w:tcBorders>
              <w:top w:val="nil"/>
              <w:left w:val="nil"/>
              <w:bottom w:val="nil"/>
              <w:right w:val="nil"/>
            </w:tcBorders>
            <w:shd w:val="clear" w:color="auto" w:fill="auto"/>
          </w:tcPr>
          <w:p w14:paraId="3B41095A" w14:textId="77777777" w:rsidR="00DE76E5" w:rsidRPr="00501215" w:rsidRDefault="00DE76E5" w:rsidP="00DE76E5">
            <w:pPr>
              <w:jc w:val="right"/>
              <w:rPr>
                <w:rFonts w:ascii="David" w:hAnsi="David"/>
                <w:b/>
                <w:bCs/>
                <w:sz w:val="26"/>
                <w:szCs w:val="26"/>
              </w:rPr>
            </w:pPr>
            <w:r w:rsidRPr="00501215">
              <w:rPr>
                <w:rFonts w:ascii="David" w:hAnsi="David"/>
                <w:b/>
                <w:bCs/>
                <w:sz w:val="26"/>
                <w:szCs w:val="26"/>
                <w:rtl/>
              </w:rPr>
              <w:t>הנאשמים</w:t>
            </w:r>
          </w:p>
        </w:tc>
      </w:tr>
    </w:tbl>
    <w:p w14:paraId="19D03A94" w14:textId="77777777" w:rsidR="002267B6" w:rsidRDefault="002267B6" w:rsidP="002267B6">
      <w:pPr>
        <w:rPr>
          <w:rtl/>
        </w:rPr>
      </w:pPr>
      <w:bookmarkStart w:id="2" w:name="LawTable"/>
      <w:bookmarkEnd w:id="2"/>
    </w:p>
    <w:p w14:paraId="6463EF58" w14:textId="77777777" w:rsidR="002267B6" w:rsidRPr="002267B6" w:rsidRDefault="002267B6" w:rsidP="002267B6">
      <w:pPr>
        <w:spacing w:before="120" w:after="120" w:line="240" w:lineRule="exact"/>
        <w:ind w:left="283" w:hanging="283"/>
        <w:jc w:val="both"/>
        <w:rPr>
          <w:rFonts w:ascii="FrankRuehl" w:hAnsi="FrankRuehl" w:cs="FrankRuehl"/>
          <w:rtl/>
        </w:rPr>
      </w:pPr>
    </w:p>
    <w:p w14:paraId="68E1E9EB" w14:textId="77777777" w:rsidR="002267B6" w:rsidRPr="002267B6" w:rsidRDefault="002267B6" w:rsidP="002267B6">
      <w:pPr>
        <w:spacing w:before="120" w:after="120" w:line="240" w:lineRule="exact"/>
        <w:ind w:left="283" w:hanging="283"/>
        <w:jc w:val="both"/>
        <w:rPr>
          <w:rFonts w:ascii="FrankRuehl" w:hAnsi="FrankRuehl" w:cs="FrankRuehl"/>
          <w:rtl/>
        </w:rPr>
      </w:pPr>
    </w:p>
    <w:p w14:paraId="3DD7CC3D" w14:textId="77777777" w:rsidR="002267B6" w:rsidRPr="002267B6" w:rsidRDefault="002267B6" w:rsidP="002267B6">
      <w:pPr>
        <w:spacing w:before="120" w:after="120" w:line="240" w:lineRule="exact"/>
        <w:ind w:left="283" w:hanging="283"/>
        <w:jc w:val="both"/>
        <w:rPr>
          <w:rFonts w:ascii="FrankRuehl" w:hAnsi="FrankRuehl" w:cs="FrankRuehl"/>
          <w:rtl/>
        </w:rPr>
      </w:pPr>
      <w:r w:rsidRPr="002267B6">
        <w:rPr>
          <w:rFonts w:ascii="FrankRuehl" w:hAnsi="FrankRuehl" w:cs="FrankRuehl"/>
          <w:rtl/>
        </w:rPr>
        <w:t xml:space="preserve">חקיקה שאוזכרה: </w:t>
      </w:r>
    </w:p>
    <w:p w14:paraId="1AC32145" w14:textId="77777777" w:rsidR="002267B6" w:rsidRPr="002267B6" w:rsidRDefault="002267B6" w:rsidP="002267B6">
      <w:pPr>
        <w:spacing w:before="120" w:after="120" w:line="240" w:lineRule="exact"/>
        <w:ind w:left="283" w:hanging="283"/>
        <w:jc w:val="both"/>
        <w:rPr>
          <w:rFonts w:ascii="FrankRuehl" w:hAnsi="FrankRuehl" w:cs="FrankRuehl"/>
          <w:rtl/>
        </w:rPr>
      </w:pPr>
      <w:hyperlink r:id="rId7" w:history="1">
        <w:r w:rsidRPr="002267B6">
          <w:rPr>
            <w:rFonts w:ascii="FrankRuehl" w:hAnsi="FrankRuehl" w:cs="FrankRuehl"/>
            <w:color w:val="0000FF"/>
            <w:rtl/>
          </w:rPr>
          <w:t>חוק העונשין, תשל"ז-1977</w:t>
        </w:r>
      </w:hyperlink>
      <w:r w:rsidRPr="002267B6">
        <w:rPr>
          <w:rFonts w:ascii="FrankRuehl" w:hAnsi="FrankRuehl" w:cs="FrankRuehl"/>
          <w:rtl/>
        </w:rPr>
        <w:t xml:space="preserve">: סע'  </w:t>
      </w:r>
      <w:hyperlink r:id="rId8" w:history="1">
        <w:r w:rsidRPr="002267B6">
          <w:rPr>
            <w:rFonts w:ascii="FrankRuehl" w:hAnsi="FrankRuehl" w:cs="FrankRuehl"/>
            <w:color w:val="0000FF"/>
            <w:rtl/>
          </w:rPr>
          <w:t>144(א)</w:t>
        </w:r>
      </w:hyperlink>
    </w:p>
    <w:p w14:paraId="4AE01720" w14:textId="77777777" w:rsidR="002267B6" w:rsidRPr="002267B6" w:rsidRDefault="002267B6" w:rsidP="002267B6">
      <w:pPr>
        <w:rPr>
          <w:rtl/>
        </w:rPr>
      </w:pPr>
      <w:bookmarkStart w:id="3" w:name="LawTable_End"/>
      <w:bookmarkEnd w:id="3"/>
    </w:p>
    <w:p w14:paraId="11E41645" w14:textId="77777777" w:rsidR="00DE76E5" w:rsidRPr="00B1323E" w:rsidRDefault="00DE76E5" w:rsidP="00B1323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76E5" w14:paraId="05D260EF" w14:textId="77777777" w:rsidTr="00DE76E5">
        <w:trPr>
          <w:trHeight w:val="355"/>
          <w:jc w:val="center"/>
        </w:trPr>
        <w:tc>
          <w:tcPr>
            <w:tcW w:w="8820" w:type="dxa"/>
            <w:tcBorders>
              <w:top w:val="nil"/>
              <w:left w:val="nil"/>
              <w:bottom w:val="nil"/>
              <w:right w:val="nil"/>
            </w:tcBorders>
            <w:shd w:val="clear" w:color="auto" w:fill="auto"/>
          </w:tcPr>
          <w:p w14:paraId="76372144" w14:textId="77777777" w:rsidR="00501215" w:rsidRPr="00501215" w:rsidRDefault="00501215" w:rsidP="00501215">
            <w:pPr>
              <w:jc w:val="center"/>
              <w:rPr>
                <w:rFonts w:ascii="David" w:hAnsi="David"/>
                <w:b/>
                <w:bCs/>
                <w:sz w:val="28"/>
                <w:szCs w:val="28"/>
                <w:u w:val="single"/>
                <w:rtl/>
              </w:rPr>
            </w:pPr>
            <w:bookmarkStart w:id="4" w:name="PsakDin" w:colFirst="0" w:colLast="0"/>
            <w:bookmarkEnd w:id="0"/>
            <w:r w:rsidRPr="00501215">
              <w:rPr>
                <w:rFonts w:ascii="David" w:hAnsi="David"/>
                <w:b/>
                <w:bCs/>
                <w:sz w:val="28"/>
                <w:szCs w:val="28"/>
                <w:u w:val="single"/>
                <w:rtl/>
              </w:rPr>
              <w:t>גזר-דין</w:t>
            </w:r>
          </w:p>
          <w:p w14:paraId="3C04237E" w14:textId="77777777" w:rsidR="00DE76E5" w:rsidRPr="00501215" w:rsidRDefault="00DE76E5" w:rsidP="00501215">
            <w:pPr>
              <w:jc w:val="center"/>
              <w:rPr>
                <w:rFonts w:ascii="David" w:hAnsi="David"/>
                <w:bCs/>
                <w:sz w:val="28"/>
                <w:szCs w:val="28"/>
                <w:u w:val="single"/>
                <w:rtl/>
              </w:rPr>
            </w:pPr>
          </w:p>
        </w:tc>
      </w:tr>
      <w:bookmarkEnd w:id="4"/>
    </w:tbl>
    <w:p w14:paraId="72DD613A" w14:textId="77777777" w:rsidR="00DE76E5" w:rsidRPr="00B05847" w:rsidRDefault="00DE76E5" w:rsidP="00DE76E5">
      <w:pPr>
        <w:rPr>
          <w:rFonts w:ascii="Arial" w:hAnsi="Arial"/>
          <w:rtl/>
        </w:rPr>
      </w:pPr>
    </w:p>
    <w:p w14:paraId="31E7D4F3" w14:textId="77777777" w:rsidR="00DE76E5" w:rsidRPr="00B05847" w:rsidRDefault="00DE76E5" w:rsidP="00DE76E5">
      <w:pPr>
        <w:rPr>
          <w:rFonts w:ascii="Arial" w:hAnsi="Arial"/>
          <w:rtl/>
        </w:rPr>
      </w:pPr>
    </w:p>
    <w:p w14:paraId="25E130E4" w14:textId="77777777" w:rsidR="00DE76E5" w:rsidRDefault="00DE76E5" w:rsidP="00DE76E5">
      <w:pPr>
        <w:spacing w:line="360" w:lineRule="auto"/>
        <w:jc w:val="both"/>
        <w:rPr>
          <w:b/>
          <w:bCs/>
          <w:u w:val="single"/>
        </w:rPr>
      </w:pPr>
      <w:r>
        <w:rPr>
          <w:rFonts w:hint="cs"/>
          <w:b/>
          <w:bCs/>
          <w:u w:val="single"/>
          <w:rtl/>
        </w:rPr>
        <w:t>כתב אישום ורקע</w:t>
      </w:r>
    </w:p>
    <w:p w14:paraId="4B1D60A9" w14:textId="77777777" w:rsidR="00DE76E5" w:rsidRDefault="00DE76E5" w:rsidP="00DE76E5">
      <w:pPr>
        <w:spacing w:line="360" w:lineRule="auto"/>
        <w:jc w:val="both"/>
        <w:rPr>
          <w:b/>
          <w:bCs/>
          <w:u w:val="single"/>
        </w:rPr>
      </w:pPr>
    </w:p>
    <w:p w14:paraId="41121853" w14:textId="77777777" w:rsidR="00DE76E5" w:rsidRDefault="00DE76E5" w:rsidP="00DE76E5">
      <w:pPr>
        <w:spacing w:line="360" w:lineRule="auto"/>
        <w:ind w:left="720" w:hanging="720"/>
        <w:jc w:val="both"/>
      </w:pPr>
      <w:r>
        <w:rPr>
          <w:rFonts w:hint="cs"/>
          <w:rtl/>
        </w:rPr>
        <w:t>1.</w:t>
      </w:r>
      <w:r w:rsidR="00501215">
        <w:rPr>
          <w:rFonts w:hint="cs"/>
          <w:rtl/>
        </w:rPr>
        <w:t xml:space="preserve">        </w:t>
      </w:r>
      <w:r>
        <w:rPr>
          <w:rFonts w:hint="cs"/>
          <w:rtl/>
        </w:rPr>
        <w:t xml:space="preserve"> </w:t>
      </w:r>
      <w:r>
        <w:rPr>
          <w:rFonts w:hint="cs"/>
          <w:rtl/>
        </w:rPr>
        <w:tab/>
      </w:r>
      <w:bookmarkStart w:id="5" w:name="ABSTRACT_START"/>
      <w:bookmarkEnd w:id="5"/>
      <w:r>
        <w:rPr>
          <w:rFonts w:hint="cs"/>
          <w:rtl/>
        </w:rPr>
        <w:t>הנאשם הורשע על-פי הודאתו, בכתב אישום מתוקן במסגרת הסדר טיעון מיום 24.11.19, בעבירות של</w:t>
      </w:r>
      <w:r>
        <w:rPr>
          <w:rFonts w:hint="cs"/>
          <w:b/>
          <w:bCs/>
          <w:rtl/>
        </w:rPr>
        <w:t xml:space="preserve"> החזקת נשק</w:t>
      </w:r>
      <w:r>
        <w:rPr>
          <w:rFonts w:hint="cs"/>
          <w:rtl/>
        </w:rPr>
        <w:t xml:space="preserve"> לפי </w:t>
      </w:r>
      <w:hyperlink r:id="rId9" w:history="1">
        <w:r w:rsidR="00B1323E" w:rsidRPr="00B1323E">
          <w:rPr>
            <w:rStyle w:val="Hyperlink"/>
            <w:rFonts w:hint="eastAsia"/>
            <w:rtl/>
          </w:rPr>
          <w:t>סעיף</w:t>
        </w:r>
        <w:r w:rsidR="00B1323E" w:rsidRPr="00B1323E">
          <w:rPr>
            <w:rStyle w:val="Hyperlink"/>
            <w:rtl/>
          </w:rPr>
          <w:t xml:space="preserve"> 144(א)</w:t>
        </w:r>
      </w:hyperlink>
      <w:r>
        <w:rPr>
          <w:rFonts w:hint="cs"/>
          <w:b/>
          <w:bCs/>
          <w:rtl/>
        </w:rPr>
        <w:t>,</w:t>
      </w:r>
      <w:r>
        <w:rPr>
          <w:rFonts w:hint="cs"/>
          <w:rtl/>
        </w:rPr>
        <w:t xml:space="preserve"> ל</w:t>
      </w:r>
      <w:hyperlink r:id="rId10" w:history="1">
        <w:r w:rsidR="00501215" w:rsidRPr="00501215">
          <w:rPr>
            <w:color w:val="0000FF"/>
            <w:u w:val="single"/>
            <w:rtl/>
          </w:rPr>
          <w:t>חוק העונשין</w:t>
        </w:r>
      </w:hyperlink>
      <w:r>
        <w:rPr>
          <w:rFonts w:hint="cs"/>
          <w:rtl/>
        </w:rPr>
        <w:t xml:space="preserve">, התשל"ז-1977, </w:t>
      </w:r>
      <w:r>
        <w:rPr>
          <w:rFonts w:hint="cs"/>
          <w:b/>
          <w:bCs/>
          <w:rtl/>
        </w:rPr>
        <w:t>והחזקת חלק של נשק או תחמושת</w:t>
      </w:r>
      <w:r>
        <w:rPr>
          <w:rFonts w:hint="cs"/>
          <w:rtl/>
        </w:rPr>
        <w:t xml:space="preserve">, לפי </w:t>
      </w:r>
      <w:hyperlink r:id="rId11" w:history="1">
        <w:r w:rsidR="00B1323E" w:rsidRPr="00B1323E">
          <w:rPr>
            <w:rStyle w:val="Hyperlink"/>
            <w:rFonts w:hint="eastAsia"/>
            <w:rtl/>
          </w:rPr>
          <w:t>סעיף</w:t>
        </w:r>
        <w:r w:rsidR="00B1323E" w:rsidRPr="00B1323E">
          <w:rPr>
            <w:rStyle w:val="Hyperlink"/>
            <w:rtl/>
          </w:rPr>
          <w:t xml:space="preserve"> 144(א)</w:t>
        </w:r>
      </w:hyperlink>
      <w:r>
        <w:rPr>
          <w:rFonts w:hint="cs"/>
          <w:rtl/>
        </w:rPr>
        <w:t xml:space="preserve"> סיפא לחוק.</w:t>
      </w:r>
    </w:p>
    <w:p w14:paraId="6E3BF553" w14:textId="77777777" w:rsidR="00DE76E5" w:rsidRDefault="00DE76E5" w:rsidP="00DE76E5">
      <w:pPr>
        <w:spacing w:line="360" w:lineRule="auto"/>
        <w:jc w:val="both"/>
      </w:pPr>
      <w:bookmarkStart w:id="6" w:name="ABSTRACT_END"/>
      <w:bookmarkEnd w:id="6"/>
    </w:p>
    <w:p w14:paraId="0D3F74CE" w14:textId="77777777" w:rsidR="00DE76E5" w:rsidRDefault="00DE76E5" w:rsidP="00DE76E5">
      <w:pPr>
        <w:spacing w:line="360" w:lineRule="auto"/>
        <w:ind w:left="720" w:hanging="720"/>
        <w:jc w:val="both"/>
      </w:pPr>
      <w:r>
        <w:rPr>
          <w:rFonts w:hint="cs"/>
          <w:rtl/>
        </w:rPr>
        <w:t>2.</w:t>
      </w:r>
      <w:r w:rsidR="00501215">
        <w:rPr>
          <w:rFonts w:hint="cs"/>
          <w:rtl/>
        </w:rPr>
        <w:t xml:space="preserve">         </w:t>
      </w:r>
      <w:r>
        <w:rPr>
          <w:rFonts w:hint="cs"/>
          <w:rtl/>
        </w:rPr>
        <w:t xml:space="preserve"> לפי כתב האישום המתוקן, ביום 4.4.19, סמוך לשעה 23:54, במקלט בניין בעפולה, במהלך חיפוש כדין, נתפס בתוך ארון עץ, נתון בשקית שחורה, תת מקלע מאולתר "קרלו", שבכוחו להמית אדם, כשהוא טעון במחסנית ללא כדורים, המתאימה לתת מקלע "עוזי", אשר הוסבה לשימוש עם תת המקלע המאולתר. </w:t>
      </w:r>
      <w:r>
        <w:rPr>
          <w:rFonts w:hint="cs"/>
          <w:rtl/>
        </w:rPr>
        <w:tab/>
      </w:r>
      <w:r>
        <w:rPr>
          <w:rFonts w:hint="cs"/>
          <w:rtl/>
        </w:rPr>
        <w:br/>
        <w:t xml:space="preserve">משכך, יוחסה לנאשם החזקתם שלא כדין של הנשק והאביזר לנשק. </w:t>
      </w:r>
    </w:p>
    <w:p w14:paraId="5670BBDB" w14:textId="77777777" w:rsidR="00DE76E5" w:rsidRDefault="00501215" w:rsidP="00DE76E5">
      <w:pPr>
        <w:spacing w:line="360" w:lineRule="auto"/>
        <w:ind w:left="720"/>
        <w:jc w:val="both"/>
        <w:rPr>
          <w:rtl/>
        </w:rPr>
      </w:pPr>
      <w:r>
        <w:rPr>
          <w:rFonts w:hint="cs"/>
          <w:rtl/>
        </w:rPr>
        <w:t xml:space="preserve"> </w:t>
      </w:r>
    </w:p>
    <w:p w14:paraId="3DE3A32A" w14:textId="77777777" w:rsidR="00DE76E5" w:rsidRDefault="00DE76E5" w:rsidP="00DE76E5">
      <w:pPr>
        <w:spacing w:line="360" w:lineRule="auto"/>
        <w:ind w:left="720" w:hanging="720"/>
        <w:jc w:val="both"/>
        <w:rPr>
          <w:rtl/>
        </w:rPr>
      </w:pPr>
      <w:r>
        <w:rPr>
          <w:rFonts w:hint="cs"/>
          <w:rtl/>
        </w:rPr>
        <w:lastRenderedPageBreak/>
        <w:t>3.</w:t>
      </w:r>
      <w:r w:rsidR="00501215">
        <w:rPr>
          <w:rFonts w:hint="cs"/>
          <w:rtl/>
        </w:rPr>
        <w:t xml:space="preserve">        </w:t>
      </w:r>
      <w:r>
        <w:rPr>
          <w:rFonts w:hint="cs"/>
          <w:rtl/>
        </w:rPr>
        <w:t xml:space="preserve"> </w:t>
      </w:r>
      <w:r>
        <w:rPr>
          <w:rFonts w:hint="cs"/>
          <w:rtl/>
        </w:rPr>
        <w:tab/>
        <w:t xml:space="preserve">ביום 24.11.19 הודיעו הצדדים כי הגיעו להסדר טיעון, לפיו הנאשם הודה בעובדות כתב האישום המתוקן, הורשע בעבירה המיוחסת לו, והופנה לקבלת תסקיר שירות המבחן, שלאחריו יטענו הצדדים באופן פתוח. </w:t>
      </w:r>
    </w:p>
    <w:p w14:paraId="60F75D98" w14:textId="77777777" w:rsidR="00DE76E5" w:rsidRDefault="00DE76E5" w:rsidP="00DE76E5">
      <w:pPr>
        <w:spacing w:line="360" w:lineRule="auto"/>
        <w:ind w:left="720" w:hanging="720"/>
        <w:jc w:val="both"/>
      </w:pPr>
    </w:p>
    <w:p w14:paraId="0CCE7A2C" w14:textId="77777777" w:rsidR="00DE76E5" w:rsidRDefault="00DE76E5" w:rsidP="00DE76E5">
      <w:pPr>
        <w:spacing w:line="360" w:lineRule="auto"/>
        <w:ind w:left="720" w:hanging="720"/>
        <w:jc w:val="both"/>
        <w:rPr>
          <w:b/>
          <w:bCs/>
          <w:u w:val="single"/>
          <w:rtl/>
        </w:rPr>
      </w:pPr>
      <w:r>
        <w:rPr>
          <w:rFonts w:hint="cs"/>
          <w:b/>
          <w:bCs/>
          <w:u w:val="single"/>
          <w:rtl/>
        </w:rPr>
        <w:t>תסקיר שירות המבחן</w:t>
      </w:r>
    </w:p>
    <w:p w14:paraId="68319750" w14:textId="77777777" w:rsidR="00DE76E5" w:rsidRDefault="00DE76E5" w:rsidP="00DE76E5">
      <w:pPr>
        <w:spacing w:line="360" w:lineRule="auto"/>
        <w:ind w:left="720" w:hanging="720"/>
        <w:jc w:val="both"/>
        <w:rPr>
          <w:rtl/>
        </w:rPr>
      </w:pPr>
    </w:p>
    <w:p w14:paraId="5186D425" w14:textId="77777777" w:rsidR="00DE76E5" w:rsidRDefault="00DE76E5" w:rsidP="00DE76E5">
      <w:pPr>
        <w:spacing w:line="360" w:lineRule="auto"/>
        <w:ind w:left="720" w:hanging="720"/>
        <w:jc w:val="both"/>
        <w:rPr>
          <w:b/>
          <w:bCs/>
          <w:rtl/>
        </w:rPr>
      </w:pPr>
      <w:r>
        <w:rPr>
          <w:rFonts w:hint="cs"/>
          <w:rtl/>
        </w:rPr>
        <w:t>4.</w:t>
      </w:r>
      <w:r>
        <w:rPr>
          <w:rFonts w:hint="cs"/>
          <w:rtl/>
        </w:rPr>
        <w:tab/>
      </w:r>
      <w:r>
        <w:rPr>
          <w:rFonts w:hint="cs"/>
          <w:b/>
          <w:bCs/>
          <w:rtl/>
        </w:rPr>
        <w:t xml:space="preserve">שירות המבחן נמנע ממתן המלצה טיפולית בעניינו של הנאשם וסבר כי קיים במצבו סיכון לא מבוטל להישנות ביצוע עבירות דומות בעתיד. </w:t>
      </w:r>
    </w:p>
    <w:p w14:paraId="3C85617D" w14:textId="77777777" w:rsidR="00DE76E5" w:rsidRDefault="00DE76E5" w:rsidP="00DE76E5">
      <w:pPr>
        <w:spacing w:line="360" w:lineRule="auto"/>
        <w:ind w:left="720"/>
        <w:jc w:val="both"/>
        <w:rPr>
          <w:rtl/>
        </w:rPr>
      </w:pPr>
      <w:r>
        <w:rPr>
          <w:rFonts w:hint="cs"/>
          <w:b/>
          <w:bCs/>
          <w:rtl/>
        </w:rPr>
        <w:t>בתסקיר מיום 14.9.20</w:t>
      </w:r>
      <w:r>
        <w:rPr>
          <w:rFonts w:hint="cs"/>
          <w:rtl/>
        </w:rPr>
        <w:t xml:space="preserve"> נמסר כי הנאשם, בן 33, נשוי ואב לשלושה ילדים מתחת לגיל 6. הנאשם בוגר 12 שנות לימוד, עם תעודת בגרות מלאה. עם סיום לימודיו החל לימודי ביטוח במכללה, אולם בשל קושי במימון הלימודים הפסיק לימודיו והחל לעבוד בתחום הבניין. </w:t>
      </w:r>
    </w:p>
    <w:p w14:paraId="63F9CE47" w14:textId="77777777" w:rsidR="00DE76E5" w:rsidRDefault="00DE76E5" w:rsidP="00DE76E5">
      <w:pPr>
        <w:spacing w:line="360" w:lineRule="auto"/>
        <w:ind w:left="720" w:hanging="720"/>
        <w:jc w:val="both"/>
        <w:rPr>
          <w:rtl/>
        </w:rPr>
      </w:pPr>
      <w:r>
        <w:rPr>
          <w:rFonts w:hint="cs"/>
          <w:rtl/>
        </w:rPr>
        <w:tab/>
        <w:t xml:space="preserve">הנאשם מסר שיש לו קשר קרוב ומשמעותי עם משפחת המוצא, אך ציין כי אביו ריצה עונש מאסר בפועל בגין עבירות אלימות באמו, הנתפסת על-ידי הנאשם כדמות חלשה ונזקקת. הנאשם נשוי מזה שמונה שנים, אשתו בת 26, אינה עובדת מחוץ לבית. </w:t>
      </w:r>
    </w:p>
    <w:p w14:paraId="016B59C8" w14:textId="77777777" w:rsidR="00DE76E5" w:rsidRDefault="00DE76E5" w:rsidP="00DE76E5">
      <w:pPr>
        <w:spacing w:line="360" w:lineRule="auto"/>
        <w:ind w:left="720" w:hanging="720"/>
        <w:jc w:val="both"/>
        <w:rPr>
          <w:rtl/>
        </w:rPr>
      </w:pPr>
      <w:r>
        <w:rPr>
          <w:rFonts w:hint="cs"/>
          <w:rtl/>
        </w:rPr>
        <w:tab/>
        <w:t xml:space="preserve">לחובת הנאשם הרשעה אחת קודמת, משנת 2010, בעבירה של התנהגות פרועה במקום ציבורי, בגינה הוטל עליו מאסר על-תנאי והתחייבות. הנאשם מסר כי אינו זוכר את פרטי האירוע, אך בהמשך מסר כי נעצר בעקבות השתתפות בקטטה בכפרו, על רקע סכסוך שכנים. כן לחובתו 17 הרשעות תעבורה, בגינן הוטלו עליו קנסות.  </w:t>
      </w:r>
    </w:p>
    <w:p w14:paraId="0E5FF4EC" w14:textId="77777777" w:rsidR="00DE76E5" w:rsidRDefault="00DE76E5" w:rsidP="00DE76E5">
      <w:pPr>
        <w:spacing w:line="360" w:lineRule="auto"/>
        <w:ind w:left="720" w:hanging="720"/>
        <w:jc w:val="both"/>
        <w:rPr>
          <w:rtl/>
        </w:rPr>
      </w:pPr>
      <w:r>
        <w:rPr>
          <w:rFonts w:hint="cs"/>
          <w:rtl/>
        </w:rPr>
        <w:tab/>
        <w:t xml:space="preserve">במסגרת חקירת המעצר, התרשם שירות המבחן מן הנאשם כי הוא מפגין יכולת סבירה ליציבות בלימודים ובתעסוקה, ומבטא דאגה למשפחתו. לצד זאת התרשם שירות המבחן, כי הנאשם מתקשה להתחבר לעולמו הרגשי ולקשייו, ולזהות בעיות בתפקודו. בהתייחסו לעבירה, נטה הנאשם למזער את חומרתה ותוצאותיה, ושלל מעורבות עם אוכלוסייה שולית או התנהגות עבריינית. שירות המבחן סבר כי הנאשם אינו פנוי להתבונן לעומק במעשיו ובבחירותיו, ולא ניתן היה לשלול סיכון פוטנציאלי להישנות עבירות בעתיד. </w:t>
      </w:r>
    </w:p>
    <w:p w14:paraId="1243BC1C" w14:textId="77777777" w:rsidR="00DE76E5" w:rsidRDefault="00DE76E5" w:rsidP="00DE76E5">
      <w:pPr>
        <w:spacing w:line="360" w:lineRule="auto"/>
        <w:ind w:left="720" w:hanging="720"/>
        <w:jc w:val="both"/>
        <w:rPr>
          <w:rtl/>
        </w:rPr>
      </w:pPr>
      <w:r>
        <w:rPr>
          <w:rFonts w:hint="cs"/>
          <w:rtl/>
        </w:rPr>
        <w:tab/>
        <w:t xml:space="preserve">הנאשם הועמד, בתקופת מעצרו, בצו פיקוח שירות מבחן במהלכו שולב בקבוצה טיפולית. הגעתו של הנאשם לקבוצה לא הייתה סדירה, והוא לא נטל חלק פעיל בשיח הקבוצתי. הנאשם נטה להתגונן לעתים תכופות ומיקד עצמו בדרישה לשינוי תנאי שחרורו. בהמשך, בוטלו תנאי השחרור והוא עזב את הקבוצה. הנאשם לא ניצל את שהותו בקבוצה לצורך שיפור מצבו ולא הפיק ממנה תועלת. </w:t>
      </w:r>
    </w:p>
    <w:p w14:paraId="4B9429E4" w14:textId="77777777" w:rsidR="00DE76E5" w:rsidRDefault="00DE76E5" w:rsidP="00DE76E5">
      <w:pPr>
        <w:spacing w:line="360" w:lineRule="auto"/>
        <w:ind w:left="720" w:hanging="720"/>
        <w:jc w:val="both"/>
        <w:rPr>
          <w:rtl/>
        </w:rPr>
      </w:pPr>
    </w:p>
    <w:p w14:paraId="0E17FC5D" w14:textId="77777777" w:rsidR="00DE76E5" w:rsidRDefault="00DE76E5" w:rsidP="00DE76E5">
      <w:pPr>
        <w:spacing w:line="360" w:lineRule="auto"/>
        <w:ind w:left="720" w:hanging="720"/>
        <w:jc w:val="both"/>
        <w:rPr>
          <w:rtl/>
        </w:rPr>
      </w:pPr>
      <w:r>
        <w:rPr>
          <w:rFonts w:hint="cs"/>
          <w:rtl/>
        </w:rPr>
        <w:t>5.</w:t>
      </w:r>
      <w:r>
        <w:rPr>
          <w:rFonts w:hint="cs"/>
          <w:rtl/>
        </w:rPr>
        <w:tab/>
        <w:t xml:space="preserve">שירות המבחן התרשם כי הנאשם מתקשה בקבלת אחריות למעשיו. הנאשם טען בפני שירות המבחן כי במהלך בילוי חברתי החזיק נשק וכלי תחמושת השייכים לחבריו. לדבריו, התנהלותו בעבירה אינה חריגה בחברה הערבית. במהלך השיחה עם שירות המבחן ההתרשמות הייתה כי הנאשם היה מוצף, ונחוש להימנע מהתייחסות למעורבותו בעבירה. הוא ביקש להתמקד בהשלכות מעצרו, הפסדיו הכלכליים, חוסר מעורבות מצד חבריו </w:t>
      </w:r>
      <w:r>
        <w:rPr>
          <w:rFonts w:hint="cs"/>
          <w:rtl/>
        </w:rPr>
        <w:lastRenderedPageBreak/>
        <w:t xml:space="preserve">במשפטו והנזק שייגרם לאשתו ולילדיו במידה ויישלח למאסר. הנאשם טען כי אין נפגעים כתוצאה ממעשיו, וביטא עמדה קורבנית המתמקדת במחיר שנאלץ לשלם בעקבותיהם. הנאשם ביטא רצון לסיים את ההליך המשפטי ללא מעורבות טיפולית. </w:t>
      </w:r>
    </w:p>
    <w:p w14:paraId="49394690" w14:textId="77777777" w:rsidR="00DE76E5" w:rsidRDefault="00DE76E5" w:rsidP="00DE76E5">
      <w:pPr>
        <w:spacing w:line="360" w:lineRule="auto"/>
        <w:ind w:left="720"/>
        <w:jc w:val="both"/>
        <w:rPr>
          <w:rtl/>
        </w:rPr>
      </w:pPr>
      <w:r>
        <w:rPr>
          <w:rFonts w:hint="cs"/>
          <w:rtl/>
        </w:rPr>
        <w:t xml:space="preserve">שירות המבחן התרשם כי הנאשם בעל דימוי עצמי נמוך, מרוכז בעצמו ובצרכיו, אינו נענה לגבולות ואינו ער לגורמי הסיכון הקיימים בהתנהלותו. הנאשם ערך מאמצים להציג את תפקודו כחיובי, והתקשה לבטא את עצמו ולהעמיק בהתייחסותו לעבירות שביצע. הנאשם התקשה להתבונן בהתנהגותו באופן ביקורתי, וצמצם מחומרת מעשיו. שירות המבחן ציין את גורמי הסיכון וגורמי הסיכון בעניינו של הנאשם והסיק כי </w:t>
      </w:r>
      <w:r>
        <w:rPr>
          <w:rFonts w:hint="cs"/>
          <w:b/>
          <w:bCs/>
          <w:rtl/>
        </w:rPr>
        <w:t>קיים סיכון לא מבוטל לביצוע עבירות דומות בעתיד</w:t>
      </w:r>
      <w:r>
        <w:rPr>
          <w:rFonts w:hint="cs"/>
          <w:rtl/>
        </w:rPr>
        <w:t xml:space="preserve">. </w:t>
      </w:r>
      <w:r>
        <w:rPr>
          <w:rFonts w:hint="cs"/>
          <w:b/>
          <w:bCs/>
          <w:rtl/>
        </w:rPr>
        <w:t>נוכח קשייו בנטילת אחריות על מעשיו, לצד הסירוב להירתם להליך טיפולי, נמנע שירות המבחן ממתן המלצה טיפולית בעניינו.</w:t>
      </w:r>
      <w:r>
        <w:rPr>
          <w:rFonts w:hint="cs"/>
          <w:rtl/>
        </w:rPr>
        <w:t xml:space="preserve"> </w:t>
      </w:r>
    </w:p>
    <w:p w14:paraId="3554E6CB" w14:textId="77777777" w:rsidR="00DE76E5" w:rsidRDefault="00DE76E5" w:rsidP="00DE76E5">
      <w:pPr>
        <w:spacing w:line="360" w:lineRule="auto"/>
        <w:jc w:val="both"/>
        <w:rPr>
          <w:b/>
          <w:bCs/>
          <w:u w:val="single"/>
          <w:rtl/>
        </w:rPr>
      </w:pPr>
    </w:p>
    <w:p w14:paraId="1526C37A" w14:textId="77777777" w:rsidR="00DE76E5" w:rsidRDefault="00DE76E5" w:rsidP="00DE76E5">
      <w:pPr>
        <w:spacing w:line="360" w:lineRule="auto"/>
        <w:jc w:val="both"/>
        <w:rPr>
          <w:u w:val="single"/>
          <w:rtl/>
        </w:rPr>
      </w:pPr>
      <w:r>
        <w:rPr>
          <w:rFonts w:hint="cs"/>
          <w:b/>
          <w:bCs/>
          <w:u w:val="single"/>
          <w:rtl/>
        </w:rPr>
        <w:t>טיעונים לעונש</w:t>
      </w:r>
    </w:p>
    <w:p w14:paraId="0B25EEF9" w14:textId="77777777" w:rsidR="00DE76E5" w:rsidRDefault="00DE76E5" w:rsidP="00DE76E5">
      <w:pPr>
        <w:spacing w:line="360" w:lineRule="auto"/>
        <w:ind w:left="720"/>
        <w:contextualSpacing/>
        <w:jc w:val="both"/>
        <w:rPr>
          <w:rtl/>
        </w:rPr>
      </w:pPr>
    </w:p>
    <w:p w14:paraId="494D7D28" w14:textId="77777777" w:rsidR="00DE76E5" w:rsidRDefault="00DE76E5" w:rsidP="00DE76E5">
      <w:pPr>
        <w:spacing w:line="360" w:lineRule="auto"/>
        <w:ind w:left="720"/>
        <w:contextualSpacing/>
        <w:jc w:val="both"/>
        <w:rPr>
          <w:rtl/>
        </w:rPr>
      </w:pPr>
      <w:r>
        <w:rPr>
          <w:rFonts w:hint="cs"/>
          <w:rtl/>
        </w:rPr>
        <w:t xml:space="preserve">ביום 3.12.20 טענו הצדדים לעונש בפניי. ב"כ המאשימה הגיש טיעוניו בכתב והשלים אותם בעל-פה, וב"כ הנאשם טען בעל-פה. </w:t>
      </w:r>
    </w:p>
    <w:p w14:paraId="3CC731F0" w14:textId="77777777" w:rsidR="00DE76E5" w:rsidRDefault="00DE76E5" w:rsidP="00DE76E5">
      <w:pPr>
        <w:spacing w:line="360" w:lineRule="auto"/>
        <w:ind w:left="720"/>
        <w:contextualSpacing/>
        <w:jc w:val="both"/>
        <w:rPr>
          <w:rtl/>
        </w:rPr>
      </w:pPr>
    </w:p>
    <w:p w14:paraId="40D385D3" w14:textId="77777777" w:rsidR="00DE76E5" w:rsidRDefault="00DE76E5" w:rsidP="00DE76E5">
      <w:pPr>
        <w:spacing w:line="360" w:lineRule="auto"/>
        <w:jc w:val="both"/>
        <w:rPr>
          <w:u w:val="single"/>
          <w:rtl/>
        </w:rPr>
      </w:pPr>
      <w:r>
        <w:rPr>
          <w:rFonts w:hint="cs"/>
          <w:rtl/>
        </w:rPr>
        <w:t>6.</w:t>
      </w:r>
      <w:r w:rsidR="00501215">
        <w:rPr>
          <w:rFonts w:hint="cs"/>
          <w:b/>
          <w:bCs/>
          <w:rtl/>
        </w:rPr>
        <w:t xml:space="preserve">        </w:t>
      </w:r>
      <w:r>
        <w:rPr>
          <w:rFonts w:hint="cs"/>
          <w:b/>
          <w:bCs/>
          <w:rtl/>
        </w:rPr>
        <w:t xml:space="preserve"> </w:t>
      </w:r>
      <w:r>
        <w:rPr>
          <w:rFonts w:hint="cs"/>
          <w:rtl/>
        </w:rPr>
        <w:tab/>
      </w:r>
      <w:r>
        <w:rPr>
          <w:rFonts w:hint="cs"/>
          <w:u w:val="single"/>
          <w:rtl/>
        </w:rPr>
        <w:t xml:space="preserve">טיעוני ב"כ המאשימה </w:t>
      </w:r>
    </w:p>
    <w:p w14:paraId="0DC1CDFE" w14:textId="77777777" w:rsidR="00DE76E5" w:rsidRDefault="00DE76E5" w:rsidP="00DE76E5">
      <w:pPr>
        <w:spacing w:line="360" w:lineRule="auto"/>
        <w:ind w:left="720"/>
        <w:jc w:val="both"/>
        <w:rPr>
          <w:rtl/>
        </w:rPr>
      </w:pPr>
      <w:r>
        <w:rPr>
          <w:rFonts w:hint="cs"/>
          <w:rtl/>
        </w:rPr>
        <w:t>ב"כ המאשימה טען כי מתחם העונש ההולם נע בין 24 ל-48 חודשי מאסר בפועל, וביקש להטיל על הנאשם עונש מאסר ברף האמצעי של המתחם לו טען, בצירוף מאסר על-תנאי, קנס כספי והתחייבות. נטען, כי זמינותו של נשק חם מהווה פוטנציאל להסלמה באלימות, ולכן על הענישה בעבירות נשק לשקף את חומרתן ולתת מענה לצורך במיגור התופעה של החזקת נשק בלתי חוקי. ב"כ המאשימה עמד על הערכים המוגנים הנפגעים בעבירות – הגנה על חיי אדם, שלמות גופו, ביטחון הציבור והסדר הציבורי. נשק בלתי חוקי עלול לשמש ככלי לידיים עברייניות או עוינות ולפגוע בחפים מפשע. פוטנציאל הנזק שלו גבוה ביותר. נטען כי ניכרת מן הפסיקה מגמת החמרה בעבירות נשק. עוד נטען כי הנאשם ביצע את העבירה לבדו, כאחראי בלעדי, והחזיק ברשותו נשק מסוג "קרלו" שהנו תת מקלע מאולתר, שיכול להמית אדם, כאשר בתוכו מחסנית מותאמת. נטען כי נשק מסוג זה מסוכן הרבה יותר בהיותו נשק מאולתר, שלא ניתן כלל להחזיק ברישיון. ב"כ המאשימה הציג את תמונות הנשק והמחסנית שנתפסו ברשות הנאשם.</w:t>
      </w:r>
    </w:p>
    <w:p w14:paraId="5F0830AF" w14:textId="77777777" w:rsidR="00DE76E5" w:rsidRDefault="00DE76E5" w:rsidP="00DE76E5">
      <w:pPr>
        <w:spacing w:line="360" w:lineRule="auto"/>
        <w:ind w:left="720"/>
        <w:jc w:val="both"/>
        <w:rPr>
          <w:rtl/>
        </w:rPr>
      </w:pPr>
      <w:r>
        <w:rPr>
          <w:rFonts w:hint="cs"/>
          <w:rtl/>
        </w:rPr>
        <w:t xml:space="preserve">באשר לנסיבות שאינן קשורות בביצוע העבירות נטען כי הנאשם אמנם הודה בעבירות, אולם לחובת הרשעה אחת בעבירות של התנהגות פרועה במקום ציבורי ותקיפה, משנת 2010. תסקיר שירות המבחן אינו מבסס קיומם של שיקולי שיקום, אלא מציין כי הנאשם התקשה ליטול אחריות, צמצם מחומרת מעשיו, וקיים במצב סיכון לא מבוטל להישנות עבירות דומות. ניכר כי לנאשם אין תובנה ביחס לחומרת מעשיו, הנזק שנגרם בגינם וההשלכות האפשריות. נטען שיש להטיל ענישה שתרתיע את הנאשם וכן תרתיע עבריינים בכוח, מפני ביצוע עבירות נשק. </w:t>
      </w:r>
    </w:p>
    <w:p w14:paraId="5840983E" w14:textId="77777777" w:rsidR="00DE76E5" w:rsidRDefault="00DE76E5" w:rsidP="00DE76E5">
      <w:pPr>
        <w:spacing w:line="360" w:lineRule="auto"/>
        <w:jc w:val="both"/>
        <w:rPr>
          <w:rtl/>
        </w:rPr>
      </w:pPr>
    </w:p>
    <w:p w14:paraId="411D673A" w14:textId="77777777" w:rsidR="00DE76E5" w:rsidRDefault="00DE76E5" w:rsidP="00DE76E5">
      <w:pPr>
        <w:spacing w:line="360" w:lineRule="auto"/>
        <w:jc w:val="both"/>
        <w:rPr>
          <w:u w:val="single"/>
          <w:rtl/>
        </w:rPr>
      </w:pPr>
      <w:r>
        <w:rPr>
          <w:rFonts w:hint="cs"/>
          <w:rtl/>
        </w:rPr>
        <w:t>7.</w:t>
      </w:r>
      <w:r>
        <w:rPr>
          <w:rFonts w:hint="cs"/>
          <w:rtl/>
        </w:rPr>
        <w:tab/>
      </w:r>
      <w:r>
        <w:rPr>
          <w:rFonts w:hint="cs"/>
          <w:u w:val="single"/>
          <w:rtl/>
        </w:rPr>
        <w:t>טיעוני ב"כ הנאשם</w:t>
      </w:r>
    </w:p>
    <w:p w14:paraId="200DFAB5" w14:textId="77777777" w:rsidR="00DE76E5" w:rsidRDefault="00DE76E5" w:rsidP="00DE76E5">
      <w:pPr>
        <w:spacing w:line="360" w:lineRule="auto"/>
        <w:ind w:left="720"/>
        <w:contextualSpacing/>
        <w:jc w:val="both"/>
        <w:rPr>
          <w:rtl/>
        </w:rPr>
      </w:pPr>
      <w:r>
        <w:rPr>
          <w:rFonts w:hint="cs"/>
          <w:rtl/>
        </w:rPr>
        <w:t xml:space="preserve">ב"כ הנאשם ביקש מבית-המשפט להסתפק בעונש מאסר לריצוי בעבודות שירות, בהתאם לחוות-דעת הממונה, טען כי מתחם העונש ההולם לו טוען ב"כ המאשימה מחמיר מדיי, וכי הרף התחתון של מתחם העונש ההולם עומד על מאסר לריצוי בעבודות שירות. ב"כ הנאשם טען כי אין מקום להבחין בין הנשק בהחזקתו הורשע הנאשם, ובין אקדח –שניהם כלי נשק עם פוטנציאל להמית ובעלי סיכון זה. עוד נטען כי הנשק נתפס במקום המרוחק ממקום מגורי הנאשם – באכסאל. הנשק הוחזק ללא המחסנית בתוכו, ולא על רקע פעילות עבריינות, וללא כל שימוש בו. </w:t>
      </w:r>
    </w:p>
    <w:p w14:paraId="5357B50A" w14:textId="77777777" w:rsidR="00DE76E5" w:rsidRDefault="00DE76E5" w:rsidP="00DE76E5">
      <w:pPr>
        <w:spacing w:line="360" w:lineRule="auto"/>
        <w:ind w:left="720"/>
        <w:contextualSpacing/>
        <w:jc w:val="both"/>
        <w:rPr>
          <w:rtl/>
        </w:rPr>
      </w:pPr>
      <w:r>
        <w:rPr>
          <w:rFonts w:hint="cs"/>
          <w:rtl/>
        </w:rPr>
        <w:t xml:space="preserve">באשר לנסיבות שאינן קשורות בביצוע העבירות נטען, כי הנאשם הודה בכתב אישום מתוקן, חסך זמן שיפוטי ואת הצורך בהעדת עדי תביעה רבים. הנאשם הביע חרטה על מעשיו. הנאשם שהה במעצר מאחורי סורג ובריח מיום 30.4.20 ועד ליום 3.6.20, בהמשך שוחרר בתנאים מגבילים והקפיד על שמירתם. הנאשם יליד 1987, נשוי ואב לשלושה, כאשר בתקופת מעצרו נולד לו ילד נוסף. הנאשם מתפקד כאחראי הבלעדי לפרנסת המשפחה, ואשתו אינה עובדת מחוץ לבית. הנאשם אדם נורמטיבי שסיים 12 שנות לימוד עם בגרות מלאה, עבד בתחום הבניין וסייע למשפחתו. לחובתו הרשעה יחידה, משנת 2010, שאינה בעבירות נשק. מאז מעורבותו בעבירות לא נפתחו נגד הנאשם תיקים נוספים, כך שמדובר במעידה חד פעמית מצדו. תקופת שהותו של הנאשם במעצר הייתה קשה עבורו ועבור משפחתו, ובפרט נוכח הנתק מילדיו והרחקתו של הנאשם לתקופה ממושכת מביתו. באשר למסקנות התסקיר, נטען, כי חלה אי הבנה בין הנאשם ובין עורכת התסקיר. הנאשם נרתם להליך הטיפולי שהוצע לו, סיים הליך טיפולי קבוצתי בהצלחה, ולא הוצע לו כל טיפול אחר, לשיטתו. הנאשם הביע נכונות להשתלב בטיפול אך לא הובן.  </w:t>
      </w:r>
    </w:p>
    <w:p w14:paraId="66C91ED1" w14:textId="77777777" w:rsidR="00DE76E5" w:rsidRDefault="00DE76E5" w:rsidP="00DE76E5">
      <w:pPr>
        <w:spacing w:line="360" w:lineRule="auto"/>
        <w:jc w:val="both"/>
        <w:rPr>
          <w:rtl/>
        </w:rPr>
      </w:pPr>
    </w:p>
    <w:p w14:paraId="4CB01E21" w14:textId="77777777" w:rsidR="00DE76E5" w:rsidRDefault="00DE76E5" w:rsidP="00DE76E5">
      <w:pPr>
        <w:spacing w:line="360" w:lineRule="auto"/>
        <w:jc w:val="both"/>
        <w:rPr>
          <w:u w:val="single"/>
          <w:rtl/>
        </w:rPr>
      </w:pPr>
      <w:r>
        <w:rPr>
          <w:rFonts w:hint="cs"/>
          <w:rtl/>
        </w:rPr>
        <w:t>8.</w:t>
      </w:r>
      <w:r>
        <w:rPr>
          <w:rFonts w:hint="cs"/>
          <w:rtl/>
        </w:rPr>
        <w:tab/>
      </w:r>
      <w:r>
        <w:rPr>
          <w:rFonts w:hint="cs"/>
          <w:u w:val="single"/>
          <w:rtl/>
        </w:rPr>
        <w:t>דברי הנאשם</w:t>
      </w:r>
    </w:p>
    <w:p w14:paraId="1B80A88A" w14:textId="77777777" w:rsidR="00DE76E5" w:rsidRDefault="00DE76E5" w:rsidP="00DE76E5">
      <w:pPr>
        <w:spacing w:line="360" w:lineRule="auto"/>
        <w:ind w:left="720"/>
        <w:jc w:val="both"/>
        <w:rPr>
          <w:rtl/>
        </w:rPr>
      </w:pPr>
      <w:r>
        <w:rPr>
          <w:rFonts w:hint="cs"/>
          <w:rtl/>
        </w:rPr>
        <w:t xml:space="preserve">הנאשם ביקש סליחה על מעשיו, מסר כי טעה. לדבריו הוא מפרנס את משפחתו ושלושת ילדיו, וביקש להימנע מהטלת מאסר שיפגע במשפחתו. </w:t>
      </w:r>
    </w:p>
    <w:p w14:paraId="31CE73BA" w14:textId="77777777" w:rsidR="00DE76E5" w:rsidRDefault="00DE76E5" w:rsidP="00DE76E5">
      <w:pPr>
        <w:spacing w:line="360" w:lineRule="auto"/>
        <w:jc w:val="both"/>
        <w:rPr>
          <w:b/>
          <w:bCs/>
          <w:u w:val="single"/>
          <w:rtl/>
        </w:rPr>
      </w:pPr>
    </w:p>
    <w:p w14:paraId="583A65E2" w14:textId="77777777" w:rsidR="00DE76E5" w:rsidRDefault="00DE76E5" w:rsidP="00DE76E5">
      <w:pPr>
        <w:spacing w:line="360" w:lineRule="auto"/>
        <w:jc w:val="both"/>
        <w:rPr>
          <w:b/>
          <w:bCs/>
          <w:u w:val="single"/>
          <w:rtl/>
        </w:rPr>
      </w:pPr>
      <w:r>
        <w:rPr>
          <w:rFonts w:hint="cs"/>
          <w:b/>
          <w:bCs/>
          <w:u w:val="single"/>
          <w:rtl/>
        </w:rPr>
        <w:t>דיון והכרעה</w:t>
      </w:r>
    </w:p>
    <w:p w14:paraId="53637B99" w14:textId="77777777" w:rsidR="00DE76E5" w:rsidRDefault="00DE76E5" w:rsidP="00DE76E5">
      <w:pPr>
        <w:spacing w:line="360" w:lineRule="auto"/>
        <w:jc w:val="both"/>
        <w:rPr>
          <w:rtl/>
        </w:rPr>
      </w:pPr>
    </w:p>
    <w:p w14:paraId="2A897706" w14:textId="77777777" w:rsidR="00DE76E5" w:rsidRDefault="00501215" w:rsidP="00DE76E5">
      <w:pPr>
        <w:spacing w:line="360" w:lineRule="auto"/>
        <w:jc w:val="both"/>
        <w:rPr>
          <w:u w:val="single"/>
          <w:rtl/>
        </w:rPr>
      </w:pPr>
      <w:r>
        <w:rPr>
          <w:rFonts w:hint="cs"/>
          <w:rtl/>
        </w:rPr>
        <w:t xml:space="preserve">           </w:t>
      </w:r>
      <w:r w:rsidR="00DE76E5">
        <w:rPr>
          <w:rFonts w:hint="cs"/>
          <w:rtl/>
        </w:rPr>
        <w:t xml:space="preserve"> </w:t>
      </w:r>
      <w:r w:rsidR="00DE76E5">
        <w:rPr>
          <w:rFonts w:hint="cs"/>
          <w:rtl/>
        </w:rPr>
        <w:tab/>
      </w:r>
      <w:r w:rsidR="00DE76E5">
        <w:rPr>
          <w:rFonts w:hint="cs"/>
          <w:u w:val="single"/>
          <w:rtl/>
        </w:rPr>
        <w:t>מתחם העונש ההולם</w:t>
      </w:r>
    </w:p>
    <w:p w14:paraId="76A7DDDE" w14:textId="77777777" w:rsidR="00DE76E5" w:rsidRDefault="00DE76E5" w:rsidP="00DE76E5">
      <w:pPr>
        <w:spacing w:line="360" w:lineRule="auto"/>
        <w:ind w:left="800" w:hanging="800"/>
        <w:contextualSpacing/>
        <w:jc w:val="both"/>
        <w:rPr>
          <w:rtl/>
        </w:rPr>
      </w:pPr>
      <w:r>
        <w:rPr>
          <w:rFonts w:hint="cs"/>
          <w:rtl/>
        </w:rPr>
        <w:t>9.</w:t>
      </w:r>
      <w:r w:rsidR="00501215">
        <w:rPr>
          <w:rFonts w:hint="cs"/>
          <w:rtl/>
        </w:rPr>
        <w:t xml:space="preserve">       </w:t>
      </w:r>
      <w:r>
        <w:rPr>
          <w:rFonts w:hint="cs"/>
          <w:rtl/>
        </w:rPr>
        <w:t xml:space="preserve"> </w:t>
      </w:r>
      <w:r>
        <w:rPr>
          <w:rFonts w:hint="cs"/>
          <w:rtl/>
        </w:rPr>
        <w:tab/>
        <w:t xml:space="preserve">הערכים החברתיים המוגנים הנפגעים כתוצאה מהעבירות של </w:t>
      </w:r>
      <w:r>
        <w:rPr>
          <w:rFonts w:hint="cs"/>
          <w:b/>
          <w:bCs/>
          <w:rtl/>
        </w:rPr>
        <w:t>החזקת נשק</w:t>
      </w:r>
      <w:r>
        <w:rPr>
          <w:rFonts w:hint="cs"/>
          <w:rtl/>
        </w:rPr>
        <w:t xml:space="preserve"> הנם שלום הציבור ובטחונו. בתי המשפט עמדו לא אחת על חומרתן של עבירות הנשק, תוך הדגשת הסיכון הממשי לציבור הנובע מעבירות אלה. החזקת נשק על ידי אזרחים יוצרת מטבעה פוטנציאל להסלמה עבריינית או לפעילות עוינת. בהתאם להלכה הפסוקה, חומרת עבירות הנשק מחייבת מתן ביטוי עונשי הולם ומרתיע באמצעות הטלת עונשי מאסר בפועל, כשנסיבות אישיות נדחות בפני האינטרס הציבורי. </w:t>
      </w:r>
    </w:p>
    <w:p w14:paraId="20F792CC" w14:textId="77777777" w:rsidR="00DE76E5" w:rsidRDefault="00DE76E5" w:rsidP="00DE76E5">
      <w:pPr>
        <w:spacing w:line="360" w:lineRule="auto"/>
        <w:ind w:left="800"/>
        <w:contextualSpacing/>
        <w:jc w:val="both"/>
        <w:rPr>
          <w:rtl/>
        </w:rPr>
      </w:pPr>
    </w:p>
    <w:p w14:paraId="54C76D68" w14:textId="77777777" w:rsidR="00DE76E5" w:rsidRDefault="00DE76E5" w:rsidP="00DE76E5">
      <w:pPr>
        <w:spacing w:line="360" w:lineRule="auto"/>
        <w:ind w:left="800"/>
        <w:contextualSpacing/>
        <w:jc w:val="both"/>
        <w:rPr>
          <w:rtl/>
        </w:rPr>
      </w:pPr>
      <w:r>
        <w:rPr>
          <w:rFonts w:hint="cs"/>
          <w:rtl/>
        </w:rPr>
        <w:t>ב</w:t>
      </w:r>
      <w:hyperlink r:id="rId12" w:history="1">
        <w:r w:rsidR="00501215" w:rsidRPr="00501215">
          <w:rPr>
            <w:color w:val="0000FF"/>
            <w:u w:val="single"/>
            <w:rtl/>
          </w:rPr>
          <w:t>ע"פ 5220/09</w:t>
        </w:r>
      </w:hyperlink>
      <w:r>
        <w:rPr>
          <w:rFonts w:hint="cs"/>
          <w:rtl/>
        </w:rPr>
        <w:t xml:space="preserve"> </w:t>
      </w:r>
      <w:r>
        <w:rPr>
          <w:rFonts w:hint="cs"/>
          <w:b/>
          <w:bCs/>
          <w:rtl/>
        </w:rPr>
        <w:t>עוואודה נ' מדינת ישראל</w:t>
      </w:r>
      <w:r>
        <w:rPr>
          <w:rFonts w:hint="cs"/>
          <w:rtl/>
        </w:rPr>
        <w:t xml:space="preserve"> (30.12.09) נקבע כי דרך המלך בעבירות נשק צריכה להיות ככלל מאסר מאחורי סורג ובריח. </w:t>
      </w:r>
    </w:p>
    <w:p w14:paraId="01BD0BB2" w14:textId="77777777" w:rsidR="00DE76E5" w:rsidRDefault="00DE76E5" w:rsidP="00DE76E5">
      <w:pPr>
        <w:spacing w:line="360" w:lineRule="auto"/>
        <w:ind w:left="800"/>
        <w:contextualSpacing/>
        <w:jc w:val="both"/>
        <w:rPr>
          <w:rtl/>
        </w:rPr>
      </w:pPr>
    </w:p>
    <w:p w14:paraId="4C766821" w14:textId="77777777" w:rsidR="00DE76E5" w:rsidRDefault="00DE76E5" w:rsidP="00DE76E5">
      <w:pPr>
        <w:spacing w:line="360" w:lineRule="auto"/>
        <w:ind w:left="800"/>
        <w:contextualSpacing/>
        <w:jc w:val="both"/>
        <w:rPr>
          <w:rtl/>
        </w:rPr>
      </w:pPr>
    </w:p>
    <w:p w14:paraId="7585AA3B" w14:textId="77777777" w:rsidR="00DE76E5" w:rsidRDefault="00DE76E5" w:rsidP="00DE76E5">
      <w:pPr>
        <w:spacing w:line="360" w:lineRule="auto"/>
        <w:ind w:left="800"/>
        <w:contextualSpacing/>
        <w:jc w:val="both"/>
        <w:rPr>
          <w:rtl/>
        </w:rPr>
      </w:pPr>
      <w:r>
        <w:rPr>
          <w:rFonts w:hint="cs"/>
          <w:rtl/>
        </w:rPr>
        <w:t>פסיקת בית המשפט העליון מהשנים האחרונות הובילה במוצהר קו של החמרת ענישה בעבירות נשק, תוך התערבות בגזרי דין של ערכאות נמוכות יותר, אף בניגוד לכלל הנוהג לפיו ערכאת הערעור ממעטת להחמיר בענישה. גישה זו מבטאת את ההכרה בהתפשטותן המדאיגה של עבירות הנשק, בעליית רמת האלימות בחברה, ובסיכון הממשי לציבור, בשל השימוש התדיר בנשק לפתרון סכסוכים ולשם ביצוע עבירות.</w:t>
      </w:r>
    </w:p>
    <w:p w14:paraId="23E08E06" w14:textId="77777777" w:rsidR="00DE76E5" w:rsidRDefault="00DE76E5" w:rsidP="00DE76E5">
      <w:pPr>
        <w:spacing w:line="360" w:lineRule="auto"/>
        <w:ind w:left="800"/>
        <w:contextualSpacing/>
        <w:jc w:val="both"/>
        <w:rPr>
          <w:rtl/>
        </w:rPr>
      </w:pPr>
    </w:p>
    <w:p w14:paraId="78B547EE" w14:textId="77777777" w:rsidR="00DE76E5" w:rsidRDefault="00DE76E5" w:rsidP="00DE76E5">
      <w:pPr>
        <w:spacing w:line="360" w:lineRule="auto"/>
        <w:ind w:left="800"/>
        <w:contextualSpacing/>
        <w:jc w:val="both"/>
        <w:rPr>
          <w:rtl/>
        </w:rPr>
      </w:pPr>
      <w:r>
        <w:rPr>
          <w:rFonts w:hint="cs"/>
          <w:rtl/>
        </w:rPr>
        <w:t>ראו לעניין זה את דברי ביהמ"ש העליון מהעת האחרונה ב</w:t>
      </w:r>
      <w:hyperlink r:id="rId13" w:history="1">
        <w:r w:rsidR="00501215" w:rsidRPr="00501215">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דברי כב' הש' אלרון, בפסקה 17):</w:t>
      </w:r>
    </w:p>
    <w:p w14:paraId="5D9567CD" w14:textId="77777777" w:rsidR="00DE76E5" w:rsidRDefault="00DE76E5" w:rsidP="00DE76E5">
      <w:pPr>
        <w:spacing w:line="360" w:lineRule="auto"/>
        <w:ind w:left="800"/>
        <w:contextualSpacing/>
        <w:jc w:val="both"/>
        <w:rPr>
          <w:rtl/>
        </w:rPr>
      </w:pPr>
    </w:p>
    <w:p w14:paraId="47BC0481" w14:textId="77777777" w:rsidR="00DE76E5" w:rsidRDefault="00DE76E5" w:rsidP="00DE76E5">
      <w:pPr>
        <w:tabs>
          <w:tab w:val="left" w:pos="800"/>
          <w:tab w:val="num" w:pos="907"/>
        </w:tabs>
        <w:overflowPunct w:val="0"/>
        <w:autoSpaceDE w:val="0"/>
        <w:autoSpaceDN w:val="0"/>
        <w:adjustRightInd w:val="0"/>
        <w:spacing w:after="420" w:line="360" w:lineRule="auto"/>
        <w:ind w:left="1440"/>
        <w:jc w:val="both"/>
        <w:textAlignment w:val="baseline"/>
        <w:rPr>
          <w:b/>
          <w:bCs/>
          <w:rtl/>
        </w:rPr>
      </w:pPr>
      <w:r>
        <w:rPr>
          <w:rFonts w:hint="cs"/>
          <w:b/>
          <w:bCs/>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כך למשל, בעניין עמאש צוין כי:</w:t>
      </w:r>
    </w:p>
    <w:p w14:paraId="1305AB52" w14:textId="77777777" w:rsidR="00DE76E5" w:rsidRDefault="00DE76E5" w:rsidP="00DE76E5">
      <w:pPr>
        <w:tabs>
          <w:tab w:val="left" w:pos="800"/>
          <w:tab w:val="num" w:pos="907"/>
        </w:tabs>
        <w:overflowPunct w:val="0"/>
        <w:autoSpaceDE w:val="0"/>
        <w:autoSpaceDN w:val="0"/>
        <w:adjustRightInd w:val="0"/>
        <w:spacing w:after="420" w:line="360" w:lineRule="auto"/>
        <w:ind w:left="1440"/>
        <w:jc w:val="both"/>
        <w:textAlignment w:val="baseline"/>
        <w:rPr>
          <w:b/>
          <w:bCs/>
          <w:rtl/>
        </w:rPr>
      </w:pPr>
      <w:r>
        <w:rPr>
          <w:rFonts w:hint="cs"/>
          <w:b/>
          <w:bCs/>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w:t>
      </w:r>
      <w:hyperlink w:history="1">
        <w:r w:rsidRPr="00501215">
          <w:rPr>
            <w:rStyle w:val="Hyperlink"/>
            <w:rFonts w:hint="cs"/>
            <w:b/>
            <w:bCs/>
            <w:color w:val="000000"/>
            <w:u w:val="none"/>
            <w:rtl/>
          </w:rPr>
          <w:t>ע"פ 32/14</w:t>
        </w:r>
      </w:hyperlink>
      <w:r>
        <w:rPr>
          <w:b/>
          <w:bCs/>
          <w:rtl/>
        </w:rPr>
        <w:t xml:space="preserve"> </w:t>
      </w:r>
      <w:r>
        <w:rPr>
          <w:rFonts w:hint="cs"/>
          <w:b/>
          <w:bCs/>
          <w:rtl/>
        </w:rPr>
        <w:t xml:space="preserve">עמאש נ' מדינת ישראל, [פורסם בנבו] בפסקה 20 (17.9.2015); ראו גם: </w:t>
      </w:r>
      <w:hyperlink w:history="1">
        <w:r w:rsidRPr="00501215">
          <w:rPr>
            <w:rStyle w:val="Hyperlink"/>
            <w:rFonts w:hint="cs"/>
            <w:b/>
            <w:bCs/>
            <w:color w:val="000000"/>
            <w:u w:val="none"/>
            <w:rtl/>
          </w:rPr>
          <w:t>ע"פ 4611/18</w:t>
        </w:r>
      </w:hyperlink>
      <w:r>
        <w:t xml:space="preserve"> </w:t>
      </w:r>
      <w:r>
        <w:rPr>
          <w:rFonts w:hint="cs"/>
          <w:b/>
          <w:bCs/>
          <w:rtl/>
        </w:rPr>
        <w:t xml:space="preserve">נאסר נ' מדינת ישראל, [פורסם בנבו] בפסקה 5 (10.3.2019); </w:t>
      </w:r>
      <w:hyperlink w:history="1">
        <w:r w:rsidRPr="00501215">
          <w:rPr>
            <w:rStyle w:val="Hyperlink"/>
            <w:rFonts w:hint="cs"/>
            <w:b/>
            <w:bCs/>
            <w:color w:val="000000"/>
            <w:u w:val="none"/>
            <w:rtl/>
          </w:rPr>
          <w:t>ע"פ 5015/15</w:t>
        </w:r>
      </w:hyperlink>
      <w:r>
        <w:t xml:space="preserve"> </w:t>
      </w:r>
      <w:r>
        <w:rPr>
          <w:rFonts w:hint="cs"/>
          <w:b/>
          <w:bCs/>
          <w:rtl/>
        </w:rPr>
        <w:t>מדינת ישראל נ' ריאן [פורסם בנבו] בפסקה 12 (29.3.2016)).'</w:t>
      </w:r>
    </w:p>
    <w:p w14:paraId="5B8A3630" w14:textId="77777777" w:rsidR="00DE76E5" w:rsidRDefault="00DE76E5" w:rsidP="00DE76E5">
      <w:pPr>
        <w:tabs>
          <w:tab w:val="left" w:pos="800"/>
          <w:tab w:val="num" w:pos="907"/>
        </w:tabs>
        <w:overflowPunct w:val="0"/>
        <w:autoSpaceDE w:val="0"/>
        <w:autoSpaceDN w:val="0"/>
        <w:adjustRightInd w:val="0"/>
        <w:spacing w:after="420" w:line="360" w:lineRule="auto"/>
        <w:ind w:left="1440"/>
        <w:jc w:val="both"/>
        <w:textAlignment w:val="baseline"/>
        <w:rPr>
          <w:b/>
          <w:bCs/>
          <w:rtl/>
        </w:rPr>
      </w:pPr>
      <w:r>
        <w:rPr>
          <w:rFonts w:hint="cs"/>
          <w:b/>
          <w:bCs/>
          <w:rtl/>
        </w:rPr>
        <w:t>דברים אלו אף באו לידי ביטוי לאחרונה בדברי הנשיאה א' חיות בטקס פתיחת שנת המשפט הנוכחית של לשכת עורכי הדין בנצרת:</w:t>
      </w:r>
    </w:p>
    <w:p w14:paraId="604DC1A0" w14:textId="77777777" w:rsidR="00DE76E5" w:rsidRDefault="00DE76E5" w:rsidP="00DE76E5">
      <w:pPr>
        <w:tabs>
          <w:tab w:val="left" w:pos="800"/>
          <w:tab w:val="num" w:pos="907"/>
        </w:tabs>
        <w:overflowPunct w:val="0"/>
        <w:autoSpaceDE w:val="0"/>
        <w:autoSpaceDN w:val="0"/>
        <w:adjustRightInd w:val="0"/>
        <w:spacing w:after="420" w:line="360" w:lineRule="auto"/>
        <w:ind w:left="1440"/>
        <w:jc w:val="both"/>
        <w:textAlignment w:val="baseline"/>
        <w:rPr>
          <w:b/>
          <w:bCs/>
          <w:rtl/>
        </w:rPr>
      </w:pPr>
      <w:r>
        <w:rPr>
          <w:rFonts w:hint="cs"/>
          <w:b/>
          <w:bCs/>
          <w:rtl/>
        </w:rPr>
        <w:t>'מערכת בתי המשפט משקיעה מאמצים רבים בתחום זה, 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p>
    <w:p w14:paraId="220A1070" w14:textId="77777777" w:rsidR="00DE76E5" w:rsidRDefault="00DE76E5" w:rsidP="00DE76E5">
      <w:pPr>
        <w:tabs>
          <w:tab w:val="left" w:pos="800"/>
          <w:tab w:val="num" w:pos="907"/>
        </w:tabs>
        <w:overflowPunct w:val="0"/>
        <w:autoSpaceDE w:val="0"/>
        <w:autoSpaceDN w:val="0"/>
        <w:adjustRightInd w:val="0"/>
        <w:spacing w:after="420" w:line="360" w:lineRule="auto"/>
        <w:ind w:left="1440"/>
        <w:jc w:val="both"/>
        <w:textAlignment w:val="baseline"/>
        <w:rPr>
          <w:b/>
          <w:bCs/>
          <w:rtl/>
        </w:rPr>
      </w:pPr>
      <w:r>
        <w:rPr>
          <w:rFonts w:hint="cs"/>
          <w:b/>
          <w:bCs/>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77254F15" w14:textId="77777777" w:rsidR="00DE76E5" w:rsidRDefault="00DE76E5" w:rsidP="00DE76E5">
      <w:pPr>
        <w:tabs>
          <w:tab w:val="left" w:pos="800"/>
          <w:tab w:val="num" w:pos="907"/>
        </w:tabs>
        <w:overflowPunct w:val="0"/>
        <w:autoSpaceDE w:val="0"/>
        <w:autoSpaceDN w:val="0"/>
        <w:adjustRightInd w:val="0"/>
        <w:spacing w:after="420" w:line="360" w:lineRule="auto"/>
        <w:ind w:left="720"/>
        <w:jc w:val="both"/>
        <w:textAlignment w:val="baseline"/>
        <w:rPr>
          <w:rtl/>
        </w:rPr>
      </w:pPr>
      <w:r>
        <w:rPr>
          <w:rFonts w:hint="cs"/>
          <w:rtl/>
        </w:rPr>
        <w:t>המלחמה בתופעת החזקת הנשק הלא חוקי מתנהלת בין היתר בבתי המשפט, תוך השמעת קול ברור לפיו מי שמתעסק עם נשק חם דינו מאסר בפועל בבית הסוהר.</w:t>
      </w:r>
    </w:p>
    <w:p w14:paraId="6D57D3E2" w14:textId="77777777" w:rsidR="00DE76E5" w:rsidRDefault="00DE76E5" w:rsidP="00DE76E5">
      <w:pPr>
        <w:spacing w:line="360" w:lineRule="auto"/>
        <w:ind w:left="800" w:hanging="800"/>
        <w:contextualSpacing/>
        <w:jc w:val="both"/>
        <w:rPr>
          <w:rtl/>
        </w:rPr>
      </w:pPr>
    </w:p>
    <w:p w14:paraId="5D687DA9" w14:textId="77777777" w:rsidR="00DE76E5" w:rsidRDefault="00DE76E5" w:rsidP="00DE76E5">
      <w:pPr>
        <w:spacing w:line="360" w:lineRule="auto"/>
        <w:ind w:left="800" w:hanging="80"/>
        <w:contextualSpacing/>
        <w:jc w:val="both"/>
        <w:rPr>
          <w:u w:val="single"/>
          <w:rtl/>
        </w:rPr>
      </w:pPr>
      <w:r>
        <w:rPr>
          <w:rFonts w:hint="cs"/>
          <w:u w:val="single"/>
          <w:rtl/>
        </w:rPr>
        <w:t>נסיבות הקשורות בביצוע העבירות</w:t>
      </w:r>
    </w:p>
    <w:p w14:paraId="0CA9A047" w14:textId="77777777" w:rsidR="00DE76E5" w:rsidRDefault="00DE76E5" w:rsidP="00DE76E5">
      <w:pPr>
        <w:overflowPunct w:val="0"/>
        <w:autoSpaceDE w:val="0"/>
        <w:autoSpaceDN w:val="0"/>
        <w:spacing w:line="360" w:lineRule="auto"/>
        <w:jc w:val="both"/>
        <w:rPr>
          <w:u w:val="single"/>
          <w:rtl/>
        </w:rPr>
      </w:pPr>
    </w:p>
    <w:p w14:paraId="62767C23" w14:textId="77777777" w:rsidR="00DE76E5" w:rsidRDefault="00DE76E5" w:rsidP="00DE76E5">
      <w:pPr>
        <w:overflowPunct w:val="0"/>
        <w:autoSpaceDE w:val="0"/>
        <w:autoSpaceDN w:val="0"/>
        <w:spacing w:line="360" w:lineRule="auto"/>
        <w:ind w:left="795" w:hanging="795"/>
        <w:jc w:val="both"/>
        <w:rPr>
          <w:rtl/>
        </w:rPr>
      </w:pPr>
      <w:r>
        <w:rPr>
          <w:rFonts w:hint="cs"/>
          <w:rtl/>
        </w:rPr>
        <w:t>10.</w:t>
      </w:r>
      <w:r w:rsidR="00501215">
        <w:rPr>
          <w:rFonts w:hint="cs"/>
          <w:rtl/>
        </w:rPr>
        <w:t xml:space="preserve">       </w:t>
      </w:r>
      <w:r>
        <w:rPr>
          <w:rFonts w:hint="cs"/>
          <w:rtl/>
        </w:rPr>
        <w:t xml:space="preserve"> </w:t>
      </w:r>
      <w:r>
        <w:rPr>
          <w:rFonts w:hint="cs"/>
          <w:rtl/>
        </w:rPr>
        <w:tab/>
        <w:t xml:space="preserve">הנאשם החזיק במקלט בעפולה, בתת מקלע מאולתר מסוג "קרלו". כן נמצאה לצדו מחסנית מאולתרת שהותאמה לו, ללא כדורים בתוכה.  </w:t>
      </w:r>
    </w:p>
    <w:p w14:paraId="76853B54" w14:textId="77777777" w:rsidR="00DE76E5" w:rsidRDefault="00DE76E5" w:rsidP="00DE76E5">
      <w:pPr>
        <w:overflowPunct w:val="0"/>
        <w:autoSpaceDE w:val="0"/>
        <w:autoSpaceDN w:val="0"/>
        <w:spacing w:line="360" w:lineRule="auto"/>
        <w:ind w:left="795" w:hanging="75"/>
        <w:jc w:val="both"/>
      </w:pPr>
      <w:r>
        <w:rPr>
          <w:rFonts w:hint="cs"/>
          <w:rtl/>
        </w:rPr>
        <w:t xml:space="preserve"> אין ראיות על אודות משך החזקת הנשק.</w:t>
      </w:r>
    </w:p>
    <w:p w14:paraId="704205F1" w14:textId="77777777" w:rsidR="00DE76E5" w:rsidRDefault="00DE76E5" w:rsidP="00DE76E5">
      <w:pPr>
        <w:overflowPunct w:val="0"/>
        <w:autoSpaceDE w:val="0"/>
        <w:autoSpaceDN w:val="0"/>
        <w:spacing w:line="360" w:lineRule="auto"/>
        <w:ind w:left="795" w:hanging="75"/>
        <w:jc w:val="both"/>
        <w:rPr>
          <w:rtl/>
        </w:rPr>
      </w:pPr>
      <w:r>
        <w:rPr>
          <w:rFonts w:hint="cs"/>
          <w:rtl/>
        </w:rPr>
        <w:tab/>
        <w:t>מן העובדה שהנאשם אינו מתגורר בעפולה אלא באכסאל, ניתן להניח שהנשק הוסלק על-ידו במקום. מאידך, החזקת הנשק במקום מרוחק מן הבית מצביעה על כך שהנשק לא היה זמין לשימוש מיידי בסביבת מגורי הנאשם.</w:t>
      </w:r>
    </w:p>
    <w:p w14:paraId="2FEAD547" w14:textId="77777777" w:rsidR="00DE76E5" w:rsidRDefault="00DE76E5" w:rsidP="00DE76E5">
      <w:pPr>
        <w:overflowPunct w:val="0"/>
        <w:autoSpaceDE w:val="0"/>
        <w:autoSpaceDN w:val="0"/>
        <w:spacing w:line="360" w:lineRule="auto"/>
        <w:ind w:left="795"/>
        <w:jc w:val="both"/>
        <w:rPr>
          <w:rtl/>
        </w:rPr>
      </w:pPr>
      <w:r>
        <w:rPr>
          <w:rFonts w:hint="cs"/>
          <w:rtl/>
        </w:rPr>
        <w:t xml:space="preserve">למעשי הנאשם ממד של פגיעה בערכים מוגנים של שלום הציבור וביטחונו, שכן לכל החזקת נשק בידי בלתי מורשה פוטנציאל נזק עצום לפגיעה בשלמות גופו ובחייו של אדם, בפרט כאשר מדובר בנשק מאולתר שרמת הבטיחות בו נמוכה. </w:t>
      </w:r>
    </w:p>
    <w:p w14:paraId="5F04DFD4" w14:textId="77777777" w:rsidR="00DE76E5" w:rsidRDefault="00DE76E5" w:rsidP="00DE76E5">
      <w:pPr>
        <w:overflowPunct w:val="0"/>
        <w:autoSpaceDE w:val="0"/>
        <w:autoSpaceDN w:val="0"/>
        <w:spacing w:line="360" w:lineRule="auto"/>
        <w:ind w:left="795"/>
        <w:jc w:val="both"/>
        <w:rPr>
          <w:rtl/>
        </w:rPr>
      </w:pPr>
      <w:r>
        <w:rPr>
          <w:rFonts w:hint="cs"/>
          <w:rtl/>
        </w:rPr>
        <w:t>ב</w:t>
      </w:r>
      <w:hyperlink r:id="rId14" w:history="1">
        <w:r w:rsidR="00501215" w:rsidRPr="00501215">
          <w:rPr>
            <w:color w:val="0000FF"/>
            <w:u w:val="single"/>
            <w:rtl/>
          </w:rPr>
          <w:t>עפ"ג (נצ') 21260-10-19</w:t>
        </w:r>
      </w:hyperlink>
      <w:r>
        <w:rPr>
          <w:rFonts w:hint="cs"/>
          <w:rtl/>
        </w:rPr>
        <w:t xml:space="preserve"> </w:t>
      </w:r>
      <w:r>
        <w:rPr>
          <w:rFonts w:hint="cs"/>
          <w:b/>
          <w:bCs/>
          <w:rtl/>
        </w:rPr>
        <w:t>מדינת ישראל נ' מוסא מזאריב</w:t>
      </w:r>
      <w:r>
        <w:rPr>
          <w:rFonts w:hint="cs"/>
          <w:rtl/>
        </w:rPr>
        <w:t xml:space="preserve"> (24.11.19), קבע בית-המשפט המחוזי, בהתייחס למדרג החומרה בעבירות נשק ולשיקולים בקביעת מתחם העונש ההולם:</w:t>
      </w:r>
    </w:p>
    <w:p w14:paraId="590BBC74" w14:textId="77777777" w:rsidR="00DE76E5" w:rsidRDefault="00DE76E5" w:rsidP="00DE76E5">
      <w:pPr>
        <w:spacing w:line="360" w:lineRule="auto"/>
        <w:ind w:left="2160" w:right="284"/>
        <w:contextualSpacing/>
        <w:jc w:val="both"/>
        <w:rPr>
          <w:b/>
          <w:bCs/>
          <w:color w:val="000000"/>
          <w:rtl/>
        </w:rPr>
      </w:pPr>
      <w:r>
        <w:rPr>
          <w:rFonts w:hint="cs"/>
          <w:b/>
          <w:bCs/>
          <w:rtl/>
        </w:rPr>
        <w:t>"</w:t>
      </w:r>
      <w:r>
        <w:rPr>
          <w:rFonts w:hint="cs"/>
          <w:b/>
          <w:bCs/>
          <w:color w:val="000000"/>
          <w:rtl/>
        </w:rPr>
        <w:t>נסיבות החזקת הנשק יכולות להשתנות וללמד על מידת החומרה והסיכון הפוטנציאלי לפגיעה באחרים. כפועל יוצא מכך, יש להן השלכה על המתחם שיקבע. בהקשר זה, לא דומה למשל החזקת אקדח להחזקתו של תת מקלע. הנחיית פרקליט המדינה אליה הפנתה המערערת מדברת על קריטריונים רלוונטיים להבחנה בנסיבות הקונקרטיות של כל מקרה, כמו מאפייני הנשק, ריבוי כלי נשק, היות הנשק טעון, המיקום הספציפי בו הוחזק, הרקע להחזקתו ומטרתו. אלה הם רק חלק מן הנסיבות שניתן וצריך לשקול בקביעת המתחם בהתייחס לנסיבות הכרוכות בביצוע העבירה...</w:t>
      </w:r>
    </w:p>
    <w:p w14:paraId="32499252" w14:textId="77777777" w:rsidR="00DE76E5" w:rsidRDefault="00DE76E5" w:rsidP="00DE76E5">
      <w:pPr>
        <w:spacing w:line="360" w:lineRule="auto"/>
        <w:ind w:left="2160" w:right="284"/>
        <w:contextualSpacing/>
        <w:jc w:val="both"/>
        <w:rPr>
          <w:b/>
          <w:bCs/>
          <w:rtl/>
        </w:rPr>
      </w:pPr>
      <w:r>
        <w:rPr>
          <w:rFonts w:hint="cs"/>
          <w:b/>
          <w:bCs/>
          <w:color w:val="000000"/>
          <w:rtl/>
        </w:rPr>
        <w:t>אנו ערים לכך שבפסיקה ניתן למצוא מנעד רחב של מתחמי ענישה בעבירות נשק</w:t>
      </w:r>
      <w:r w:rsidR="00501215">
        <w:rPr>
          <w:rFonts w:hint="cs"/>
          <w:b/>
          <w:bCs/>
          <w:color w:val="000000"/>
          <w:rtl/>
        </w:rPr>
        <w:t xml:space="preserve"> </w:t>
      </w:r>
      <w:r>
        <w:rPr>
          <w:rFonts w:hint="cs"/>
          <w:b/>
          <w:bCs/>
          <w:color w:val="000000"/>
          <w:rtl/>
        </w:rPr>
        <w:t xml:space="preserve"> ובעבירות של החזקת נשק, בכלל זה. יחד עם זאת, אנו סבורים כי נכון היה לנקוט בקו המתחייב בשעה זו, של העלאת רף הענישה, כפי שעתרה המערערת. החמרה זו צריכה לבוא לידי ביטוי בהחמרת מתחמי הענישה, תוך מתן דגש לשיקולים הנוגעים לערכים החברתיים הנפגעים ומידת הפגיעה בהם, כמו גם בשים לב למדיניות הענישה הנוהגת. כמו כן, לצורך במיגור תופעת האלימות הגואה, שמאפייניה שימוש בנשק חם, יש ליתן משקל לשיקולי הרתעה בקביעת העונש בתוך המתחם</w:t>
      </w:r>
      <w:r>
        <w:rPr>
          <w:b/>
          <w:bCs/>
          <w:color w:val="000000"/>
        </w:rPr>
        <w:t>".</w:t>
      </w:r>
    </w:p>
    <w:p w14:paraId="4B7F2802" w14:textId="77777777" w:rsidR="00DE76E5" w:rsidRDefault="00DE76E5" w:rsidP="00DE76E5">
      <w:pPr>
        <w:overflowPunct w:val="0"/>
        <w:autoSpaceDE w:val="0"/>
        <w:autoSpaceDN w:val="0"/>
        <w:spacing w:line="360" w:lineRule="auto"/>
        <w:ind w:left="795"/>
        <w:jc w:val="both"/>
        <w:rPr>
          <w:rtl/>
        </w:rPr>
      </w:pPr>
    </w:p>
    <w:p w14:paraId="682EB4DC" w14:textId="77777777" w:rsidR="00DE76E5" w:rsidRDefault="00DE76E5" w:rsidP="00DE76E5">
      <w:pPr>
        <w:overflowPunct w:val="0"/>
        <w:autoSpaceDE w:val="0"/>
        <w:autoSpaceDN w:val="0"/>
        <w:spacing w:line="360" w:lineRule="auto"/>
        <w:ind w:left="795"/>
        <w:jc w:val="both"/>
        <w:rPr>
          <w:rtl/>
        </w:rPr>
      </w:pPr>
      <w:r>
        <w:rPr>
          <w:rFonts w:hint="cs"/>
          <w:rtl/>
        </w:rPr>
        <w:t>ישנה משמעות טבועה וברורה מאליה להחזקתו של כלי ממית, ומשמעות טבועה זו הנה כי אותו נשק נועד לפגיעה באחר, בדרך של ירי או למצער של איום, וכי קיים פוטנציאל מובהק לסיכון של הציבור.</w:t>
      </w:r>
    </w:p>
    <w:p w14:paraId="62DD377C" w14:textId="77777777" w:rsidR="00DE76E5" w:rsidRDefault="00DE76E5" w:rsidP="00DE76E5">
      <w:pPr>
        <w:overflowPunct w:val="0"/>
        <w:autoSpaceDE w:val="0"/>
        <w:autoSpaceDN w:val="0"/>
        <w:spacing w:line="360" w:lineRule="auto"/>
        <w:ind w:left="795" w:hanging="795"/>
        <w:jc w:val="both"/>
        <w:rPr>
          <w:rtl/>
        </w:rPr>
      </w:pPr>
    </w:p>
    <w:p w14:paraId="5BA66889" w14:textId="77777777" w:rsidR="00DE76E5" w:rsidRDefault="00DE76E5" w:rsidP="00DE76E5">
      <w:pPr>
        <w:overflowPunct w:val="0"/>
        <w:autoSpaceDE w:val="0"/>
        <w:autoSpaceDN w:val="0"/>
        <w:spacing w:line="360" w:lineRule="auto"/>
        <w:ind w:left="795" w:hanging="795"/>
        <w:jc w:val="both"/>
        <w:rPr>
          <w:u w:val="single"/>
          <w:rtl/>
        </w:rPr>
      </w:pPr>
      <w:r>
        <w:rPr>
          <w:rFonts w:hint="cs"/>
          <w:rtl/>
        </w:rPr>
        <w:t>11.</w:t>
      </w:r>
      <w:r w:rsidR="00501215">
        <w:rPr>
          <w:rFonts w:hint="cs"/>
          <w:rtl/>
        </w:rPr>
        <w:t xml:space="preserve">       </w:t>
      </w:r>
      <w:r>
        <w:rPr>
          <w:rFonts w:hint="cs"/>
          <w:rtl/>
        </w:rPr>
        <w:t xml:space="preserve"> </w:t>
      </w:r>
      <w:r>
        <w:rPr>
          <w:rFonts w:hint="cs"/>
          <w:rtl/>
        </w:rPr>
        <w:tab/>
      </w:r>
      <w:r>
        <w:rPr>
          <w:rFonts w:hint="cs"/>
          <w:u w:val="single"/>
          <w:rtl/>
        </w:rPr>
        <w:t>מדיניות הענישה הנוהגת</w:t>
      </w:r>
    </w:p>
    <w:p w14:paraId="1A053D78" w14:textId="77777777" w:rsidR="00DE76E5" w:rsidRDefault="00DE76E5" w:rsidP="00DE76E5">
      <w:pPr>
        <w:spacing w:line="360" w:lineRule="auto"/>
        <w:ind w:left="795"/>
        <w:jc w:val="both"/>
        <w:rPr>
          <w:rtl/>
        </w:rPr>
      </w:pPr>
      <w:r>
        <w:rPr>
          <w:rFonts w:hint="cs"/>
          <w:rtl/>
        </w:rPr>
        <w:t xml:space="preserve">בעבירות של </w:t>
      </w:r>
      <w:r>
        <w:rPr>
          <w:rFonts w:hint="cs"/>
          <w:b/>
          <w:bCs/>
          <w:rtl/>
        </w:rPr>
        <w:t>החזקת נשק</w:t>
      </w:r>
      <w:r>
        <w:rPr>
          <w:rFonts w:hint="cs"/>
          <w:rtl/>
        </w:rPr>
        <w:t>, השיתו בתי המשפט עונשים הכוללים מאסרים בפועל לתקופות לא ממושכות ועד למאסרים ממושכים בפועל, ובדרך כלל בצירוף רכיב עונשי כספי, הכל בכפוף לנסיבות ביצוע העבירות, ובהן סוג הנשק, נסיבות החזקתו ומשכה, ובכפוף לנסיבות האישיות של העבריין. , מאסר לריצוי בעבודות שירות נגזר לרוב ררק במסגרת הסדר טיעון, או בנסיבות מיוחדות, ולא בתשנים האחרונות.</w:t>
      </w:r>
    </w:p>
    <w:p w14:paraId="5613D512" w14:textId="77777777" w:rsidR="00DE76E5" w:rsidRDefault="00DE76E5" w:rsidP="00DE76E5">
      <w:pPr>
        <w:spacing w:line="360" w:lineRule="auto"/>
        <w:ind w:left="795"/>
        <w:jc w:val="both"/>
        <w:rPr>
          <w:rtl/>
        </w:rPr>
      </w:pPr>
    </w:p>
    <w:p w14:paraId="51E20162" w14:textId="77777777" w:rsidR="00DE76E5" w:rsidRDefault="00DE76E5" w:rsidP="00DE76E5">
      <w:pPr>
        <w:spacing w:line="360" w:lineRule="auto"/>
        <w:jc w:val="both"/>
        <w:rPr>
          <w:rtl/>
        </w:rPr>
      </w:pPr>
      <w:r>
        <w:rPr>
          <w:rFonts w:hint="cs"/>
          <w:rtl/>
        </w:rPr>
        <w:t>12.</w:t>
      </w:r>
      <w:r>
        <w:rPr>
          <w:rFonts w:hint="cs"/>
          <w:rtl/>
        </w:rPr>
        <w:tab/>
      </w:r>
      <w:r>
        <w:rPr>
          <w:rFonts w:hint="cs"/>
          <w:u w:val="single"/>
          <w:rtl/>
        </w:rPr>
        <w:t>ב"כ המאשימה הפנה לפסקי-הדין הבאים</w:t>
      </w:r>
      <w:r>
        <w:rPr>
          <w:rFonts w:hint="cs"/>
          <w:rtl/>
        </w:rPr>
        <w:t xml:space="preserve">: </w:t>
      </w:r>
    </w:p>
    <w:p w14:paraId="665BF161" w14:textId="77777777" w:rsidR="00DE76E5" w:rsidRDefault="00DE76E5" w:rsidP="00DE76E5">
      <w:pPr>
        <w:spacing w:line="360" w:lineRule="auto"/>
        <w:ind w:left="795"/>
        <w:jc w:val="both"/>
      </w:pPr>
    </w:p>
    <w:p w14:paraId="7047FBD7" w14:textId="77777777" w:rsidR="00DE76E5" w:rsidRDefault="00501215" w:rsidP="00DE76E5">
      <w:pPr>
        <w:numPr>
          <w:ilvl w:val="0"/>
          <w:numId w:val="1"/>
        </w:numPr>
        <w:spacing w:line="360" w:lineRule="auto"/>
        <w:contextualSpacing/>
        <w:jc w:val="both"/>
        <w:rPr>
          <w:rtl/>
        </w:rPr>
      </w:pPr>
      <w:hyperlink r:id="rId15" w:history="1">
        <w:r w:rsidRPr="00501215">
          <w:rPr>
            <w:color w:val="0000FF"/>
            <w:u w:val="single"/>
            <w:rtl/>
          </w:rPr>
          <w:t>ע"פ 1826/19</w:t>
        </w:r>
      </w:hyperlink>
      <w:r w:rsidR="00DE76E5">
        <w:rPr>
          <w:rFonts w:hint="cs"/>
          <w:rtl/>
        </w:rPr>
        <w:t xml:space="preserve"> </w:t>
      </w:r>
      <w:r w:rsidR="00DE76E5">
        <w:rPr>
          <w:rFonts w:hint="cs"/>
          <w:b/>
          <w:bCs/>
          <w:rtl/>
        </w:rPr>
        <w:t>אבו עיסא נ' מדינת ישראל</w:t>
      </w:r>
      <w:r w:rsidR="00DE76E5">
        <w:rPr>
          <w:rFonts w:hint="cs"/>
          <w:rtl/>
        </w:rPr>
        <w:t xml:space="preserve"> (18.3.19, 11.7.19) – המערער הורשע בעבירה של החזקת נשק, לאחר שהחזיק </w:t>
      </w:r>
      <w:r w:rsidR="00DE76E5">
        <w:rPr>
          <w:rFonts w:hint="cs"/>
          <w:b/>
          <w:bCs/>
          <w:rtl/>
        </w:rPr>
        <w:t>בנשק מאולתר אוטומטי</w:t>
      </w:r>
      <w:r w:rsidR="00DE76E5">
        <w:rPr>
          <w:rFonts w:hint="cs"/>
          <w:rtl/>
        </w:rPr>
        <w:t xml:space="preserve"> והעבירו לאדם אחר על מנת שיחזיק בו באופן זמני. </w:t>
      </w:r>
      <w:r w:rsidR="00DE76E5">
        <w:rPr>
          <w:rFonts w:hint="cs"/>
          <w:b/>
          <w:bCs/>
          <w:rtl/>
        </w:rPr>
        <w:t>בגזר דינו צוין כי מחד גיסא, מדובר בנשק בעל פוטנציאל פגיעה גבוה, ומאידך גיסא כי נשק מאולתר לא עומד ברמת האיכות של הנשק התקני, "על כל המשתמע מכך".</w:t>
      </w:r>
      <w:r w:rsidR="00DE76E5">
        <w:rPr>
          <w:rFonts w:hint="cs"/>
          <w:rtl/>
        </w:rPr>
        <w:t xml:space="preserve"> נקבע מתחם ענישה הולם הנע </w:t>
      </w:r>
      <w:r w:rsidR="00DE76E5">
        <w:rPr>
          <w:rFonts w:hint="cs"/>
          <w:b/>
          <w:bCs/>
          <w:rtl/>
        </w:rPr>
        <w:t>בין 15 ל-36 חודשים</w:t>
      </w:r>
      <w:r w:rsidR="00DE76E5">
        <w:rPr>
          <w:rFonts w:hint="cs"/>
          <w:rtl/>
        </w:rPr>
        <w:t xml:space="preserve">. על המערער, </w:t>
      </w:r>
      <w:r w:rsidR="00DE76E5">
        <w:rPr>
          <w:rFonts w:hint="cs"/>
          <w:b/>
          <w:bCs/>
          <w:rtl/>
        </w:rPr>
        <w:t>צעיר ללא עבר פלילי</w:t>
      </w:r>
      <w:r w:rsidR="00DE76E5">
        <w:rPr>
          <w:rFonts w:hint="cs"/>
          <w:rtl/>
        </w:rPr>
        <w:t xml:space="preserve">, ונגזרו עליו </w:t>
      </w:r>
      <w:r w:rsidR="00DE76E5">
        <w:rPr>
          <w:rFonts w:hint="cs"/>
          <w:b/>
          <w:bCs/>
          <w:rtl/>
        </w:rPr>
        <w:t>18 חודשי מאסר בפועל</w:t>
      </w:r>
      <w:r w:rsidR="00DE76E5">
        <w:rPr>
          <w:rFonts w:hint="cs"/>
          <w:rtl/>
        </w:rPr>
        <w:t xml:space="preserve">. ערעורו נדחה בהתחשב </w:t>
      </w:r>
      <w:r w:rsidR="00DE76E5">
        <w:rPr>
          <w:rFonts w:hint="cs"/>
          <w:b/>
          <w:bCs/>
          <w:rtl/>
        </w:rPr>
        <w:t>במדיניות בית המשפט העליון בעבירות נשק</w:t>
      </w:r>
      <w:r w:rsidR="00DE76E5">
        <w:rPr>
          <w:rFonts w:hint="cs"/>
          <w:rtl/>
        </w:rPr>
        <w:t xml:space="preserve">. </w:t>
      </w:r>
    </w:p>
    <w:p w14:paraId="14954CA3" w14:textId="77777777" w:rsidR="00DE76E5" w:rsidRDefault="00DE76E5" w:rsidP="00DE76E5">
      <w:pPr>
        <w:spacing w:line="360" w:lineRule="auto"/>
        <w:ind w:left="1440"/>
        <w:contextualSpacing/>
        <w:jc w:val="both"/>
        <w:rPr>
          <w:rtl/>
        </w:rPr>
      </w:pPr>
    </w:p>
    <w:p w14:paraId="3EA9C17D" w14:textId="77777777" w:rsidR="00DE76E5" w:rsidRDefault="00501215" w:rsidP="00DE76E5">
      <w:pPr>
        <w:numPr>
          <w:ilvl w:val="0"/>
          <w:numId w:val="1"/>
        </w:numPr>
        <w:spacing w:line="360" w:lineRule="auto"/>
        <w:contextualSpacing/>
        <w:jc w:val="both"/>
      </w:pPr>
      <w:hyperlink r:id="rId16" w:history="1">
        <w:r w:rsidRPr="00501215">
          <w:rPr>
            <w:color w:val="0000FF"/>
            <w:u w:val="single"/>
            <w:rtl/>
          </w:rPr>
          <w:t>עפ"ג (נצ') 21260-10-19</w:t>
        </w:r>
      </w:hyperlink>
      <w:r w:rsidR="00DE76E5">
        <w:rPr>
          <w:rFonts w:hint="cs"/>
          <w:rtl/>
        </w:rPr>
        <w:t xml:space="preserve"> </w:t>
      </w:r>
      <w:r w:rsidR="00DE76E5">
        <w:rPr>
          <w:rFonts w:hint="cs"/>
          <w:b/>
          <w:bCs/>
          <w:rtl/>
        </w:rPr>
        <w:t>מדינת ישראל נ' מוסא מזאריב</w:t>
      </w:r>
      <w:r w:rsidR="00DE76E5">
        <w:rPr>
          <w:rFonts w:hint="cs"/>
          <w:rtl/>
        </w:rPr>
        <w:t xml:space="preserve"> (24.11.19) – שהוזכר לעיל, המשיב הורשע בעבירה של החזקת נשק, לאחר שנמצאו מוסלקים בארון בגדים בביתו, תת מקלע מאולתר, ולצדו מחסנית ייעודית מלאה ב-21 כדורים. נקבע מתחם עונש הולם הנע בין 12 ל-24 חודשי מאסר בפועל, בצירוף עונשים נלווים. הוטלו, בסטייה משיקולי שיקום – תשעה חודשי מאסר לריצוי בעבודות שירות, 6 חודשי מאסר על-תנאי, קנס בסך 5,000 ₪ וצו מבחן למשך 18 חודשים. בית-המשפט המחוזי קיבל את ערעור המדינה על קולת העונש, בציינו את מדיניות הענישה בעבירות נשק, ובשל העובדה כי לא ניתן משקל מספיק לסוג הנשק ולנסיבות החזקתו. כן ביטל בית-המשפט המחוזי את הקביעה לפיה תסקיר שירות המבחן ביסס קיומם של סיכויי שיקום, וקבע כי לא היה מקום לחרוג לקולה ממתחם העונש ההולם. </w:t>
      </w:r>
      <w:r w:rsidR="00DE76E5">
        <w:rPr>
          <w:rFonts w:hint="cs"/>
          <w:b/>
          <w:bCs/>
          <w:rtl/>
        </w:rPr>
        <w:t>בית-המשפט המחוזי העמיד את עונשו של המשיב על 12 חודשי מאסר בפועל, תוך ביטול רכיב צו המבחן והותרת יתר רכיבי הענישה על כנם</w:t>
      </w:r>
      <w:r w:rsidR="00DE76E5">
        <w:rPr>
          <w:rFonts w:hint="cs"/>
          <w:rtl/>
        </w:rPr>
        <w:t>.</w:t>
      </w:r>
    </w:p>
    <w:p w14:paraId="11709BB3" w14:textId="77777777" w:rsidR="00DE76E5" w:rsidRDefault="00DE76E5" w:rsidP="00DE76E5">
      <w:pPr>
        <w:spacing w:line="360" w:lineRule="auto"/>
        <w:ind w:left="1440"/>
        <w:contextualSpacing/>
        <w:jc w:val="both"/>
      </w:pPr>
    </w:p>
    <w:p w14:paraId="2811D9DA" w14:textId="77777777" w:rsidR="00DE76E5" w:rsidRDefault="00501215" w:rsidP="00DE76E5">
      <w:pPr>
        <w:numPr>
          <w:ilvl w:val="0"/>
          <w:numId w:val="1"/>
        </w:numPr>
        <w:spacing w:line="360" w:lineRule="auto"/>
        <w:contextualSpacing/>
        <w:jc w:val="both"/>
        <w:rPr>
          <w:rtl/>
        </w:rPr>
      </w:pPr>
      <w:hyperlink r:id="rId17" w:history="1">
        <w:r w:rsidRPr="00501215">
          <w:rPr>
            <w:color w:val="0000FF"/>
            <w:u w:val="single"/>
            <w:rtl/>
          </w:rPr>
          <w:t>עפ"ג (חי') 52602-12-19</w:t>
        </w:r>
      </w:hyperlink>
      <w:r w:rsidR="00DE76E5">
        <w:rPr>
          <w:rFonts w:hint="cs"/>
          <w:rtl/>
        </w:rPr>
        <w:t xml:space="preserve"> </w:t>
      </w:r>
      <w:r w:rsidR="00DE76E5">
        <w:rPr>
          <w:rFonts w:hint="cs"/>
          <w:b/>
          <w:bCs/>
          <w:rtl/>
        </w:rPr>
        <w:t>מדינת ישראל נ' פאדי ריזק</w:t>
      </w:r>
      <w:r w:rsidR="00DE76E5">
        <w:rPr>
          <w:rFonts w:hint="cs"/>
          <w:rtl/>
        </w:rPr>
        <w:t xml:space="preserve"> (27.1.20) – על המשיב הוטלו 7 חודשי מאסר בפועל בעבירה של החזקת נשק, לאחר שנמצא מחזיק מתחת למזרן מיטתו </w:t>
      </w:r>
      <w:r w:rsidR="00DE76E5">
        <w:rPr>
          <w:rFonts w:hint="cs"/>
          <w:b/>
          <w:bCs/>
          <w:rtl/>
        </w:rPr>
        <w:t>באקדח ובו מחסנית מלאה בכדורים</w:t>
      </w:r>
      <w:r w:rsidR="00DE76E5">
        <w:rPr>
          <w:rFonts w:hint="cs"/>
          <w:rtl/>
        </w:rPr>
        <w:t xml:space="preserve">. בית-המשפט המחוזי קיבל את ערעור המדינה, בשל מדיניות הענישה להחמיר בענישה בעבירות נשק, והעמיד את עונשו על </w:t>
      </w:r>
      <w:r w:rsidR="00DE76E5">
        <w:rPr>
          <w:rFonts w:hint="cs"/>
          <w:b/>
          <w:bCs/>
          <w:rtl/>
        </w:rPr>
        <w:t>10 חודשי מאסר בפועל</w:t>
      </w:r>
      <w:r w:rsidR="00DE76E5">
        <w:rPr>
          <w:rFonts w:hint="cs"/>
          <w:rtl/>
        </w:rPr>
        <w:t xml:space="preserve">. </w:t>
      </w:r>
    </w:p>
    <w:p w14:paraId="4FDF4009" w14:textId="77777777" w:rsidR="00DE76E5" w:rsidRDefault="00DE76E5" w:rsidP="00DE76E5">
      <w:pPr>
        <w:spacing w:line="360" w:lineRule="auto"/>
        <w:ind w:left="1440"/>
        <w:contextualSpacing/>
        <w:jc w:val="both"/>
      </w:pPr>
    </w:p>
    <w:p w14:paraId="42A869D1" w14:textId="77777777" w:rsidR="00DE76E5" w:rsidRDefault="00501215" w:rsidP="00DE76E5">
      <w:pPr>
        <w:numPr>
          <w:ilvl w:val="0"/>
          <w:numId w:val="1"/>
        </w:numPr>
        <w:spacing w:line="360" w:lineRule="auto"/>
        <w:contextualSpacing/>
        <w:jc w:val="both"/>
      </w:pPr>
      <w:hyperlink r:id="rId18" w:history="1">
        <w:r w:rsidRPr="00501215">
          <w:rPr>
            <w:color w:val="0000FF"/>
            <w:u w:val="single"/>
            <w:rtl/>
          </w:rPr>
          <w:t>רע"פ 2265/18</w:t>
        </w:r>
      </w:hyperlink>
      <w:r w:rsidR="00DE76E5">
        <w:rPr>
          <w:rFonts w:hint="cs"/>
          <w:rtl/>
        </w:rPr>
        <w:t xml:space="preserve"> </w:t>
      </w:r>
      <w:r w:rsidR="00DE76E5">
        <w:rPr>
          <w:rFonts w:hint="cs"/>
          <w:b/>
          <w:bCs/>
          <w:rtl/>
        </w:rPr>
        <w:t>זוהיר עמאר נ' מדינת ישראל</w:t>
      </w:r>
      <w:r w:rsidR="00DE76E5">
        <w:rPr>
          <w:rFonts w:hint="cs"/>
          <w:rtl/>
        </w:rPr>
        <w:t xml:space="preserve"> (29.3.18) – המבקש, צעיר ללא עבר פלילי, הורשע בשתי עבירות של החזקת נשק, לאחר שהחזיק בשני תתי מקלע מאולתרים, עם מחסניות, בתיק ובתא המטען של הרכב. הוטלו עליו 24 חודשי מאסר בפועל, מאסרים על-תנאי וקנס בסך 15,000 ₪. </w:t>
      </w:r>
      <w:r w:rsidR="00DE76E5">
        <w:rPr>
          <w:rFonts w:hint="cs"/>
          <w:b/>
          <w:bCs/>
          <w:rtl/>
        </w:rPr>
        <w:t>ערעורו לבית המשפט המחוזי התקבל, ורכיב המאסר הועמד על 20 חודשי מאסר בפועל</w:t>
      </w:r>
      <w:r w:rsidR="00DE76E5">
        <w:rPr>
          <w:rFonts w:hint="cs"/>
          <w:rtl/>
        </w:rPr>
        <w:t xml:space="preserve">. בקשת רשות ערעור לבית-המשפט העליון – נדחתה. </w:t>
      </w:r>
    </w:p>
    <w:p w14:paraId="51F05AE1" w14:textId="77777777" w:rsidR="00DE76E5" w:rsidRDefault="00DE76E5" w:rsidP="00DE76E5">
      <w:pPr>
        <w:spacing w:line="360" w:lineRule="auto"/>
        <w:jc w:val="both"/>
      </w:pPr>
    </w:p>
    <w:p w14:paraId="0CDB4F6B" w14:textId="77777777" w:rsidR="00DE76E5" w:rsidRDefault="00501215" w:rsidP="00DE76E5">
      <w:pPr>
        <w:numPr>
          <w:ilvl w:val="0"/>
          <w:numId w:val="1"/>
        </w:numPr>
        <w:spacing w:line="360" w:lineRule="auto"/>
        <w:contextualSpacing/>
        <w:jc w:val="both"/>
      </w:pPr>
      <w:hyperlink r:id="rId19" w:history="1">
        <w:r w:rsidRPr="00501215">
          <w:rPr>
            <w:color w:val="0000FF"/>
            <w:u w:val="single"/>
            <w:rtl/>
          </w:rPr>
          <w:t>ת"פ (ב"ש) 53496-03-18</w:t>
        </w:r>
      </w:hyperlink>
      <w:r w:rsidR="00DE76E5">
        <w:rPr>
          <w:rFonts w:hint="cs"/>
          <w:rtl/>
        </w:rPr>
        <w:t xml:space="preserve"> </w:t>
      </w:r>
      <w:r w:rsidR="00DE76E5">
        <w:rPr>
          <w:rFonts w:hint="cs"/>
          <w:b/>
          <w:bCs/>
          <w:rtl/>
        </w:rPr>
        <w:t xml:space="preserve">מדינת ישראל נ' אבו עסא </w:t>
      </w:r>
      <w:r w:rsidR="00DE76E5">
        <w:rPr>
          <w:rFonts w:hint="cs"/>
          <w:rtl/>
        </w:rPr>
        <w:t xml:space="preserve">(6.2.19) – הנאשם 1, צעיר ללא עבר פלילי, הורשע בהחזקת נשק מאולתר אוטומטי, ומסר אותו לאחר על-מנת שיחזיקו באופן זמני. נקבע מתחם עונש הולם הנע בין 15 ל-36 חודשי מאסר, והוטלו </w:t>
      </w:r>
      <w:r w:rsidR="00DE76E5">
        <w:rPr>
          <w:rFonts w:hint="cs"/>
          <w:b/>
          <w:bCs/>
          <w:rtl/>
        </w:rPr>
        <w:t xml:space="preserve">18 חודשי מאסר בפועל ומאסר על-תנאי. </w:t>
      </w:r>
    </w:p>
    <w:p w14:paraId="54828201" w14:textId="77777777" w:rsidR="00DE76E5" w:rsidRDefault="00DE76E5" w:rsidP="00DE76E5">
      <w:pPr>
        <w:spacing w:line="360" w:lineRule="auto"/>
        <w:ind w:left="1440"/>
        <w:contextualSpacing/>
        <w:jc w:val="both"/>
        <w:rPr>
          <w:rtl/>
        </w:rPr>
      </w:pPr>
    </w:p>
    <w:p w14:paraId="2DC23ACE" w14:textId="77777777" w:rsidR="00DE76E5" w:rsidRDefault="00501215" w:rsidP="00DE76E5">
      <w:pPr>
        <w:numPr>
          <w:ilvl w:val="0"/>
          <w:numId w:val="1"/>
        </w:numPr>
        <w:spacing w:line="360" w:lineRule="auto"/>
        <w:contextualSpacing/>
        <w:jc w:val="both"/>
      </w:pPr>
      <w:hyperlink r:id="rId20" w:history="1">
        <w:r w:rsidRPr="00501215">
          <w:rPr>
            <w:color w:val="0000FF"/>
            <w:u w:val="single"/>
            <w:rtl/>
          </w:rPr>
          <w:t>עפ"ג (מרכז) 62288-05-17</w:t>
        </w:r>
      </w:hyperlink>
      <w:r w:rsidR="00DE76E5">
        <w:rPr>
          <w:rFonts w:hint="cs"/>
          <w:rtl/>
        </w:rPr>
        <w:t xml:space="preserve"> </w:t>
      </w:r>
      <w:r w:rsidR="00DE76E5">
        <w:rPr>
          <w:rFonts w:hint="cs"/>
          <w:b/>
          <w:bCs/>
          <w:rtl/>
        </w:rPr>
        <w:t>מדינת ישראל נ' ג'מיל סעדי</w:t>
      </w:r>
      <w:r w:rsidR="00DE76E5">
        <w:rPr>
          <w:rFonts w:hint="cs"/>
          <w:rtl/>
        </w:rPr>
        <w:t xml:space="preserve"> (15.4.18) – בעבירות של החזקת נשק נקבע מתחם עונש הולם הנע בין 8 ל-24 חודשי מאסר בפועל, והוטלו בחריגה משיקולי שיקום, 6 חודשי מאסר לריצוי בעבודות שירות. בית-המשפט המחוזי קיבל את ערעור המדינה על קולת העונש, וגזר עליו </w:t>
      </w:r>
      <w:r w:rsidR="00DE76E5">
        <w:rPr>
          <w:rFonts w:hint="cs"/>
          <w:b/>
          <w:bCs/>
          <w:rtl/>
        </w:rPr>
        <w:t>10 חודשי מאסר בפועל</w:t>
      </w:r>
      <w:r w:rsidR="00DE76E5">
        <w:rPr>
          <w:rFonts w:hint="cs"/>
          <w:rtl/>
        </w:rPr>
        <w:t xml:space="preserve">. </w:t>
      </w:r>
    </w:p>
    <w:p w14:paraId="0F56AD88" w14:textId="77777777" w:rsidR="00DE76E5" w:rsidRDefault="00DE76E5" w:rsidP="00DE76E5">
      <w:pPr>
        <w:spacing w:line="360" w:lineRule="auto"/>
        <w:jc w:val="both"/>
      </w:pPr>
    </w:p>
    <w:p w14:paraId="0B4BF2D5" w14:textId="77777777" w:rsidR="00DE76E5" w:rsidRDefault="00501215" w:rsidP="00DE76E5">
      <w:pPr>
        <w:numPr>
          <w:ilvl w:val="0"/>
          <w:numId w:val="1"/>
        </w:numPr>
        <w:spacing w:line="360" w:lineRule="auto"/>
        <w:contextualSpacing/>
        <w:jc w:val="both"/>
      </w:pPr>
      <w:hyperlink r:id="rId21" w:history="1">
        <w:r w:rsidRPr="00501215">
          <w:rPr>
            <w:color w:val="0000FF"/>
            <w:u w:val="single"/>
            <w:rtl/>
          </w:rPr>
          <w:t>רע"פ 1246/17</w:t>
        </w:r>
      </w:hyperlink>
      <w:r w:rsidR="00DE76E5">
        <w:rPr>
          <w:rFonts w:hint="cs"/>
          <w:rtl/>
        </w:rPr>
        <w:t xml:space="preserve"> </w:t>
      </w:r>
      <w:r w:rsidR="00DE76E5">
        <w:rPr>
          <w:rFonts w:hint="cs"/>
          <w:b/>
          <w:bCs/>
          <w:rtl/>
        </w:rPr>
        <w:t>מוחמד מטר נ' מדינת ישראל</w:t>
      </w:r>
      <w:r w:rsidR="00DE76E5">
        <w:rPr>
          <w:rFonts w:hint="cs"/>
          <w:rtl/>
        </w:rPr>
        <w:t xml:space="preserve"> (12.3.17) – המבקש הורשע בעבירות של החזקת נשק, והחזקת אביזר לנשק ותחמושת, לאחר שרכש אקדח, שתי מחסניות וקופסת כדורים, והחזיקם בביתו – כאשר הנשק טעון במחסנית ולצדו מחסנית מלאה בכדורים. בית-משפט השלום הטיל עליו 6 חודשי מאסר לריצוי בעבודות שירות, ועונשים נלווים. חרף הודאתו והעדר עבר פלילי, קיבל בית-המשפט המחוזי את ערעור המדינה על קולת העונש והטיל עליו </w:t>
      </w:r>
      <w:r w:rsidR="00DE76E5">
        <w:rPr>
          <w:rFonts w:hint="cs"/>
          <w:b/>
          <w:bCs/>
          <w:rtl/>
        </w:rPr>
        <w:t>9 חודשי מאסר לריצוי בפועל</w:t>
      </w:r>
      <w:r w:rsidR="00DE76E5">
        <w:rPr>
          <w:rFonts w:hint="cs"/>
          <w:rtl/>
        </w:rPr>
        <w:t xml:space="preserve">, בהיותן של עבירות הנשק "מכת מדינה" הגורמת לנזקים כבדים ולעיתים לנטילת חיים של חפים מפשע. בקשת רשות ערעור שהגיש המבקש לבית-המשפט העליון, נדחתה.  </w:t>
      </w:r>
    </w:p>
    <w:p w14:paraId="7BAF803C" w14:textId="77777777" w:rsidR="00DE76E5" w:rsidRDefault="00DE76E5" w:rsidP="00DE76E5">
      <w:pPr>
        <w:spacing w:line="360" w:lineRule="auto"/>
        <w:jc w:val="both"/>
      </w:pPr>
    </w:p>
    <w:p w14:paraId="16D77A1B" w14:textId="77777777" w:rsidR="00DE76E5" w:rsidRDefault="00DE76E5" w:rsidP="00DE76E5">
      <w:pPr>
        <w:spacing w:line="360" w:lineRule="auto"/>
        <w:jc w:val="both"/>
        <w:rPr>
          <w:u w:val="single"/>
        </w:rPr>
      </w:pPr>
      <w:r>
        <w:rPr>
          <w:rFonts w:hint="cs"/>
          <w:rtl/>
        </w:rPr>
        <w:t>13.</w:t>
      </w:r>
      <w:r>
        <w:rPr>
          <w:rFonts w:hint="cs"/>
          <w:rtl/>
        </w:rPr>
        <w:tab/>
      </w:r>
      <w:r>
        <w:rPr>
          <w:rFonts w:hint="cs"/>
          <w:u w:val="single"/>
          <w:rtl/>
        </w:rPr>
        <w:t>ב"כ הנאשם הפנה לפסקי-הדין הבאים:</w:t>
      </w:r>
    </w:p>
    <w:p w14:paraId="63741E78" w14:textId="77777777" w:rsidR="00DE76E5" w:rsidRDefault="00DE76E5" w:rsidP="00DE76E5">
      <w:pPr>
        <w:spacing w:line="360" w:lineRule="auto"/>
        <w:jc w:val="both"/>
        <w:rPr>
          <w:u w:val="single"/>
          <w:rtl/>
        </w:rPr>
      </w:pPr>
    </w:p>
    <w:p w14:paraId="78C1D86D" w14:textId="77777777" w:rsidR="00DE76E5" w:rsidRDefault="00501215" w:rsidP="00DE76E5">
      <w:pPr>
        <w:pStyle w:val="a9"/>
        <w:numPr>
          <w:ilvl w:val="0"/>
          <w:numId w:val="2"/>
        </w:numPr>
        <w:spacing w:after="0" w:line="360" w:lineRule="auto"/>
        <w:jc w:val="both"/>
        <w:rPr>
          <w:rFonts w:ascii="David" w:hAnsi="David" w:cs="David"/>
          <w:sz w:val="24"/>
          <w:szCs w:val="24"/>
          <w:rtl/>
        </w:rPr>
      </w:pPr>
      <w:hyperlink r:id="rId22" w:history="1">
        <w:r w:rsidRPr="00501215">
          <w:rPr>
            <w:rFonts w:ascii="David" w:hAnsi="David" w:cs="David"/>
            <w:color w:val="0000FF"/>
            <w:sz w:val="24"/>
            <w:szCs w:val="24"/>
            <w:u w:val="single"/>
            <w:rtl/>
          </w:rPr>
          <w:t>ת"פ (מח' חי') 17860-01-19</w:t>
        </w:r>
      </w:hyperlink>
      <w:r w:rsidR="00DE76E5">
        <w:rPr>
          <w:rFonts w:ascii="David" w:hAnsi="David" w:cs="David"/>
          <w:sz w:val="24"/>
          <w:szCs w:val="24"/>
          <w:rtl/>
        </w:rPr>
        <w:t xml:space="preserve"> </w:t>
      </w:r>
      <w:r w:rsidR="00DE76E5">
        <w:rPr>
          <w:rFonts w:ascii="David" w:hAnsi="David" w:cs="David"/>
          <w:b/>
          <w:bCs/>
          <w:sz w:val="24"/>
          <w:szCs w:val="24"/>
          <w:rtl/>
        </w:rPr>
        <w:t>מדינת ישראל נ' צביחאת</w:t>
      </w:r>
      <w:r w:rsidR="00DE76E5">
        <w:rPr>
          <w:rFonts w:ascii="David" w:hAnsi="David" w:cs="David"/>
          <w:sz w:val="24"/>
          <w:szCs w:val="24"/>
          <w:rtl/>
        </w:rPr>
        <w:t xml:space="preserve"> (17.11.19) – הנאשם הורשע, על-פי הודאתו, בנשיאה של אקדח ברטה על גופו, כשהוא טעון במחסנית במצב "הכנס", וכן נשא על גופו שלוש מחסניות נוספות, טעונות בכדורים. בית-המשפט המחוזי קבע </w:t>
      </w:r>
      <w:r w:rsidR="00DE76E5">
        <w:rPr>
          <w:rFonts w:ascii="David" w:hAnsi="David" w:cs="David"/>
          <w:b/>
          <w:bCs/>
          <w:sz w:val="24"/>
          <w:szCs w:val="24"/>
          <w:rtl/>
        </w:rPr>
        <w:t>מתחם עונש הנע בין 12 ל-36 חודשי מאסר בפועל, והוטלו 15 חודשי מאסר בפועל</w:t>
      </w:r>
      <w:r w:rsidR="00DE76E5">
        <w:rPr>
          <w:rFonts w:ascii="David" w:hAnsi="David" w:cs="David"/>
          <w:sz w:val="24"/>
          <w:szCs w:val="24"/>
          <w:rtl/>
        </w:rPr>
        <w:t xml:space="preserve">. </w:t>
      </w:r>
    </w:p>
    <w:p w14:paraId="3F98D0F3" w14:textId="77777777" w:rsidR="00DE76E5" w:rsidRDefault="00DE76E5" w:rsidP="00DE76E5">
      <w:pPr>
        <w:spacing w:line="360" w:lineRule="auto"/>
        <w:jc w:val="both"/>
        <w:rPr>
          <w:rFonts w:ascii="David" w:hAnsi="David"/>
          <w:rtl/>
        </w:rPr>
      </w:pPr>
      <w:r>
        <w:rPr>
          <w:rFonts w:hint="cs"/>
          <w:rtl/>
        </w:rPr>
        <w:t xml:space="preserve"> </w:t>
      </w:r>
    </w:p>
    <w:p w14:paraId="6494BDC9" w14:textId="77777777" w:rsidR="00DE76E5" w:rsidRDefault="00501215" w:rsidP="00DE76E5">
      <w:pPr>
        <w:pStyle w:val="a9"/>
        <w:numPr>
          <w:ilvl w:val="0"/>
          <w:numId w:val="2"/>
        </w:numPr>
        <w:spacing w:after="0" w:line="360" w:lineRule="auto"/>
        <w:jc w:val="both"/>
        <w:rPr>
          <w:rFonts w:ascii="David" w:hAnsi="David" w:cs="David"/>
          <w:sz w:val="24"/>
          <w:szCs w:val="24"/>
        </w:rPr>
      </w:pPr>
      <w:hyperlink r:id="rId23" w:history="1">
        <w:r w:rsidRPr="00501215">
          <w:rPr>
            <w:rFonts w:ascii="David" w:hAnsi="David" w:cs="David"/>
            <w:color w:val="0000FF"/>
            <w:sz w:val="24"/>
            <w:szCs w:val="24"/>
            <w:u w:val="single"/>
            <w:rtl/>
          </w:rPr>
          <w:t>ע"פ 4945/13</w:t>
        </w:r>
      </w:hyperlink>
      <w:r w:rsidR="00DE76E5">
        <w:rPr>
          <w:rFonts w:ascii="David" w:hAnsi="David" w:cs="David"/>
          <w:sz w:val="24"/>
          <w:szCs w:val="24"/>
          <w:rtl/>
        </w:rPr>
        <w:t xml:space="preserve"> </w:t>
      </w:r>
      <w:r w:rsidR="00DE76E5">
        <w:rPr>
          <w:rFonts w:ascii="David" w:hAnsi="David" w:cs="David"/>
          <w:b/>
          <w:bCs/>
          <w:sz w:val="24"/>
          <w:szCs w:val="24"/>
          <w:rtl/>
        </w:rPr>
        <w:t>מדינת ישראל נ' סולימאן</w:t>
      </w:r>
      <w:r w:rsidR="00DE76E5">
        <w:rPr>
          <w:rFonts w:ascii="David" w:hAnsi="David" w:cs="David"/>
          <w:sz w:val="24"/>
          <w:szCs w:val="24"/>
          <w:rtl/>
        </w:rPr>
        <w:t xml:space="preserve"> (17.11.19), המשיב הורשע, לאחר שמיעת ראיות, בעבירות נשק לאחר שרכש מאדם אחר נשק "קרל גוסטב", ירה ירייה אחת באוויר בחורשה, ולאחר מכן הטמינו במקום מסתור. בהמשך נעצר כשהוא נושא את הנשק וכן תחמושת ברכבו, ונמלט מהשוטרים. נקבע מתחם עונש הולם הנע בין מאסר בפועל בעבודות שירות ובין 20 חודשי מאסר והוטלו</w:t>
      </w:r>
      <w:r w:rsidR="00DE76E5">
        <w:rPr>
          <w:rFonts w:ascii="David" w:hAnsi="David" w:cs="David"/>
          <w:b/>
          <w:bCs/>
          <w:sz w:val="24"/>
          <w:szCs w:val="24"/>
          <w:rtl/>
        </w:rPr>
        <w:t xml:space="preserve"> 6 חודשי מאסר לריצוי בעבודות שירות, מאסר על-תנאי, צו מבחן למשך שנתיים וקנס</w:t>
      </w:r>
      <w:r w:rsidR="00DE76E5">
        <w:rPr>
          <w:rFonts w:ascii="David" w:hAnsi="David" w:cs="David"/>
          <w:sz w:val="24"/>
          <w:szCs w:val="24"/>
          <w:rtl/>
        </w:rPr>
        <w:t xml:space="preserve">. נקבע בבית-המשפט העליון </w:t>
      </w:r>
      <w:r w:rsidR="00DE76E5">
        <w:rPr>
          <w:rFonts w:ascii="David" w:hAnsi="David" w:cs="David"/>
          <w:b/>
          <w:bCs/>
          <w:sz w:val="24"/>
          <w:szCs w:val="24"/>
          <w:rtl/>
        </w:rPr>
        <w:t>כי מתחם העונש ההולם שנקבע בבית המשפט המחוזי</w:t>
      </w:r>
      <w:r w:rsidR="00DE76E5">
        <w:rPr>
          <w:rFonts w:ascii="David" w:hAnsi="David" w:cs="David"/>
          <w:sz w:val="24"/>
          <w:szCs w:val="24"/>
          <w:rtl/>
        </w:rPr>
        <w:t xml:space="preserve"> </w:t>
      </w:r>
      <w:r w:rsidR="00DE76E5">
        <w:rPr>
          <w:rFonts w:ascii="David" w:hAnsi="David" w:cs="David"/>
          <w:b/>
          <w:bCs/>
          <w:sz w:val="24"/>
          <w:szCs w:val="24"/>
          <w:rtl/>
        </w:rPr>
        <w:t>מקל יתר על המידה וטעון התערבות</w:t>
      </w:r>
      <w:r w:rsidR="00DE76E5">
        <w:rPr>
          <w:rFonts w:ascii="David" w:hAnsi="David" w:cs="David"/>
          <w:sz w:val="24"/>
          <w:szCs w:val="24"/>
          <w:rtl/>
        </w:rPr>
        <w:t>. מתחם העונש ההולם נקבע</w:t>
      </w:r>
      <w:r w:rsidR="00DE76E5">
        <w:rPr>
          <w:rFonts w:ascii="David" w:hAnsi="David" w:cs="David"/>
          <w:b/>
          <w:bCs/>
          <w:sz w:val="24"/>
          <w:szCs w:val="24"/>
          <w:rtl/>
        </w:rPr>
        <w:t xml:space="preserve"> בין 12 ל-36 חודשי מאסר בפועל, </w:t>
      </w:r>
      <w:r w:rsidR="00DE76E5">
        <w:rPr>
          <w:rFonts w:ascii="David" w:hAnsi="David" w:cs="David"/>
          <w:sz w:val="24"/>
          <w:szCs w:val="24"/>
          <w:rtl/>
        </w:rPr>
        <w:t xml:space="preserve">והוטל – תוך קביעה כי הוכח קיומם של שיקולי שיקום, ובהתחשב בנתוניו האישיים של המשיב, </w:t>
      </w:r>
      <w:r w:rsidR="00DE76E5">
        <w:rPr>
          <w:rFonts w:ascii="David" w:hAnsi="David" w:cs="David"/>
          <w:b/>
          <w:bCs/>
          <w:sz w:val="24"/>
          <w:szCs w:val="24"/>
          <w:rtl/>
        </w:rPr>
        <w:t>הותר עונש המאסר לריצוי בעבודות שירות על כנו</w:t>
      </w:r>
      <w:r w:rsidR="00DE76E5">
        <w:rPr>
          <w:rFonts w:ascii="David" w:hAnsi="David" w:cs="David"/>
          <w:sz w:val="24"/>
          <w:szCs w:val="24"/>
          <w:rtl/>
        </w:rPr>
        <w:t>. בין היתר נקבע:</w:t>
      </w:r>
    </w:p>
    <w:p w14:paraId="3941BB1C" w14:textId="77777777" w:rsidR="00DE76E5" w:rsidRDefault="00DE76E5" w:rsidP="00DE76E5">
      <w:pPr>
        <w:spacing w:line="360" w:lineRule="auto"/>
        <w:jc w:val="both"/>
        <w:rPr>
          <w:rFonts w:ascii="David" w:hAnsi="David"/>
        </w:rPr>
      </w:pPr>
    </w:p>
    <w:p w14:paraId="29B3FB03" w14:textId="77777777" w:rsidR="00DE76E5" w:rsidRDefault="00DE76E5" w:rsidP="00DE76E5">
      <w:pPr>
        <w:spacing w:line="360" w:lineRule="auto"/>
        <w:jc w:val="both"/>
        <w:rPr>
          <w:rtl/>
        </w:rPr>
      </w:pPr>
    </w:p>
    <w:p w14:paraId="78B173C2" w14:textId="77777777" w:rsidR="00DE76E5" w:rsidRDefault="00DE76E5" w:rsidP="00DE76E5">
      <w:pPr>
        <w:spacing w:line="360" w:lineRule="auto"/>
        <w:ind w:left="1440" w:right="426"/>
        <w:jc w:val="both"/>
        <w:rPr>
          <w:b/>
          <w:bCs/>
        </w:rPr>
      </w:pPr>
      <w:r>
        <w:rPr>
          <w:rFonts w:hint="cs"/>
          <w:b/>
          <w:bCs/>
          <w:rtl/>
        </w:rPr>
        <w:t>"</w:t>
      </w:r>
      <w:r>
        <w:rPr>
          <w:rFonts w:hint="cs"/>
          <w:b/>
          <w:bCs/>
          <w:color w:val="000000"/>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w:t>
      </w:r>
      <w:r>
        <w:rPr>
          <w:rFonts w:hint="cs"/>
          <w:b/>
          <w:bCs/>
          <w:rtl/>
        </w:rPr>
        <w:t>שימוש, ולו ברגעי לחץ ופחד (ראו:</w:t>
      </w:r>
      <w:r w:rsidR="00501215">
        <w:rPr>
          <w:rFonts w:hint="cs"/>
          <w:b/>
          <w:bCs/>
          <w:rtl/>
        </w:rPr>
        <w:t xml:space="preserve"> </w:t>
      </w:r>
      <w:hyperlink w:history="1">
        <w:r w:rsidRPr="00501215">
          <w:rPr>
            <w:rStyle w:val="Hyperlink"/>
            <w:rFonts w:hint="cs"/>
            <w:b/>
            <w:bCs/>
            <w:color w:val="000000"/>
            <w:u w:val="none"/>
            <w:rtl/>
          </w:rPr>
          <w:t>ע"פ 3300/06</w:t>
        </w:r>
      </w:hyperlink>
      <w:r>
        <w:rPr>
          <w:rFonts w:hint="cs"/>
          <w:b/>
          <w:bCs/>
          <w:rtl/>
        </w:rPr>
        <w:t xml:space="preserve"> אבו סנינה נ' מדינת</w:t>
      </w:r>
      <w:r>
        <w:rPr>
          <w:rFonts w:hint="cs"/>
          <w:b/>
          <w:bCs/>
          <w:color w:val="000000"/>
          <w:rtl/>
        </w:rPr>
        <w:t xml:space="preserve"> ישראל,</w:t>
      </w:r>
      <w:r w:rsidR="00501215">
        <w:rPr>
          <w:rFonts w:hint="cs"/>
          <w:b/>
          <w:bCs/>
          <w:color w:val="000000"/>
          <w:rtl/>
        </w:rPr>
        <w:t xml:space="preserve"> </w:t>
      </w:r>
      <w:r>
        <w:rPr>
          <w:rFonts w:hint="cs"/>
          <w:b/>
          <w:bCs/>
          <w:color w:val="000000"/>
          <w:rtl/>
        </w:rPr>
        <w:t>[פורסם בנבו]</w:t>
      </w:r>
      <w:r w:rsidR="00501215">
        <w:rPr>
          <w:rFonts w:hint="cs"/>
          <w:b/>
          <w:bCs/>
          <w:color w:val="000000"/>
          <w:rtl/>
        </w:rPr>
        <w:t xml:space="preserve"> </w:t>
      </w:r>
      <w:r>
        <w:rPr>
          <w:rFonts w:hint="cs"/>
          <w:b/>
          <w:bCs/>
          <w:color w:val="000000"/>
          <w:rtl/>
        </w:rPr>
        <w:t>פסקה 6 (10.8.2006), להלן:</w:t>
      </w:r>
      <w:r w:rsidR="00501215">
        <w:rPr>
          <w:rFonts w:hint="cs"/>
          <w:b/>
          <w:bCs/>
          <w:color w:val="000000"/>
          <w:rtl/>
        </w:rPr>
        <w:t xml:space="preserve"> </w:t>
      </w:r>
      <w:r>
        <w:rPr>
          <w:rFonts w:hint="cs"/>
          <w:b/>
          <w:bCs/>
          <w:color w:val="000000"/>
          <w:rtl/>
        </w:rPr>
        <w:t>עניין אבו סנינה).</w:t>
      </w:r>
      <w:r>
        <w:rPr>
          <w:rFonts w:hint="cs"/>
          <w:b/>
          <w:bCs/>
          <w:rtl/>
        </w:rPr>
        <w:t>"</w:t>
      </w:r>
    </w:p>
    <w:p w14:paraId="4AB2D93B" w14:textId="77777777" w:rsidR="00DE76E5" w:rsidRDefault="00DE76E5" w:rsidP="00DE76E5">
      <w:pPr>
        <w:spacing w:line="360" w:lineRule="auto"/>
        <w:jc w:val="both"/>
        <w:rPr>
          <w:u w:val="single"/>
          <w:rtl/>
        </w:rPr>
      </w:pPr>
      <w:r>
        <w:rPr>
          <w:rFonts w:hint="cs"/>
          <w:rtl/>
        </w:rPr>
        <w:t>14.</w:t>
      </w:r>
      <w:r>
        <w:rPr>
          <w:rFonts w:hint="cs"/>
          <w:rtl/>
        </w:rPr>
        <w:tab/>
      </w:r>
      <w:r>
        <w:rPr>
          <w:rFonts w:hint="cs"/>
          <w:u w:val="single"/>
          <w:rtl/>
        </w:rPr>
        <w:t>ניתן לעיין בנוסף בפסקי-הדין הבאים:</w:t>
      </w:r>
    </w:p>
    <w:p w14:paraId="4A447ABC" w14:textId="77777777" w:rsidR="00DE76E5" w:rsidRDefault="00DE76E5" w:rsidP="00DE76E5">
      <w:pPr>
        <w:spacing w:line="360" w:lineRule="auto"/>
        <w:jc w:val="both"/>
        <w:rPr>
          <w:rtl/>
        </w:rPr>
      </w:pPr>
    </w:p>
    <w:p w14:paraId="40255105" w14:textId="77777777" w:rsidR="00DE76E5" w:rsidRDefault="00501215" w:rsidP="00DE76E5">
      <w:pPr>
        <w:pStyle w:val="a9"/>
        <w:numPr>
          <w:ilvl w:val="0"/>
          <w:numId w:val="3"/>
        </w:numPr>
        <w:spacing w:after="0" w:line="360" w:lineRule="auto"/>
        <w:jc w:val="both"/>
        <w:rPr>
          <w:rFonts w:ascii="David" w:hAnsi="David" w:cs="David"/>
          <w:sz w:val="24"/>
          <w:szCs w:val="24"/>
          <w:rtl/>
        </w:rPr>
      </w:pPr>
      <w:hyperlink r:id="rId24" w:history="1">
        <w:r w:rsidRPr="00501215">
          <w:rPr>
            <w:rFonts w:ascii="David" w:hAnsi="David" w:cs="David"/>
            <w:color w:val="0000FF"/>
            <w:sz w:val="24"/>
            <w:szCs w:val="24"/>
            <w:u w:val="single"/>
            <w:rtl/>
          </w:rPr>
          <w:t>רע"פ 2822/12</w:t>
        </w:r>
      </w:hyperlink>
      <w:r w:rsidR="00DE76E5">
        <w:rPr>
          <w:rFonts w:ascii="David" w:hAnsi="David" w:cs="David"/>
          <w:sz w:val="24"/>
          <w:szCs w:val="24"/>
          <w:rtl/>
        </w:rPr>
        <w:t xml:space="preserve"> </w:t>
      </w:r>
      <w:r w:rsidR="00DE76E5">
        <w:rPr>
          <w:rFonts w:ascii="David" w:hAnsi="David" w:cs="David"/>
          <w:b/>
          <w:bCs/>
          <w:sz w:val="24"/>
          <w:szCs w:val="24"/>
          <w:rtl/>
        </w:rPr>
        <w:t>דואהרי נ' מדינת ישראל</w:t>
      </w:r>
      <w:r w:rsidR="00DE76E5">
        <w:rPr>
          <w:rFonts w:ascii="David" w:hAnsi="David" w:cs="David"/>
          <w:sz w:val="24"/>
          <w:szCs w:val="24"/>
          <w:rtl/>
        </w:rPr>
        <w:t xml:space="preserve"> (25.4.12), המבקש הורשע בעבירה של החזקת נשק. בית-המשפט המחוזי קיבל את ערעור המדינה על קולת העונש </w:t>
      </w:r>
      <w:r w:rsidR="00DE76E5">
        <w:rPr>
          <w:rFonts w:ascii="David" w:hAnsi="David" w:cs="David"/>
          <w:b/>
          <w:bCs/>
          <w:sz w:val="24"/>
          <w:szCs w:val="24"/>
          <w:rtl/>
        </w:rPr>
        <w:t>והעמיד את עונשו על 20 חודשי מאסר לריצוי בפועל, הופעל עונש מאסר על-תנאי בן 10 חודשים שהיה תלוי ועומד נגדו, במצטבר, וכן הושת עונש מאסר על-תנאי בן 12 חודשים.</w:t>
      </w:r>
      <w:r w:rsidR="00DE76E5">
        <w:rPr>
          <w:rFonts w:ascii="David" w:hAnsi="David" w:cs="David"/>
          <w:sz w:val="24"/>
          <w:szCs w:val="24"/>
          <w:rtl/>
        </w:rPr>
        <w:t xml:space="preserve"> בקשת רשות ערעור לעליון נדחתה.</w:t>
      </w:r>
    </w:p>
    <w:p w14:paraId="72A1F4AB" w14:textId="77777777" w:rsidR="00DE76E5" w:rsidRDefault="00DE76E5" w:rsidP="00DE76E5">
      <w:pPr>
        <w:pStyle w:val="a9"/>
        <w:spacing w:after="0" w:line="360" w:lineRule="auto"/>
        <w:ind w:left="1080"/>
        <w:jc w:val="both"/>
        <w:rPr>
          <w:rFonts w:ascii="David" w:hAnsi="David" w:cs="David"/>
          <w:sz w:val="24"/>
          <w:szCs w:val="24"/>
          <w:rtl/>
        </w:rPr>
      </w:pPr>
      <w:r>
        <w:rPr>
          <w:rFonts w:ascii="David" w:hAnsi="David" w:cs="David"/>
          <w:sz w:val="24"/>
          <w:szCs w:val="24"/>
          <w:rtl/>
        </w:rPr>
        <w:t xml:space="preserve"> </w:t>
      </w:r>
    </w:p>
    <w:p w14:paraId="4A344BBE" w14:textId="77777777" w:rsidR="00DE76E5" w:rsidRDefault="00501215" w:rsidP="00DE76E5">
      <w:pPr>
        <w:pStyle w:val="a9"/>
        <w:numPr>
          <w:ilvl w:val="0"/>
          <w:numId w:val="3"/>
        </w:numPr>
        <w:spacing w:after="0" w:line="360" w:lineRule="auto"/>
        <w:jc w:val="both"/>
        <w:rPr>
          <w:rFonts w:ascii="David" w:hAnsi="David" w:cs="David"/>
          <w:sz w:val="24"/>
          <w:szCs w:val="24"/>
        </w:rPr>
      </w:pPr>
      <w:hyperlink r:id="rId25" w:history="1">
        <w:r w:rsidRPr="00501215">
          <w:rPr>
            <w:rFonts w:ascii="David" w:hAnsi="David" w:cs="David"/>
            <w:color w:val="0000FF"/>
            <w:sz w:val="24"/>
            <w:szCs w:val="24"/>
            <w:u w:val="single"/>
            <w:rtl/>
          </w:rPr>
          <w:t>ע"פ 5604/11</w:t>
        </w:r>
      </w:hyperlink>
      <w:r w:rsidR="00DE76E5">
        <w:rPr>
          <w:rFonts w:ascii="David" w:hAnsi="David" w:cs="David"/>
          <w:sz w:val="24"/>
          <w:szCs w:val="24"/>
          <w:rtl/>
        </w:rPr>
        <w:t xml:space="preserve"> </w:t>
      </w:r>
      <w:r w:rsidR="00DE76E5">
        <w:rPr>
          <w:rFonts w:ascii="David" w:hAnsi="David" w:cs="David"/>
          <w:b/>
          <w:bCs/>
          <w:sz w:val="24"/>
          <w:szCs w:val="24"/>
          <w:rtl/>
        </w:rPr>
        <w:t xml:space="preserve">נאסר נ' מדינת ישראל </w:t>
      </w:r>
      <w:r w:rsidR="00DE76E5">
        <w:rPr>
          <w:rFonts w:ascii="David" w:hAnsi="David" w:cs="David"/>
          <w:sz w:val="24"/>
          <w:szCs w:val="24"/>
          <w:rtl/>
        </w:rPr>
        <w:t xml:space="preserve">(5.10.11); </w:t>
      </w:r>
      <w:hyperlink r:id="rId26" w:history="1">
        <w:r w:rsidRPr="00501215">
          <w:rPr>
            <w:rFonts w:ascii="David" w:hAnsi="David" w:cs="David"/>
            <w:color w:val="0000FF"/>
            <w:sz w:val="24"/>
            <w:szCs w:val="24"/>
            <w:u w:val="single"/>
            <w:rtl/>
          </w:rPr>
          <w:t>ת"פ (מח' נצ') 12811-04-11</w:t>
        </w:r>
      </w:hyperlink>
      <w:r w:rsidR="00DE76E5">
        <w:rPr>
          <w:rFonts w:ascii="David" w:hAnsi="David" w:cs="David"/>
          <w:sz w:val="24"/>
          <w:szCs w:val="24"/>
          <w:rtl/>
        </w:rPr>
        <w:t xml:space="preserve"> </w:t>
      </w:r>
      <w:r w:rsidR="00DE76E5">
        <w:rPr>
          <w:rFonts w:ascii="David" w:hAnsi="David" w:cs="David"/>
          <w:b/>
          <w:bCs/>
          <w:sz w:val="24"/>
          <w:szCs w:val="24"/>
          <w:rtl/>
        </w:rPr>
        <w:t>מדינת ישראל נ' נאסר</w:t>
      </w:r>
      <w:r w:rsidR="00DE76E5">
        <w:rPr>
          <w:rFonts w:ascii="David" w:hAnsi="David" w:cs="David"/>
          <w:sz w:val="24"/>
          <w:szCs w:val="24"/>
          <w:rtl/>
        </w:rPr>
        <w:t xml:space="preserve"> (15.6.11), שם הנאשם הורשע בבית-המשפט המחוזי, על-פי הודאתו, בעבירה של החזקת נשק, לאחר שנמצא מחזיק אקדח בביתו. </w:t>
      </w:r>
      <w:r w:rsidR="00DE76E5">
        <w:rPr>
          <w:rFonts w:ascii="David" w:hAnsi="David" w:cs="David"/>
          <w:b/>
          <w:bCs/>
          <w:sz w:val="24"/>
          <w:szCs w:val="24"/>
          <w:rtl/>
        </w:rPr>
        <w:t>נגזרו 12 חודשי מאסר בפועל, מאסר על-תנאי וקנס.</w:t>
      </w:r>
      <w:r w:rsidR="00DE76E5">
        <w:rPr>
          <w:rFonts w:ascii="David" w:hAnsi="David" w:cs="David"/>
          <w:sz w:val="24"/>
          <w:szCs w:val="24"/>
          <w:rtl/>
        </w:rPr>
        <w:t xml:space="preserve"> ערעורו לבית-המשפט העליון נדחה.</w:t>
      </w:r>
    </w:p>
    <w:p w14:paraId="534A892C" w14:textId="77777777" w:rsidR="00DE76E5" w:rsidRDefault="00DE76E5" w:rsidP="00DE76E5">
      <w:pPr>
        <w:pStyle w:val="a9"/>
        <w:rPr>
          <w:rFonts w:ascii="David" w:hAnsi="David" w:cs="David"/>
          <w:sz w:val="24"/>
          <w:szCs w:val="24"/>
        </w:rPr>
      </w:pPr>
    </w:p>
    <w:p w14:paraId="6D7D2BF5" w14:textId="77777777" w:rsidR="00DE76E5" w:rsidRDefault="00501215" w:rsidP="00DE76E5">
      <w:pPr>
        <w:pStyle w:val="a9"/>
        <w:numPr>
          <w:ilvl w:val="0"/>
          <w:numId w:val="3"/>
        </w:numPr>
        <w:spacing w:after="0" w:line="360" w:lineRule="auto"/>
        <w:jc w:val="both"/>
        <w:rPr>
          <w:rFonts w:ascii="David" w:hAnsi="David" w:cs="David"/>
          <w:sz w:val="24"/>
          <w:szCs w:val="24"/>
        </w:rPr>
      </w:pPr>
      <w:hyperlink r:id="rId27" w:history="1">
        <w:r w:rsidRPr="00501215">
          <w:rPr>
            <w:rFonts w:ascii="David" w:hAnsi="David" w:cs="David"/>
            <w:color w:val="0000FF"/>
            <w:sz w:val="24"/>
            <w:szCs w:val="24"/>
            <w:u w:val="single"/>
            <w:rtl/>
          </w:rPr>
          <w:t>ע"פ 3288/14</w:t>
        </w:r>
      </w:hyperlink>
      <w:r w:rsidR="00DE76E5">
        <w:rPr>
          <w:rFonts w:ascii="David" w:hAnsi="David" w:cs="David"/>
          <w:sz w:val="24"/>
          <w:szCs w:val="24"/>
          <w:rtl/>
        </w:rPr>
        <w:t xml:space="preserve"> </w:t>
      </w:r>
      <w:r w:rsidR="00DE76E5">
        <w:rPr>
          <w:rFonts w:ascii="David" w:hAnsi="David" w:cs="David"/>
          <w:b/>
          <w:bCs/>
          <w:sz w:val="24"/>
          <w:szCs w:val="24"/>
          <w:rtl/>
        </w:rPr>
        <w:t>מדינת ישראל נ' קריספיל</w:t>
      </w:r>
      <w:r w:rsidR="00DE76E5">
        <w:rPr>
          <w:rFonts w:ascii="David" w:hAnsi="David" w:cs="David"/>
          <w:sz w:val="24"/>
          <w:szCs w:val="24"/>
          <w:rtl/>
        </w:rPr>
        <w:t xml:space="preserve"> (24.8.14), שם המשיב הורשע בעבירות של החזקת נשק והחזקת נכס החשוד כגנוב, לאחר שנמצא יוצא מבית כשבידו שקית ובה אקדח הטעון במחסנית ובה שבעה כדורים, אקדח שנגנב מבעליו כמה שנים קודם לכן, ולצדו משתיק קול. </w:t>
      </w:r>
      <w:r w:rsidR="00DE76E5">
        <w:rPr>
          <w:rFonts w:ascii="David" w:hAnsi="David" w:cs="David"/>
          <w:b/>
          <w:bCs/>
          <w:sz w:val="24"/>
          <w:szCs w:val="24"/>
          <w:rtl/>
        </w:rPr>
        <w:t>בית-המשפט המחוזי קבע מתחם עונש הולם הנע בין 6 ל-22 חודשי מאסר בפועל, והטיל על המשיב 9 חודשי מאסר בפועל, מאסר על-תנאי וקנס</w:t>
      </w:r>
      <w:r w:rsidR="00DE76E5">
        <w:rPr>
          <w:rFonts w:ascii="David" w:hAnsi="David" w:cs="David"/>
          <w:sz w:val="24"/>
          <w:szCs w:val="24"/>
          <w:rtl/>
        </w:rPr>
        <w:t xml:space="preserve">. בית-המשפט העליון קיבל את ערעור המדינה, בהתחשב בחומרת נסיבות החזקת הנשק, והעמיד את עונשו של המשיב על </w:t>
      </w:r>
      <w:r w:rsidR="00DE76E5">
        <w:rPr>
          <w:rFonts w:ascii="David" w:hAnsi="David" w:cs="David"/>
          <w:b/>
          <w:bCs/>
          <w:sz w:val="24"/>
          <w:szCs w:val="24"/>
          <w:rtl/>
        </w:rPr>
        <w:t>18 חודשי מאסר בפועל</w:t>
      </w:r>
      <w:r w:rsidR="00DE76E5">
        <w:rPr>
          <w:rFonts w:ascii="David" w:hAnsi="David" w:cs="David"/>
          <w:sz w:val="24"/>
          <w:szCs w:val="24"/>
          <w:rtl/>
        </w:rPr>
        <w:t>.</w:t>
      </w:r>
    </w:p>
    <w:p w14:paraId="760C4113" w14:textId="77777777" w:rsidR="00DE76E5" w:rsidRDefault="00DE76E5" w:rsidP="00DE76E5">
      <w:pPr>
        <w:pStyle w:val="a9"/>
        <w:spacing w:after="0" w:line="360" w:lineRule="auto"/>
        <w:ind w:left="1080"/>
        <w:jc w:val="both"/>
        <w:rPr>
          <w:rFonts w:ascii="David" w:hAnsi="David" w:cs="David"/>
          <w:sz w:val="24"/>
          <w:szCs w:val="24"/>
        </w:rPr>
      </w:pPr>
    </w:p>
    <w:p w14:paraId="4F296578" w14:textId="77777777" w:rsidR="00DE76E5" w:rsidRDefault="00501215" w:rsidP="00DE76E5">
      <w:pPr>
        <w:pStyle w:val="a9"/>
        <w:numPr>
          <w:ilvl w:val="0"/>
          <w:numId w:val="3"/>
        </w:numPr>
        <w:spacing w:after="0" w:line="360" w:lineRule="auto"/>
        <w:jc w:val="both"/>
        <w:rPr>
          <w:rFonts w:ascii="David" w:hAnsi="David" w:cs="David"/>
          <w:sz w:val="24"/>
          <w:szCs w:val="24"/>
          <w:rtl/>
        </w:rPr>
      </w:pPr>
      <w:hyperlink r:id="rId28" w:history="1">
        <w:r w:rsidRPr="00501215">
          <w:rPr>
            <w:rFonts w:ascii="David" w:hAnsi="David" w:cs="David"/>
            <w:color w:val="0000FF"/>
            <w:sz w:val="24"/>
            <w:szCs w:val="24"/>
            <w:u w:val="single"/>
            <w:rtl/>
          </w:rPr>
          <w:t>ע"פ 3632/14</w:t>
        </w:r>
      </w:hyperlink>
      <w:r w:rsidR="00DE76E5">
        <w:rPr>
          <w:rFonts w:ascii="David" w:hAnsi="David" w:cs="David"/>
          <w:sz w:val="24"/>
          <w:szCs w:val="24"/>
          <w:rtl/>
        </w:rPr>
        <w:t xml:space="preserve"> </w:t>
      </w:r>
      <w:r w:rsidR="00DE76E5">
        <w:rPr>
          <w:rFonts w:ascii="David" w:hAnsi="David" w:cs="David"/>
          <w:b/>
          <w:bCs/>
          <w:sz w:val="24"/>
          <w:szCs w:val="24"/>
          <w:rtl/>
        </w:rPr>
        <w:t>אבו סבית נ' מדינת ישראל</w:t>
      </w:r>
      <w:r w:rsidR="00DE76E5">
        <w:rPr>
          <w:rFonts w:ascii="David" w:hAnsi="David" w:cs="David"/>
          <w:sz w:val="24"/>
          <w:szCs w:val="24"/>
          <w:rtl/>
        </w:rPr>
        <w:t xml:space="preserve"> (29.5.14), שם נקבע מתחם עונש הולם הנע </w:t>
      </w:r>
      <w:r w:rsidR="00DE76E5">
        <w:rPr>
          <w:rFonts w:ascii="David" w:hAnsi="David" w:cs="David"/>
          <w:b/>
          <w:bCs/>
          <w:sz w:val="24"/>
          <w:szCs w:val="24"/>
          <w:rtl/>
        </w:rPr>
        <w:t>בין שנה לשלוש שנות מאסר</w:t>
      </w:r>
      <w:r w:rsidR="00DE76E5">
        <w:rPr>
          <w:rFonts w:ascii="David" w:hAnsi="David" w:cs="David"/>
          <w:sz w:val="24"/>
          <w:szCs w:val="24"/>
          <w:rtl/>
        </w:rPr>
        <w:t xml:space="preserve"> בעבירה של החזקת נשק, והוטלו </w:t>
      </w:r>
      <w:r w:rsidR="00DE76E5">
        <w:rPr>
          <w:rFonts w:ascii="David" w:hAnsi="David" w:cs="David"/>
          <w:b/>
          <w:bCs/>
          <w:sz w:val="24"/>
          <w:szCs w:val="24"/>
          <w:rtl/>
        </w:rPr>
        <w:t>18 חודשי מאסר בפועל</w:t>
      </w:r>
      <w:r w:rsidR="00DE76E5">
        <w:rPr>
          <w:rFonts w:ascii="David" w:hAnsi="David" w:cs="David"/>
          <w:sz w:val="24"/>
          <w:szCs w:val="24"/>
          <w:rtl/>
        </w:rPr>
        <w:t xml:space="preserve">. </w:t>
      </w:r>
    </w:p>
    <w:p w14:paraId="02269845" w14:textId="77777777" w:rsidR="00DE76E5" w:rsidRDefault="00DE76E5" w:rsidP="00DE76E5">
      <w:pPr>
        <w:pStyle w:val="a9"/>
        <w:rPr>
          <w:rFonts w:ascii="David" w:hAnsi="David" w:cs="David"/>
          <w:sz w:val="24"/>
          <w:szCs w:val="24"/>
          <w:rtl/>
        </w:rPr>
      </w:pPr>
    </w:p>
    <w:p w14:paraId="1DAC4338" w14:textId="77777777" w:rsidR="00DE76E5" w:rsidRDefault="00501215" w:rsidP="00DE76E5">
      <w:pPr>
        <w:pStyle w:val="a9"/>
        <w:numPr>
          <w:ilvl w:val="0"/>
          <w:numId w:val="3"/>
        </w:numPr>
        <w:spacing w:after="0" w:line="360" w:lineRule="auto"/>
        <w:jc w:val="both"/>
        <w:rPr>
          <w:rFonts w:ascii="David" w:hAnsi="David" w:cs="David"/>
          <w:sz w:val="24"/>
          <w:szCs w:val="24"/>
        </w:rPr>
      </w:pPr>
      <w:hyperlink r:id="rId29" w:history="1">
        <w:r w:rsidRPr="00501215">
          <w:rPr>
            <w:rFonts w:ascii="David" w:hAnsi="David" w:cs="David"/>
            <w:color w:val="0000FF"/>
            <w:sz w:val="24"/>
            <w:szCs w:val="24"/>
            <w:u w:val="single"/>
            <w:rtl/>
          </w:rPr>
          <w:t>עפ"ג (מח' נצ') 37217-03-19</w:t>
        </w:r>
      </w:hyperlink>
      <w:r w:rsidR="00DE76E5">
        <w:rPr>
          <w:rFonts w:ascii="David" w:hAnsi="David" w:cs="David"/>
          <w:sz w:val="24"/>
          <w:szCs w:val="24"/>
          <w:rtl/>
        </w:rPr>
        <w:t xml:space="preserve"> </w:t>
      </w:r>
      <w:r w:rsidR="00DE76E5">
        <w:rPr>
          <w:rFonts w:ascii="David" w:hAnsi="David" w:cs="David"/>
          <w:b/>
          <w:bCs/>
          <w:sz w:val="24"/>
          <w:szCs w:val="24"/>
          <w:rtl/>
        </w:rPr>
        <w:t>ג'ואברה נ' מדינת ישראל</w:t>
      </w:r>
      <w:r w:rsidR="00DE76E5">
        <w:rPr>
          <w:rFonts w:ascii="David" w:hAnsi="David" w:cs="David"/>
          <w:sz w:val="24"/>
          <w:szCs w:val="24"/>
          <w:rtl/>
        </w:rPr>
        <w:t xml:space="preserve"> (25.11.19), המערער החזיק באקדח חצי אוטומטי בשידה ליד מיטתו. בית-משפט השלום קבע </w:t>
      </w:r>
      <w:r w:rsidR="00DE76E5">
        <w:rPr>
          <w:rFonts w:ascii="David" w:hAnsi="David" w:cs="David"/>
          <w:b/>
          <w:bCs/>
          <w:sz w:val="24"/>
          <w:szCs w:val="24"/>
          <w:rtl/>
        </w:rPr>
        <w:t>מתחם עונש הולם הנע בין 6 ל-24 חודשי מאסר בפועל, והטיל עליו 8 חודשי מאסר בפועל בניכוי ימי המעצר, 12 חודשי מאסר על-תנאי, וקנס כספי</w:t>
      </w:r>
      <w:r w:rsidR="00DE76E5">
        <w:rPr>
          <w:rFonts w:ascii="David" w:hAnsi="David" w:cs="David"/>
          <w:sz w:val="24"/>
          <w:szCs w:val="24"/>
          <w:rtl/>
        </w:rPr>
        <w:t xml:space="preserve">. בית-המשפט המחוזי קבע כי אין מקום להתערב במתחם העונש ההולם שנקבע ובעונש שנקבע בתוכו, ודחה את ערעורו. </w:t>
      </w:r>
    </w:p>
    <w:p w14:paraId="749B7F01" w14:textId="77777777" w:rsidR="00DE76E5" w:rsidRDefault="00DE76E5" w:rsidP="00DE76E5">
      <w:pPr>
        <w:pStyle w:val="a9"/>
        <w:rPr>
          <w:rFonts w:ascii="David" w:hAnsi="David" w:cs="David"/>
          <w:sz w:val="24"/>
          <w:szCs w:val="24"/>
          <w:rtl/>
        </w:rPr>
      </w:pPr>
    </w:p>
    <w:p w14:paraId="0C643B08" w14:textId="77777777" w:rsidR="00DE76E5" w:rsidRDefault="00501215" w:rsidP="00DE76E5">
      <w:pPr>
        <w:pStyle w:val="a9"/>
        <w:numPr>
          <w:ilvl w:val="0"/>
          <w:numId w:val="3"/>
        </w:numPr>
        <w:spacing w:after="0" w:line="360" w:lineRule="auto"/>
        <w:jc w:val="both"/>
        <w:rPr>
          <w:rFonts w:ascii="David" w:hAnsi="David" w:cs="David"/>
          <w:sz w:val="24"/>
          <w:szCs w:val="24"/>
        </w:rPr>
      </w:pPr>
      <w:hyperlink r:id="rId30" w:history="1">
        <w:r w:rsidRPr="00501215">
          <w:rPr>
            <w:rFonts w:ascii="David" w:hAnsi="David" w:cs="David"/>
            <w:color w:val="0000FF"/>
            <w:sz w:val="24"/>
            <w:szCs w:val="24"/>
            <w:u w:val="single"/>
            <w:rtl/>
          </w:rPr>
          <w:t>רע"פ 7344/18</w:t>
        </w:r>
      </w:hyperlink>
      <w:r w:rsidR="00DE76E5">
        <w:rPr>
          <w:rFonts w:ascii="David" w:hAnsi="David" w:cs="David"/>
          <w:sz w:val="24"/>
          <w:szCs w:val="24"/>
          <w:rtl/>
        </w:rPr>
        <w:t xml:space="preserve"> </w:t>
      </w:r>
      <w:r w:rsidR="00DE76E5">
        <w:rPr>
          <w:rFonts w:ascii="David" w:hAnsi="David" w:cs="David"/>
          <w:b/>
          <w:bCs/>
          <w:sz w:val="24"/>
          <w:szCs w:val="24"/>
          <w:rtl/>
        </w:rPr>
        <w:t>מג'יד נ' מדינת ישראל</w:t>
      </w:r>
      <w:r w:rsidR="00DE76E5">
        <w:rPr>
          <w:rFonts w:ascii="David" w:hAnsi="David" w:cs="David"/>
          <w:sz w:val="24"/>
          <w:szCs w:val="24"/>
          <w:rtl/>
        </w:rPr>
        <w:t xml:space="preserve"> – בעניינו של המבקש נקבע בבית-משפט השלום כי מתחם העונש ההולם בעבירה של החזקת נשק נע בין 6 ל-24 חודשי מאסר בפועל, אך נוכח קיומם של סיכויי שיקום, הוטלו על הנאשם עונש של 6 חודשי מאסר לריצוי בפועל, צו מבחן ועונשים נלווים. בית-המשפט המחוזי קיבל את ערעור המדינה על קולת העונש, בקבעו כי העונש סוטה באופן ברור לקולא ממדיניות הענישה הראויה בנסיבות המקרה, </w:t>
      </w:r>
      <w:r w:rsidR="00DE76E5">
        <w:rPr>
          <w:rFonts w:ascii="David" w:hAnsi="David" w:cs="David"/>
          <w:b/>
          <w:bCs/>
          <w:sz w:val="24"/>
          <w:szCs w:val="24"/>
          <w:rtl/>
        </w:rPr>
        <w:t>והעמיד את עונשו של המבקש על 8 חודשי מאסר בפועל</w:t>
      </w:r>
      <w:r w:rsidR="00DE76E5">
        <w:rPr>
          <w:rFonts w:ascii="David" w:hAnsi="David" w:cs="David"/>
          <w:sz w:val="24"/>
          <w:szCs w:val="24"/>
          <w:rtl/>
        </w:rPr>
        <w:t xml:space="preserve">. בקשת רשות ערעור לעליון נדחתה. </w:t>
      </w:r>
    </w:p>
    <w:p w14:paraId="7C396A82" w14:textId="77777777" w:rsidR="00DE76E5" w:rsidRDefault="00DE76E5" w:rsidP="00DE76E5">
      <w:pPr>
        <w:pStyle w:val="a9"/>
        <w:rPr>
          <w:rFonts w:ascii="David" w:hAnsi="David" w:cs="David"/>
          <w:sz w:val="24"/>
          <w:szCs w:val="24"/>
          <w:rtl/>
        </w:rPr>
      </w:pPr>
    </w:p>
    <w:p w14:paraId="41B7FDCE" w14:textId="77777777" w:rsidR="00DE76E5" w:rsidRDefault="00501215" w:rsidP="00DE76E5">
      <w:pPr>
        <w:pStyle w:val="a9"/>
        <w:numPr>
          <w:ilvl w:val="0"/>
          <w:numId w:val="3"/>
        </w:numPr>
        <w:spacing w:after="0" w:line="360" w:lineRule="auto"/>
        <w:jc w:val="both"/>
        <w:rPr>
          <w:rFonts w:ascii="David" w:hAnsi="David" w:cs="David"/>
          <w:sz w:val="24"/>
          <w:szCs w:val="24"/>
        </w:rPr>
      </w:pPr>
      <w:hyperlink r:id="rId31" w:history="1">
        <w:r w:rsidRPr="00501215">
          <w:rPr>
            <w:rFonts w:ascii="David" w:hAnsi="David" w:cs="David"/>
            <w:color w:val="0000FF"/>
            <w:sz w:val="24"/>
            <w:szCs w:val="24"/>
            <w:u w:val="single"/>
            <w:rtl/>
          </w:rPr>
          <w:t>ע"פ (נצ') 53396-06-13</w:t>
        </w:r>
      </w:hyperlink>
      <w:r w:rsidR="00DE76E5">
        <w:rPr>
          <w:rFonts w:ascii="David" w:hAnsi="David" w:cs="David"/>
          <w:sz w:val="24"/>
          <w:szCs w:val="24"/>
          <w:rtl/>
        </w:rPr>
        <w:t xml:space="preserve"> </w:t>
      </w:r>
      <w:r w:rsidR="00DE76E5">
        <w:rPr>
          <w:rFonts w:ascii="David" w:hAnsi="David" w:cs="David"/>
          <w:b/>
          <w:bCs/>
          <w:sz w:val="24"/>
          <w:szCs w:val="24"/>
          <w:rtl/>
        </w:rPr>
        <w:t>זועבי נ' מדינת ישראל</w:t>
      </w:r>
      <w:r w:rsidR="00DE76E5">
        <w:rPr>
          <w:rFonts w:ascii="David" w:hAnsi="David" w:cs="David"/>
          <w:sz w:val="24"/>
          <w:szCs w:val="24"/>
          <w:rtl/>
        </w:rPr>
        <w:t xml:space="preserve"> (29.10.13) – המערער הורשע, על פי הודאתו, בעבירות של החזקת נשק והחזקת תחמושת, לאחר שהסתיר תיק ובו אקדח ותחמושת בחדר בביתו. </w:t>
      </w:r>
      <w:r w:rsidR="00DE76E5">
        <w:rPr>
          <w:rFonts w:ascii="David" w:hAnsi="David" w:cs="David"/>
          <w:b/>
          <w:bCs/>
          <w:sz w:val="24"/>
          <w:szCs w:val="24"/>
          <w:rtl/>
        </w:rPr>
        <w:t xml:space="preserve">בית-משפט השלום קבע מתחם עונש הולם הנע בין 8 ל-16 חודשי מאסר בפועל וגזר עליו 10 חודשי מאסר בפועל, 10 חודשי מאסר על-תנאי וקנס בסך 5,000 ₪. </w:t>
      </w:r>
      <w:r w:rsidR="00DE76E5">
        <w:rPr>
          <w:rFonts w:ascii="David" w:hAnsi="David" w:cs="David"/>
          <w:sz w:val="24"/>
          <w:szCs w:val="24"/>
          <w:rtl/>
        </w:rPr>
        <w:t xml:space="preserve">בית-המשפט המחוזי קבע כי עונש המאסר שהושת מחמיר עם המערער יתר על המידה, ואינו משקלל נכונה את מקבץ הנסיבות לקולא הקמות בעניינו, והעמיד את עונשו על </w:t>
      </w:r>
      <w:r w:rsidR="00DE76E5">
        <w:rPr>
          <w:rFonts w:ascii="David" w:hAnsi="David" w:cs="David"/>
          <w:b/>
          <w:bCs/>
          <w:sz w:val="24"/>
          <w:szCs w:val="24"/>
          <w:rtl/>
        </w:rPr>
        <w:t>7 חודשי מאסר בפועל</w:t>
      </w:r>
      <w:r w:rsidR="00DE76E5">
        <w:rPr>
          <w:rFonts w:ascii="David" w:hAnsi="David" w:cs="David"/>
          <w:sz w:val="24"/>
          <w:szCs w:val="24"/>
          <w:rtl/>
        </w:rPr>
        <w:t xml:space="preserve">. </w:t>
      </w:r>
    </w:p>
    <w:p w14:paraId="4A9095FC" w14:textId="77777777" w:rsidR="00DE76E5" w:rsidRDefault="00DE76E5" w:rsidP="00DE76E5">
      <w:pPr>
        <w:pStyle w:val="a9"/>
        <w:rPr>
          <w:rFonts w:ascii="David" w:hAnsi="David" w:cs="David"/>
          <w:sz w:val="24"/>
          <w:szCs w:val="24"/>
          <w:rtl/>
        </w:rPr>
      </w:pPr>
    </w:p>
    <w:p w14:paraId="27D6CFB2" w14:textId="77777777" w:rsidR="00DE76E5" w:rsidRDefault="00501215" w:rsidP="00DE76E5">
      <w:pPr>
        <w:pStyle w:val="a9"/>
        <w:numPr>
          <w:ilvl w:val="0"/>
          <w:numId w:val="3"/>
        </w:numPr>
        <w:spacing w:after="0" w:line="360" w:lineRule="auto"/>
        <w:jc w:val="both"/>
        <w:rPr>
          <w:rFonts w:ascii="David" w:hAnsi="David" w:cs="David"/>
          <w:sz w:val="24"/>
          <w:szCs w:val="24"/>
        </w:rPr>
      </w:pPr>
      <w:hyperlink r:id="rId32" w:history="1">
        <w:r w:rsidRPr="00501215">
          <w:rPr>
            <w:rFonts w:ascii="David" w:hAnsi="David" w:cs="David"/>
            <w:color w:val="0000FF"/>
            <w:sz w:val="24"/>
            <w:szCs w:val="24"/>
            <w:u w:val="single"/>
            <w:rtl/>
          </w:rPr>
          <w:t>ע"פ 1505/14</w:t>
        </w:r>
      </w:hyperlink>
      <w:r w:rsidR="00DE76E5">
        <w:rPr>
          <w:rFonts w:ascii="David" w:hAnsi="David" w:cs="David"/>
          <w:sz w:val="24"/>
          <w:szCs w:val="24"/>
          <w:rtl/>
        </w:rPr>
        <w:t xml:space="preserve"> </w:t>
      </w:r>
      <w:r w:rsidR="00DE76E5">
        <w:rPr>
          <w:rFonts w:ascii="David" w:hAnsi="David" w:cs="David"/>
          <w:b/>
          <w:bCs/>
          <w:sz w:val="24"/>
          <w:szCs w:val="24"/>
          <w:rtl/>
        </w:rPr>
        <w:t>לידאוי נ' מדינת ישראל</w:t>
      </w:r>
      <w:r w:rsidR="00DE76E5">
        <w:rPr>
          <w:rFonts w:ascii="David" w:hAnsi="David" w:cs="David"/>
          <w:sz w:val="24"/>
          <w:szCs w:val="24"/>
          <w:rtl/>
        </w:rPr>
        <w:t xml:space="preserve"> (4.11.14) על המערער, בן 60 וללא עבר מכביד, שהורשע בעבירות של החזקת נשק, הפרעה לשוטר, והחזקת רכוש החשוד כגנוב, לאחר שהחזיק בביתו אקדח החשוד כגנוב, נגזרו 8 חודשי מאסר בפועל, מאסרים על-תנאי וקנס בסך 5,000 ₪. בית-המשפט המחוזי קבע בנסיבות העבירות מתחם עונש הולם הנע בין 7 ל-24 חודשי מאסר בפועל. </w:t>
      </w:r>
      <w:r w:rsidR="00DE76E5">
        <w:rPr>
          <w:rFonts w:ascii="David" w:hAnsi="David" w:cs="David"/>
          <w:b/>
          <w:bCs/>
          <w:sz w:val="24"/>
          <w:szCs w:val="24"/>
          <w:rtl/>
        </w:rPr>
        <w:t>בית-המשפט העליון קיבל את הערעור, באופן חלקי, והעמיד את עונשו של המערער על ששה חודשי מאסר לריצוי בעבודות שירות.</w:t>
      </w:r>
    </w:p>
    <w:p w14:paraId="76EAAFC2" w14:textId="77777777" w:rsidR="00DE76E5" w:rsidRDefault="00DE76E5" w:rsidP="00DE76E5">
      <w:pPr>
        <w:spacing w:line="360" w:lineRule="auto"/>
        <w:ind w:left="1440" w:hanging="645"/>
        <w:jc w:val="both"/>
        <w:rPr>
          <w:rFonts w:ascii="David" w:hAnsi="David"/>
          <w:rtl/>
        </w:rPr>
      </w:pPr>
    </w:p>
    <w:p w14:paraId="2465AC59" w14:textId="77777777" w:rsidR="00DE76E5" w:rsidRDefault="00DE76E5" w:rsidP="00DE76E5">
      <w:pPr>
        <w:spacing w:line="360" w:lineRule="auto"/>
        <w:ind w:left="720" w:hanging="720"/>
        <w:jc w:val="both"/>
        <w:rPr>
          <w:b/>
          <w:bCs/>
          <w:rtl/>
        </w:rPr>
      </w:pPr>
      <w:r>
        <w:rPr>
          <w:rFonts w:hint="cs"/>
          <w:rtl/>
        </w:rPr>
        <w:t>15.</w:t>
      </w:r>
      <w:r w:rsidR="00501215">
        <w:rPr>
          <w:rFonts w:hint="cs"/>
          <w:b/>
          <w:bCs/>
          <w:rtl/>
        </w:rPr>
        <w:t xml:space="preserve">      </w:t>
      </w:r>
      <w:r>
        <w:rPr>
          <w:rFonts w:hint="cs"/>
          <w:b/>
          <w:bCs/>
          <w:rtl/>
        </w:rPr>
        <w:t xml:space="preserve"> </w:t>
      </w:r>
      <w:r>
        <w:rPr>
          <w:rFonts w:hint="cs"/>
          <w:b/>
          <w:bCs/>
          <w:rtl/>
        </w:rPr>
        <w:tab/>
        <w:t xml:space="preserve">אם כן, רק במקרים יוצאי דופן, שעניינם בשיקולי שיקום חריגים, נעשית סטייה מרמת ענישה המתחילה במאסר ממושך. נוכח המפורט לעיל, ובשים לב למגמה ברורה של בית המשפט העליון, לפיה יש להחמיר בענישה בגין עבירות נשק,  אני קובעת כי מתחם העונש ההולם בנסיבות ביצוע העבירה, בשים לב לכך שהנאשם לא החזיק בתחמושת תואמת, אלא רק במחסנית ריקה, ובמתן משקל מסויים לריחוקו של הנשק מביתו של הנאשם, כפי שצויין לעיל - נע בין 10 לבין 24 חודשי מאסר בפועל. </w:t>
      </w:r>
    </w:p>
    <w:p w14:paraId="6B91AA5F" w14:textId="77777777" w:rsidR="00DE76E5" w:rsidRDefault="00DE76E5" w:rsidP="00DE76E5">
      <w:pPr>
        <w:spacing w:line="360" w:lineRule="auto"/>
        <w:ind w:left="424" w:hanging="424"/>
        <w:jc w:val="both"/>
        <w:rPr>
          <w:b/>
          <w:bCs/>
          <w:u w:val="single"/>
          <w:rtl/>
        </w:rPr>
      </w:pPr>
    </w:p>
    <w:p w14:paraId="4E41E8C2" w14:textId="77777777" w:rsidR="00DE76E5" w:rsidRDefault="00DE76E5" w:rsidP="00DE76E5">
      <w:pPr>
        <w:spacing w:line="360" w:lineRule="auto"/>
        <w:ind w:left="424" w:hanging="424"/>
        <w:jc w:val="both"/>
        <w:rPr>
          <w:b/>
          <w:bCs/>
          <w:u w:val="single"/>
          <w:rtl/>
        </w:rPr>
      </w:pPr>
      <w:r>
        <w:rPr>
          <w:rFonts w:hint="cs"/>
          <w:b/>
          <w:bCs/>
          <w:u w:val="single"/>
          <w:rtl/>
        </w:rPr>
        <w:t>גזירת עונשו של הנאשם</w:t>
      </w:r>
    </w:p>
    <w:p w14:paraId="518B4A32" w14:textId="77777777" w:rsidR="00DE76E5" w:rsidRDefault="00DE76E5" w:rsidP="00DE76E5">
      <w:pPr>
        <w:spacing w:line="360" w:lineRule="auto"/>
        <w:ind w:left="424" w:hanging="424"/>
        <w:jc w:val="both"/>
        <w:rPr>
          <w:b/>
          <w:bCs/>
          <w:u w:val="single"/>
          <w:rtl/>
        </w:rPr>
      </w:pPr>
    </w:p>
    <w:p w14:paraId="67AA3355" w14:textId="77777777" w:rsidR="00DE76E5" w:rsidRDefault="00DE76E5" w:rsidP="00DE76E5">
      <w:pPr>
        <w:spacing w:line="360" w:lineRule="auto"/>
        <w:ind w:left="720" w:hanging="720"/>
        <w:contextualSpacing/>
        <w:jc w:val="both"/>
        <w:rPr>
          <w:rtl/>
        </w:rPr>
      </w:pPr>
      <w:r>
        <w:rPr>
          <w:rFonts w:hint="cs"/>
          <w:rtl/>
        </w:rPr>
        <w:t>16.</w:t>
      </w:r>
      <w:r w:rsidR="00501215">
        <w:rPr>
          <w:rFonts w:hint="cs"/>
          <w:b/>
          <w:bCs/>
          <w:rtl/>
        </w:rPr>
        <w:t xml:space="preserve">  </w:t>
      </w:r>
      <w:r w:rsidR="00501215">
        <w:rPr>
          <w:rFonts w:hint="cs"/>
          <w:rtl/>
        </w:rPr>
        <w:t xml:space="preserve">    </w:t>
      </w:r>
      <w:r>
        <w:rPr>
          <w:rFonts w:hint="cs"/>
          <w:rtl/>
        </w:rPr>
        <w:t xml:space="preserve"> </w:t>
      </w:r>
      <w:r>
        <w:rPr>
          <w:rFonts w:hint="cs"/>
          <w:rtl/>
        </w:rPr>
        <w:tab/>
        <w:t xml:space="preserve">הנאשם בן 33, נשוי ואב לשלושה פעוטות, ומפרנסה העיקרי של משפחתו. </w:t>
      </w:r>
    </w:p>
    <w:p w14:paraId="0780358D" w14:textId="77777777" w:rsidR="00DE76E5" w:rsidRDefault="00DE76E5" w:rsidP="00DE76E5">
      <w:pPr>
        <w:spacing w:line="360" w:lineRule="auto"/>
        <w:ind w:left="720"/>
        <w:contextualSpacing/>
        <w:jc w:val="both"/>
        <w:rPr>
          <w:rtl/>
        </w:rPr>
      </w:pPr>
      <w:r>
        <w:rPr>
          <w:rFonts w:hint="cs"/>
          <w:rtl/>
        </w:rPr>
        <w:t>הנאשם הודה במסגרת הסדר טיעון ונטל אחריות ובכך חסך זמן ציבורי.</w:t>
      </w:r>
    </w:p>
    <w:p w14:paraId="5C930463" w14:textId="77777777" w:rsidR="00DE76E5" w:rsidRDefault="00DE76E5" w:rsidP="00DE76E5">
      <w:pPr>
        <w:spacing w:line="360" w:lineRule="auto"/>
        <w:ind w:left="720"/>
        <w:contextualSpacing/>
        <w:jc w:val="both"/>
        <w:rPr>
          <w:rtl/>
        </w:rPr>
      </w:pPr>
      <w:r>
        <w:rPr>
          <w:rFonts w:hint="cs"/>
          <w:rtl/>
        </w:rPr>
        <w:t xml:space="preserve">אין לנאשם עבר פלילי מכביד, או בעבירות נשק. לחובתו הרשעה אחת קודמת, משנת 2010, בעבירות של תקיפה והתנהגות פרועה במקום ציבורי. </w:t>
      </w:r>
    </w:p>
    <w:p w14:paraId="0F1C4394" w14:textId="77777777" w:rsidR="00DE76E5" w:rsidRDefault="00DE76E5" w:rsidP="00DE76E5">
      <w:pPr>
        <w:spacing w:line="360" w:lineRule="auto"/>
        <w:ind w:left="720"/>
        <w:contextualSpacing/>
        <w:jc w:val="both"/>
        <w:rPr>
          <w:rtl/>
        </w:rPr>
      </w:pPr>
      <w:r>
        <w:rPr>
          <w:rFonts w:hint="cs"/>
          <w:rtl/>
        </w:rPr>
        <w:t xml:space="preserve">לחובת הנאשם 17 הרשעות תעבורה שונות. </w:t>
      </w:r>
    </w:p>
    <w:p w14:paraId="4A5930AC" w14:textId="77777777" w:rsidR="00DE76E5" w:rsidRDefault="00DE76E5" w:rsidP="00DE76E5">
      <w:pPr>
        <w:spacing w:line="360" w:lineRule="auto"/>
        <w:ind w:left="720"/>
        <w:contextualSpacing/>
        <w:jc w:val="both"/>
        <w:rPr>
          <w:rtl/>
        </w:rPr>
      </w:pPr>
      <w:r>
        <w:rPr>
          <w:rFonts w:hint="cs"/>
          <w:rtl/>
        </w:rPr>
        <w:t xml:space="preserve">הנאשם שהה במעצר מאחורי סורג ובריח מיום 30.4.20 ועד ליום 3.6.20, מאז שוחרר בתנאים מגבילים שמר על תנאי שחרורו ולא נפתחו נגדו תיקים נוספים. </w:t>
      </w:r>
    </w:p>
    <w:p w14:paraId="5AAD2142" w14:textId="77777777" w:rsidR="00DE76E5" w:rsidRDefault="00DE76E5" w:rsidP="00DE76E5">
      <w:pPr>
        <w:spacing w:line="360" w:lineRule="auto"/>
        <w:ind w:left="720"/>
        <w:contextualSpacing/>
        <w:jc w:val="both"/>
        <w:rPr>
          <w:rtl/>
        </w:rPr>
      </w:pPr>
      <w:r>
        <w:rPr>
          <w:rFonts w:hint="cs"/>
          <w:rtl/>
        </w:rPr>
        <w:t xml:space="preserve">שירות המבחן ציין כי הנאשם השתתף בתקופת מעצרו בקבוצה טיפולית, אך לא נכח בה בצורה סדירה ועזב את הקבוצה בטרם הסתיים ההליך הטיפולי. שירות המבחן התרשם כי הנאשם מתקשה ליטול אחריות מלאה על מעשיו, נטה להתייחס בצמצום לחומרת המעשים, והתקשה לערוך התבוננות ביקורתית ביחס להתנהלותו. הנאשם התמקד במחיר אותו משלם בעקבות הסתבכותו ובהשלכות מאסרו האפשרי על משפחתו, ונמנע מהבעת נזקקות טיפולית. שירות המבחן סבר כי קיים סיכון לא מבוטל להישנות ביצוע עבירות דומות בעתיד, ונמנע ממתן המלצה טיפולית בעניינו. </w:t>
      </w:r>
    </w:p>
    <w:p w14:paraId="3EE1B499" w14:textId="77777777" w:rsidR="00DE76E5" w:rsidRDefault="00DE76E5" w:rsidP="00DE76E5">
      <w:pPr>
        <w:spacing w:line="360" w:lineRule="auto"/>
        <w:ind w:left="720"/>
        <w:contextualSpacing/>
        <w:jc w:val="both"/>
        <w:rPr>
          <w:rtl/>
        </w:rPr>
      </w:pPr>
    </w:p>
    <w:p w14:paraId="73DA2054" w14:textId="77777777" w:rsidR="00DE76E5" w:rsidRDefault="00DE76E5" w:rsidP="00DE76E5">
      <w:pPr>
        <w:spacing w:line="360" w:lineRule="auto"/>
        <w:ind w:left="720"/>
        <w:jc w:val="both"/>
        <w:rPr>
          <w:rtl/>
        </w:rPr>
      </w:pPr>
      <w:r>
        <w:rPr>
          <w:rFonts w:hint="cs"/>
          <w:rtl/>
        </w:rPr>
        <w:t>יצוין כי הנאשם ביקש הזדמנות נוספת להתייצב בפני שירות המבחן ולהביע רצון בשילוב בהליך טיפולי, אולם בקשתו נדחתה לאחר שקבעתי כי ניתנו לו די הזדמנויות להשתלב בטיפול ולהיתרם מהקשר עם שירות המבחן, ולאחר שהתרשמתי כי אין אינדיקציות לכך שלא הובן על-ידי קצין המבחן. כן, הטענה כי הנאשם סיים בהצלחה את ההליך הטיפולי, שהועלתה על-ידי סנגורו במסגרת הטיעון לעונש, אינה מתיישבת עם המצוין בתסקיר שירות המבחן, באשר לעזיבתו את הקבוצה הטיפולית מיוזמתו, לאחר ביטול התנאים המגבילים. אתן משקל מסוים להשתתפותו החלקית של הנאשם בהליך הטיפולי.</w:t>
      </w:r>
    </w:p>
    <w:p w14:paraId="1217330D" w14:textId="77777777" w:rsidR="00DE76E5" w:rsidRDefault="00DE76E5" w:rsidP="00DE76E5">
      <w:pPr>
        <w:spacing w:line="360" w:lineRule="auto"/>
        <w:jc w:val="both"/>
        <w:rPr>
          <w:rtl/>
        </w:rPr>
      </w:pPr>
    </w:p>
    <w:p w14:paraId="1F0E2901" w14:textId="77777777" w:rsidR="00DE76E5" w:rsidRDefault="00DE76E5" w:rsidP="00DE76E5">
      <w:pPr>
        <w:spacing w:line="360" w:lineRule="auto"/>
        <w:ind w:left="720" w:hanging="720"/>
        <w:contextualSpacing/>
        <w:jc w:val="both"/>
        <w:rPr>
          <w:rtl/>
        </w:rPr>
      </w:pPr>
      <w:r>
        <w:rPr>
          <w:rFonts w:hint="cs"/>
          <w:rtl/>
        </w:rPr>
        <w:t>17.</w:t>
      </w:r>
      <w:r>
        <w:rPr>
          <w:rFonts w:hint="cs"/>
          <w:rtl/>
        </w:rPr>
        <w:tab/>
        <w:t xml:space="preserve">לנוכח המפורט לעיל, מצאתי מקום להטיל על הנאשם עונש המצוי ברף התחתון של מתחם העונש ההולם אותו קבעתי, הכולל עונש מאסר לריצוי מאחורי סורג ובריח בניכוי ימי המעצר, בהתאם למדיניות הענישה הברורה והעקבית העולה מן הפסיקה שהובאה לעיל, לרבות הפסיקה אליה הפנה הסנגור. בקביעת משך המאסר אתחשב בכך שאין לנאשם עבר פלילי מכביד, בתקופת שהותו במעצר, בהודאתו ובנטילת האחריות, ואת הפגיעה האפשרית בנאשם ובמשפחתו. </w:t>
      </w:r>
    </w:p>
    <w:p w14:paraId="7D47D670" w14:textId="77777777" w:rsidR="00DE76E5" w:rsidRDefault="00DE76E5" w:rsidP="00DE76E5">
      <w:pPr>
        <w:spacing w:line="360" w:lineRule="auto"/>
        <w:ind w:left="720" w:hanging="720"/>
        <w:contextualSpacing/>
        <w:jc w:val="both"/>
        <w:rPr>
          <w:rtl/>
        </w:rPr>
      </w:pPr>
    </w:p>
    <w:p w14:paraId="47FA870A" w14:textId="77777777" w:rsidR="00DE76E5" w:rsidRDefault="00DE76E5" w:rsidP="00DE76E5">
      <w:pPr>
        <w:spacing w:line="360" w:lineRule="auto"/>
        <w:ind w:left="424" w:hanging="424"/>
        <w:jc w:val="both"/>
        <w:rPr>
          <w:b/>
          <w:bCs/>
          <w:u w:val="single"/>
          <w:rtl/>
        </w:rPr>
      </w:pPr>
      <w:r>
        <w:rPr>
          <w:rFonts w:hint="cs"/>
          <w:b/>
          <w:bCs/>
          <w:u w:val="single"/>
          <w:rtl/>
        </w:rPr>
        <w:t>סוף דבר</w:t>
      </w:r>
    </w:p>
    <w:p w14:paraId="711B6A50" w14:textId="77777777" w:rsidR="00DE76E5" w:rsidRDefault="00DE76E5" w:rsidP="00DE76E5">
      <w:pPr>
        <w:spacing w:line="360" w:lineRule="auto"/>
        <w:ind w:left="424" w:hanging="424"/>
        <w:jc w:val="both"/>
        <w:rPr>
          <w:b/>
          <w:bCs/>
          <w:u w:val="single"/>
          <w:rtl/>
        </w:rPr>
      </w:pPr>
    </w:p>
    <w:p w14:paraId="43CA7D8B" w14:textId="77777777" w:rsidR="00DE76E5" w:rsidRDefault="00DE76E5" w:rsidP="00DE76E5">
      <w:pPr>
        <w:spacing w:line="360" w:lineRule="auto"/>
        <w:ind w:left="424" w:hanging="424"/>
        <w:jc w:val="both"/>
        <w:rPr>
          <w:rtl/>
        </w:rPr>
      </w:pPr>
      <w:r>
        <w:rPr>
          <w:rFonts w:hint="cs"/>
          <w:rtl/>
        </w:rPr>
        <w:t>11.</w:t>
      </w:r>
      <w:r w:rsidR="00501215">
        <w:rPr>
          <w:rFonts w:hint="cs"/>
          <w:rtl/>
        </w:rPr>
        <w:t xml:space="preserve"> </w:t>
      </w:r>
      <w:r>
        <w:rPr>
          <w:rFonts w:hint="cs"/>
          <w:rtl/>
        </w:rPr>
        <w:t xml:space="preserve"> </w:t>
      </w:r>
      <w:r>
        <w:rPr>
          <w:rFonts w:hint="cs"/>
          <w:rtl/>
        </w:rPr>
        <w:tab/>
      </w:r>
      <w:r>
        <w:rPr>
          <w:rFonts w:hint="cs"/>
          <w:rtl/>
        </w:rPr>
        <w:tab/>
        <w:t>נוכח כל האמור לעיל, אני גוזרת את עונשו של הנאשם כדלקמן:</w:t>
      </w:r>
    </w:p>
    <w:p w14:paraId="4A3F0859" w14:textId="77777777" w:rsidR="00DE76E5" w:rsidRDefault="00DE76E5" w:rsidP="00DE76E5">
      <w:pPr>
        <w:spacing w:line="360" w:lineRule="auto"/>
        <w:ind w:left="424" w:hanging="424"/>
        <w:jc w:val="both"/>
        <w:rPr>
          <w:rtl/>
        </w:rPr>
      </w:pPr>
    </w:p>
    <w:p w14:paraId="6F3029C7" w14:textId="77777777" w:rsidR="00DE76E5" w:rsidRDefault="00501215" w:rsidP="00DE76E5">
      <w:pPr>
        <w:spacing w:line="360" w:lineRule="auto"/>
        <w:ind w:firstLine="424"/>
        <w:jc w:val="both"/>
        <w:rPr>
          <w:rtl/>
        </w:rPr>
      </w:pPr>
      <w:r>
        <w:rPr>
          <w:rFonts w:hint="cs"/>
          <w:rtl/>
        </w:rPr>
        <w:t xml:space="preserve">      </w:t>
      </w:r>
      <w:r w:rsidR="00DE76E5">
        <w:rPr>
          <w:rFonts w:hint="cs"/>
          <w:rtl/>
        </w:rPr>
        <w:t xml:space="preserve"> א.</w:t>
      </w:r>
      <w:r>
        <w:rPr>
          <w:rFonts w:hint="cs"/>
          <w:rtl/>
        </w:rPr>
        <w:t xml:space="preserve">      </w:t>
      </w:r>
      <w:r w:rsidR="00DE76E5">
        <w:rPr>
          <w:rFonts w:hint="cs"/>
          <w:rtl/>
        </w:rPr>
        <w:t xml:space="preserve"> 11 חודשי מאסר בפועל, בניכוי ימי המעצר מיום 30.4.20 ועד ליום 3.6.20. </w:t>
      </w:r>
    </w:p>
    <w:p w14:paraId="25BFA344" w14:textId="77777777" w:rsidR="00DE76E5" w:rsidRDefault="00DE76E5" w:rsidP="00DE76E5">
      <w:pPr>
        <w:spacing w:line="360" w:lineRule="auto"/>
        <w:jc w:val="both"/>
        <w:rPr>
          <w:rtl/>
        </w:rPr>
      </w:pPr>
    </w:p>
    <w:p w14:paraId="43E737CD" w14:textId="77777777" w:rsidR="00DE76E5" w:rsidRDefault="00DE76E5" w:rsidP="00DE76E5">
      <w:pPr>
        <w:spacing w:line="360" w:lineRule="auto"/>
        <w:ind w:left="1440" w:hanging="720"/>
        <w:jc w:val="both"/>
        <w:rPr>
          <w:rtl/>
        </w:rPr>
      </w:pPr>
      <w:r>
        <w:rPr>
          <w:rFonts w:hint="cs"/>
          <w:rtl/>
        </w:rPr>
        <w:t xml:space="preserve"> ב.</w:t>
      </w:r>
      <w:r w:rsidR="00501215">
        <w:rPr>
          <w:rFonts w:hint="cs"/>
          <w:rtl/>
        </w:rPr>
        <w:t xml:space="preserve">        </w:t>
      </w:r>
      <w:r>
        <w:rPr>
          <w:rFonts w:hint="cs"/>
          <w:rtl/>
        </w:rPr>
        <w:t xml:space="preserve"> 6 חודשי מאסר על-תנאי, ואולם הנאשם לא יישא עונש זה אלא אם יעבור במהלך תקופה של שלוש שנים מיום שחרורו מהמאסר כל עבירת נשק. </w:t>
      </w:r>
    </w:p>
    <w:p w14:paraId="185493FC" w14:textId="77777777" w:rsidR="00DE76E5" w:rsidRDefault="00DE76E5" w:rsidP="00DE76E5">
      <w:pPr>
        <w:spacing w:line="360" w:lineRule="auto"/>
        <w:ind w:left="1440" w:hanging="733"/>
        <w:jc w:val="both"/>
        <w:rPr>
          <w:rtl/>
        </w:rPr>
      </w:pPr>
    </w:p>
    <w:p w14:paraId="7FBDDC39" w14:textId="77777777" w:rsidR="00DE76E5" w:rsidRDefault="00DE76E5" w:rsidP="00DE76E5">
      <w:pPr>
        <w:spacing w:line="360" w:lineRule="auto"/>
        <w:ind w:left="1440" w:hanging="733"/>
        <w:jc w:val="both"/>
        <w:rPr>
          <w:rtl/>
        </w:rPr>
      </w:pPr>
    </w:p>
    <w:p w14:paraId="31B660F5" w14:textId="77777777" w:rsidR="00DE76E5" w:rsidRDefault="00DE76E5" w:rsidP="00DE76E5">
      <w:pPr>
        <w:spacing w:line="360" w:lineRule="auto"/>
        <w:ind w:left="1440" w:hanging="733"/>
        <w:jc w:val="both"/>
        <w:rPr>
          <w:rtl/>
        </w:rPr>
      </w:pPr>
    </w:p>
    <w:p w14:paraId="3CB2605C" w14:textId="77777777" w:rsidR="00DE76E5" w:rsidRDefault="00DE76E5" w:rsidP="00DE76E5">
      <w:pPr>
        <w:spacing w:line="360" w:lineRule="auto"/>
        <w:ind w:left="1440" w:hanging="733"/>
        <w:jc w:val="both"/>
        <w:rPr>
          <w:rtl/>
        </w:rPr>
      </w:pPr>
      <w:r>
        <w:rPr>
          <w:rFonts w:hint="cs"/>
          <w:rtl/>
        </w:rPr>
        <w:t>ג.</w:t>
      </w:r>
      <w:r w:rsidR="00501215">
        <w:rPr>
          <w:rFonts w:hint="cs"/>
          <w:rtl/>
        </w:rPr>
        <w:t xml:space="preserve">         </w:t>
      </w:r>
      <w:r>
        <w:rPr>
          <w:rFonts w:hint="cs"/>
          <w:rtl/>
        </w:rPr>
        <w:t xml:space="preserve"> קנס בסך 4,000 ₪ או 16 ימי מאסר תמורתו, הקנס ישולם ב- 5 תשלומים שווים ורצופים החל מיום 10/1/2022 ובכל 10 בחודש העוקב לאחריו. </w:t>
      </w:r>
    </w:p>
    <w:p w14:paraId="22277C98" w14:textId="77777777" w:rsidR="00DE76E5" w:rsidRDefault="00DE76E5" w:rsidP="00DE76E5">
      <w:pPr>
        <w:spacing w:line="360" w:lineRule="auto"/>
        <w:ind w:left="1440" w:hanging="720"/>
        <w:jc w:val="both"/>
        <w:rPr>
          <w:rtl/>
        </w:rPr>
      </w:pPr>
    </w:p>
    <w:p w14:paraId="5FE39E85" w14:textId="77777777" w:rsidR="00DE76E5" w:rsidRDefault="00DE76E5" w:rsidP="00DE76E5">
      <w:pPr>
        <w:spacing w:line="360" w:lineRule="auto"/>
        <w:jc w:val="both"/>
      </w:pPr>
      <w:r>
        <w:rPr>
          <w:rFonts w:hint="cs"/>
          <w:b/>
          <w:bCs/>
          <w:u w:val="single"/>
          <w:rtl/>
        </w:rPr>
        <w:t>זכות ערעור תוך 45 יום</w:t>
      </w:r>
      <w:r>
        <w:rPr>
          <w:rFonts w:hint="cs"/>
          <w:b/>
          <w:bCs/>
          <w:rtl/>
        </w:rPr>
        <w:t>.</w:t>
      </w:r>
    </w:p>
    <w:p w14:paraId="3A454336" w14:textId="77777777" w:rsidR="00DE76E5" w:rsidRPr="00B05847" w:rsidRDefault="00DE76E5" w:rsidP="00DE76E5">
      <w:pPr>
        <w:rPr>
          <w:rtl/>
        </w:rPr>
      </w:pPr>
    </w:p>
    <w:p w14:paraId="0E3041DE" w14:textId="77777777" w:rsidR="00DE76E5" w:rsidRPr="00501215" w:rsidRDefault="00501215" w:rsidP="00DE76E5">
      <w:pPr>
        <w:rPr>
          <w:color w:val="FFFFFF"/>
          <w:sz w:val="2"/>
          <w:szCs w:val="2"/>
          <w:rtl/>
        </w:rPr>
      </w:pPr>
      <w:r w:rsidRPr="00501215">
        <w:rPr>
          <w:color w:val="FFFFFF"/>
          <w:sz w:val="2"/>
          <w:szCs w:val="2"/>
          <w:rtl/>
        </w:rPr>
        <w:t>5129371</w:t>
      </w:r>
    </w:p>
    <w:p w14:paraId="6C5B8D8E" w14:textId="77777777" w:rsidR="00DE76E5" w:rsidRDefault="00501215" w:rsidP="00DE76E5">
      <w:pPr>
        <w:rPr>
          <w:rFonts w:cs="FrankRuehl"/>
          <w:sz w:val="28"/>
          <w:szCs w:val="28"/>
          <w:rtl/>
        </w:rPr>
      </w:pPr>
      <w:bookmarkStart w:id="7" w:name="Nitan"/>
      <w:r w:rsidRPr="00501215">
        <w:rPr>
          <w:rFonts w:ascii="Arial" w:hAnsi="Arial"/>
          <w:color w:val="FFFFFF"/>
          <w:sz w:val="2"/>
          <w:szCs w:val="2"/>
          <w:rtl/>
        </w:rPr>
        <w:t>54678313</w:t>
      </w:r>
      <w:r>
        <w:rPr>
          <w:rFonts w:ascii="Arial" w:hAnsi="Arial"/>
          <w:rtl/>
        </w:rPr>
        <w:t xml:space="preserve">ניתן היום,  כ"ח טבת תשפ"א, 12 ינואר 2021, במעמד הצדדים. </w:t>
      </w:r>
      <w:bookmarkEnd w:id="7"/>
    </w:p>
    <w:p w14:paraId="0F526B5D" w14:textId="77777777" w:rsidR="00DE76E5" w:rsidRDefault="00DE76E5" w:rsidP="0050121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7ED7C1D" w14:textId="77777777" w:rsidR="00DE76E5" w:rsidRDefault="00DE76E5" w:rsidP="00DE76E5">
      <w:pPr>
        <w:jc w:val="center"/>
        <w:rPr>
          <w:rFonts w:ascii="Arial" w:hAnsi="Arial" w:cs="FrankRuehl"/>
          <w:sz w:val="28"/>
          <w:szCs w:val="28"/>
          <w:rtl/>
        </w:rPr>
      </w:pPr>
    </w:p>
    <w:p w14:paraId="1CBF609E" w14:textId="77777777" w:rsidR="00DE76E5" w:rsidRDefault="00DE76E5" w:rsidP="00DE76E5">
      <w:pPr>
        <w:rPr>
          <w:rFonts w:cs="FrankRuehl"/>
          <w:sz w:val="28"/>
          <w:szCs w:val="28"/>
          <w:rtl/>
        </w:rPr>
      </w:pPr>
    </w:p>
    <w:p w14:paraId="74EA5F71" w14:textId="77777777" w:rsidR="00DE76E5" w:rsidRDefault="00DE76E5" w:rsidP="00DE76E5">
      <w:pPr>
        <w:pStyle w:val="a3"/>
        <w:jc w:val="center"/>
        <w:rPr>
          <w:rtl/>
        </w:rPr>
      </w:pPr>
    </w:p>
    <w:p w14:paraId="5E5C6E48" w14:textId="77777777" w:rsidR="00280BB0" w:rsidRPr="00501215" w:rsidRDefault="00280BB0" w:rsidP="00501215">
      <w:pPr>
        <w:keepNext/>
        <w:rPr>
          <w:rFonts w:ascii="David" w:hAnsi="David"/>
          <w:color w:val="000000"/>
          <w:sz w:val="22"/>
          <w:szCs w:val="22"/>
          <w:rtl/>
        </w:rPr>
      </w:pPr>
    </w:p>
    <w:p w14:paraId="1AFFA04B" w14:textId="77777777" w:rsidR="00501215" w:rsidRPr="00501215" w:rsidRDefault="00501215" w:rsidP="00501215">
      <w:pPr>
        <w:keepNext/>
        <w:rPr>
          <w:rFonts w:ascii="David" w:hAnsi="David"/>
          <w:color w:val="000000"/>
          <w:sz w:val="22"/>
          <w:szCs w:val="22"/>
          <w:rtl/>
        </w:rPr>
      </w:pPr>
      <w:r w:rsidRPr="00501215">
        <w:rPr>
          <w:rFonts w:ascii="David" w:hAnsi="David"/>
          <w:color w:val="000000"/>
          <w:sz w:val="22"/>
          <w:szCs w:val="22"/>
          <w:rtl/>
        </w:rPr>
        <w:t>רות שפילברג כהן 54678313</w:t>
      </w:r>
    </w:p>
    <w:p w14:paraId="5BB51272" w14:textId="77777777" w:rsidR="00501215" w:rsidRDefault="00501215" w:rsidP="00501215">
      <w:pPr>
        <w:rPr>
          <w:rFonts w:hint="cs"/>
        </w:rPr>
      </w:pPr>
      <w:r w:rsidRPr="00501215">
        <w:rPr>
          <w:color w:val="000000"/>
          <w:rtl/>
        </w:rPr>
        <w:t>נוסח מסמך זה כפוף לשינויי ניסוח ועריכה</w:t>
      </w:r>
      <w:r w:rsidR="00A63D53">
        <w:rPr>
          <w:rFonts w:hint="cs"/>
          <w:rtl/>
        </w:rPr>
        <w:t xml:space="preserve"> </w:t>
      </w:r>
    </w:p>
    <w:p w14:paraId="4C9177E7" w14:textId="77777777" w:rsidR="00501215" w:rsidRDefault="00501215" w:rsidP="00501215">
      <w:pPr>
        <w:rPr>
          <w:rtl/>
        </w:rPr>
      </w:pPr>
    </w:p>
    <w:p w14:paraId="03B1C69E" w14:textId="77777777" w:rsidR="00501215" w:rsidRDefault="00501215" w:rsidP="00501215">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561D4BE0" w14:textId="77777777" w:rsidR="00501215" w:rsidRPr="00501215" w:rsidRDefault="00501215" w:rsidP="00501215">
      <w:pPr>
        <w:jc w:val="center"/>
        <w:rPr>
          <w:color w:val="0000FF"/>
          <w:u w:val="single"/>
        </w:rPr>
      </w:pPr>
    </w:p>
    <w:sectPr w:rsidR="00501215" w:rsidRPr="00501215" w:rsidSect="00501215">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7B618" w14:textId="77777777" w:rsidR="000C53D9" w:rsidRDefault="000C53D9" w:rsidP="00740C65">
      <w:r>
        <w:separator/>
      </w:r>
    </w:p>
  </w:endnote>
  <w:endnote w:type="continuationSeparator" w:id="0">
    <w:p w14:paraId="6AEF4B2A" w14:textId="77777777" w:rsidR="000C53D9" w:rsidRDefault="000C53D9" w:rsidP="00740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45976" w14:textId="77777777" w:rsidR="00501215" w:rsidRDefault="00501215" w:rsidP="005012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D8CE93" w14:textId="77777777" w:rsidR="0014768D" w:rsidRPr="00501215" w:rsidRDefault="00501215" w:rsidP="005012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4B313" w14:textId="77777777" w:rsidR="00501215" w:rsidRDefault="00501215" w:rsidP="005012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42A79">
      <w:rPr>
        <w:rFonts w:ascii="FrankRuehl" w:hAnsi="FrankRuehl" w:cs="FrankRuehl"/>
        <w:noProof/>
        <w:rtl/>
      </w:rPr>
      <w:t>1</w:t>
    </w:r>
    <w:r>
      <w:rPr>
        <w:rFonts w:ascii="FrankRuehl" w:hAnsi="FrankRuehl" w:cs="FrankRuehl"/>
        <w:rtl/>
      </w:rPr>
      <w:fldChar w:fldCharType="end"/>
    </w:r>
  </w:p>
  <w:p w14:paraId="7996AF2C" w14:textId="77777777" w:rsidR="0014768D" w:rsidRPr="00501215" w:rsidRDefault="00501215" w:rsidP="005012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5CFF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24F20" w14:textId="77777777" w:rsidR="000C53D9" w:rsidRDefault="000C53D9" w:rsidP="00740C65">
      <w:r>
        <w:separator/>
      </w:r>
    </w:p>
  </w:footnote>
  <w:footnote w:type="continuationSeparator" w:id="0">
    <w:p w14:paraId="7BDC2CCF" w14:textId="77777777" w:rsidR="000C53D9" w:rsidRDefault="000C53D9" w:rsidP="00740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30B34" w14:textId="77777777" w:rsidR="00501215" w:rsidRPr="00501215" w:rsidRDefault="00501215" w:rsidP="005012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17916-05-19</w:t>
    </w:r>
    <w:r>
      <w:rPr>
        <w:rFonts w:ascii="David" w:hAnsi="David"/>
        <w:color w:val="000000"/>
        <w:sz w:val="22"/>
        <w:szCs w:val="22"/>
        <w:rtl/>
      </w:rPr>
      <w:tab/>
      <w:t xml:space="preserve"> מדינת ישראל נ' אחמד שלבי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70231" w14:textId="77777777" w:rsidR="00501215" w:rsidRPr="00501215" w:rsidRDefault="00501215" w:rsidP="005012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17916-05-19</w:t>
    </w:r>
    <w:r>
      <w:rPr>
        <w:rFonts w:ascii="David" w:hAnsi="David"/>
        <w:color w:val="000000"/>
        <w:sz w:val="22"/>
        <w:szCs w:val="22"/>
        <w:rtl/>
      </w:rPr>
      <w:tab/>
      <w:t xml:space="preserve"> מדינת ישראל נ' אחמד שלבי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E6543"/>
    <w:multiLevelType w:val="hybridMultilevel"/>
    <w:tmpl w:val="18E6AAAC"/>
    <w:lvl w:ilvl="0" w:tplc="FA38E588">
      <w:start w:val="1"/>
      <w:numFmt w:val="hebrew1"/>
      <w:lvlText w:val="%1."/>
      <w:lvlJc w:val="left"/>
      <w:pPr>
        <w:ind w:left="1080" w:hanging="360"/>
      </w:pPr>
    </w:lvl>
    <w:lvl w:ilvl="1" w:tplc="257ED162">
      <w:start w:val="1"/>
      <w:numFmt w:val="lowerLetter"/>
      <w:lvlText w:val="%2."/>
      <w:lvlJc w:val="left"/>
      <w:pPr>
        <w:ind w:left="1800" w:hanging="360"/>
      </w:pPr>
    </w:lvl>
    <w:lvl w:ilvl="2" w:tplc="5406D922">
      <w:start w:val="1"/>
      <w:numFmt w:val="lowerRoman"/>
      <w:lvlText w:val="%3."/>
      <w:lvlJc w:val="right"/>
      <w:pPr>
        <w:ind w:left="2520" w:hanging="180"/>
      </w:pPr>
    </w:lvl>
    <w:lvl w:ilvl="3" w:tplc="9B000048">
      <w:start w:val="1"/>
      <w:numFmt w:val="decimal"/>
      <w:lvlText w:val="%4."/>
      <w:lvlJc w:val="left"/>
      <w:pPr>
        <w:ind w:left="3240" w:hanging="360"/>
      </w:pPr>
    </w:lvl>
    <w:lvl w:ilvl="4" w:tplc="0310C882">
      <w:start w:val="1"/>
      <w:numFmt w:val="lowerLetter"/>
      <w:lvlText w:val="%5."/>
      <w:lvlJc w:val="left"/>
      <w:pPr>
        <w:ind w:left="3960" w:hanging="360"/>
      </w:pPr>
    </w:lvl>
    <w:lvl w:ilvl="5" w:tplc="D59435DC">
      <w:start w:val="1"/>
      <w:numFmt w:val="lowerRoman"/>
      <w:lvlText w:val="%6."/>
      <w:lvlJc w:val="right"/>
      <w:pPr>
        <w:ind w:left="4680" w:hanging="180"/>
      </w:pPr>
    </w:lvl>
    <w:lvl w:ilvl="6" w:tplc="80140E4C">
      <w:start w:val="1"/>
      <w:numFmt w:val="decimal"/>
      <w:lvlText w:val="%7."/>
      <w:lvlJc w:val="left"/>
      <w:pPr>
        <w:ind w:left="5400" w:hanging="360"/>
      </w:pPr>
    </w:lvl>
    <w:lvl w:ilvl="7" w:tplc="C400CC0A">
      <w:start w:val="1"/>
      <w:numFmt w:val="lowerLetter"/>
      <w:lvlText w:val="%8."/>
      <w:lvlJc w:val="left"/>
      <w:pPr>
        <w:ind w:left="6120" w:hanging="360"/>
      </w:pPr>
    </w:lvl>
    <w:lvl w:ilvl="8" w:tplc="319EC3F4">
      <w:start w:val="1"/>
      <w:numFmt w:val="lowerRoman"/>
      <w:lvlText w:val="%9."/>
      <w:lvlJc w:val="right"/>
      <w:pPr>
        <w:ind w:left="6840" w:hanging="180"/>
      </w:pPr>
    </w:lvl>
  </w:abstractNum>
  <w:abstractNum w:abstractNumId="1" w15:restartNumberingAfterBreak="0">
    <w:nsid w:val="36E81CC0"/>
    <w:multiLevelType w:val="hybridMultilevel"/>
    <w:tmpl w:val="F0245B18"/>
    <w:lvl w:ilvl="0" w:tplc="B5503816">
      <w:start w:val="1"/>
      <w:numFmt w:val="hebrew1"/>
      <w:lvlText w:val="%1."/>
      <w:lvlJc w:val="left"/>
      <w:pPr>
        <w:ind w:left="1440" w:hanging="645"/>
      </w:pPr>
      <w:rPr>
        <w:lang w:val="en-US"/>
      </w:rPr>
    </w:lvl>
    <w:lvl w:ilvl="1" w:tplc="F30486D8">
      <w:start w:val="1"/>
      <w:numFmt w:val="lowerLetter"/>
      <w:lvlText w:val="%2."/>
      <w:lvlJc w:val="left"/>
      <w:pPr>
        <w:ind w:left="1875" w:hanging="360"/>
      </w:pPr>
    </w:lvl>
    <w:lvl w:ilvl="2" w:tplc="921A796C">
      <w:start w:val="1"/>
      <w:numFmt w:val="lowerRoman"/>
      <w:lvlText w:val="%3."/>
      <w:lvlJc w:val="right"/>
      <w:pPr>
        <w:ind w:left="2595" w:hanging="180"/>
      </w:pPr>
    </w:lvl>
    <w:lvl w:ilvl="3" w:tplc="87E04000">
      <w:start w:val="1"/>
      <w:numFmt w:val="decimal"/>
      <w:lvlText w:val="%4."/>
      <w:lvlJc w:val="left"/>
      <w:pPr>
        <w:ind w:left="3315" w:hanging="360"/>
      </w:pPr>
    </w:lvl>
    <w:lvl w:ilvl="4" w:tplc="A2029808">
      <w:start w:val="1"/>
      <w:numFmt w:val="lowerLetter"/>
      <w:lvlText w:val="%5."/>
      <w:lvlJc w:val="left"/>
      <w:pPr>
        <w:ind w:left="4035" w:hanging="360"/>
      </w:pPr>
    </w:lvl>
    <w:lvl w:ilvl="5" w:tplc="FC168890">
      <w:start w:val="1"/>
      <w:numFmt w:val="lowerRoman"/>
      <w:lvlText w:val="%6."/>
      <w:lvlJc w:val="right"/>
      <w:pPr>
        <w:ind w:left="4755" w:hanging="180"/>
      </w:pPr>
    </w:lvl>
    <w:lvl w:ilvl="6" w:tplc="7BA25CE8">
      <w:start w:val="1"/>
      <w:numFmt w:val="decimal"/>
      <w:lvlText w:val="%7."/>
      <w:lvlJc w:val="left"/>
      <w:pPr>
        <w:ind w:left="5475" w:hanging="360"/>
      </w:pPr>
    </w:lvl>
    <w:lvl w:ilvl="7" w:tplc="B1D4914C">
      <w:start w:val="1"/>
      <w:numFmt w:val="lowerLetter"/>
      <w:lvlText w:val="%8."/>
      <w:lvlJc w:val="left"/>
      <w:pPr>
        <w:ind w:left="6195" w:hanging="360"/>
      </w:pPr>
    </w:lvl>
    <w:lvl w:ilvl="8" w:tplc="A8E4AC84">
      <w:start w:val="1"/>
      <w:numFmt w:val="lowerRoman"/>
      <w:lvlText w:val="%9."/>
      <w:lvlJc w:val="right"/>
      <w:pPr>
        <w:ind w:left="6915" w:hanging="180"/>
      </w:pPr>
    </w:lvl>
  </w:abstractNum>
  <w:abstractNum w:abstractNumId="2" w15:restartNumberingAfterBreak="0">
    <w:nsid w:val="5EE70844"/>
    <w:multiLevelType w:val="hybridMultilevel"/>
    <w:tmpl w:val="36F817D6"/>
    <w:lvl w:ilvl="0" w:tplc="4B7E8C60">
      <w:start w:val="1"/>
      <w:numFmt w:val="hebrew1"/>
      <w:lvlText w:val="%1."/>
      <w:lvlJc w:val="left"/>
      <w:pPr>
        <w:ind w:left="1080" w:hanging="360"/>
      </w:pPr>
    </w:lvl>
    <w:lvl w:ilvl="1" w:tplc="B35E8A5C">
      <w:start w:val="1"/>
      <w:numFmt w:val="lowerLetter"/>
      <w:lvlText w:val="%2."/>
      <w:lvlJc w:val="left"/>
      <w:pPr>
        <w:ind w:left="1800" w:hanging="360"/>
      </w:pPr>
    </w:lvl>
    <w:lvl w:ilvl="2" w:tplc="60C6069E">
      <w:start w:val="1"/>
      <w:numFmt w:val="lowerRoman"/>
      <w:lvlText w:val="%3."/>
      <w:lvlJc w:val="right"/>
      <w:pPr>
        <w:ind w:left="2520" w:hanging="180"/>
      </w:pPr>
    </w:lvl>
    <w:lvl w:ilvl="3" w:tplc="3118E99E">
      <w:start w:val="1"/>
      <w:numFmt w:val="decimal"/>
      <w:lvlText w:val="%4."/>
      <w:lvlJc w:val="left"/>
      <w:pPr>
        <w:ind w:left="3240" w:hanging="360"/>
      </w:pPr>
    </w:lvl>
    <w:lvl w:ilvl="4" w:tplc="09F8DB30">
      <w:start w:val="1"/>
      <w:numFmt w:val="lowerLetter"/>
      <w:lvlText w:val="%5."/>
      <w:lvlJc w:val="left"/>
      <w:pPr>
        <w:ind w:left="3960" w:hanging="360"/>
      </w:pPr>
    </w:lvl>
    <w:lvl w:ilvl="5" w:tplc="5C8600D0">
      <w:start w:val="1"/>
      <w:numFmt w:val="lowerRoman"/>
      <w:lvlText w:val="%6."/>
      <w:lvlJc w:val="right"/>
      <w:pPr>
        <w:ind w:left="4680" w:hanging="180"/>
      </w:pPr>
    </w:lvl>
    <w:lvl w:ilvl="6" w:tplc="82AA2A36">
      <w:start w:val="1"/>
      <w:numFmt w:val="decimal"/>
      <w:lvlText w:val="%7."/>
      <w:lvlJc w:val="left"/>
      <w:pPr>
        <w:ind w:left="5400" w:hanging="360"/>
      </w:pPr>
    </w:lvl>
    <w:lvl w:ilvl="7" w:tplc="C456D0AC">
      <w:start w:val="1"/>
      <w:numFmt w:val="lowerLetter"/>
      <w:lvlText w:val="%8."/>
      <w:lvlJc w:val="left"/>
      <w:pPr>
        <w:ind w:left="6120" w:hanging="360"/>
      </w:pPr>
    </w:lvl>
    <w:lvl w:ilvl="8" w:tplc="D5DA8DBC">
      <w:start w:val="1"/>
      <w:numFmt w:val="lowerRoman"/>
      <w:lvlText w:val="%9."/>
      <w:lvlJc w:val="right"/>
      <w:pPr>
        <w:ind w:left="6840" w:hanging="180"/>
      </w:pPr>
    </w:lvl>
  </w:abstractNum>
  <w:num w:numId="1" w16cid:durableId="9830434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75255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6319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76E5"/>
    <w:rsid w:val="000C53D9"/>
    <w:rsid w:val="0014768D"/>
    <w:rsid w:val="002267B6"/>
    <w:rsid w:val="00242A79"/>
    <w:rsid w:val="00280BB0"/>
    <w:rsid w:val="003A33AF"/>
    <w:rsid w:val="00442387"/>
    <w:rsid w:val="00501215"/>
    <w:rsid w:val="005911BE"/>
    <w:rsid w:val="00740C65"/>
    <w:rsid w:val="009E3F7D"/>
    <w:rsid w:val="00A63D53"/>
    <w:rsid w:val="00B1323E"/>
    <w:rsid w:val="00CA7C72"/>
    <w:rsid w:val="00D84D80"/>
    <w:rsid w:val="00DE76E5"/>
    <w:rsid w:val="00EA0D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6AE84C"/>
  <w15:chartTrackingRefBased/>
  <w15:docId w15:val="{280E867E-E9F7-4481-A250-5AFFE540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76E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76E5"/>
    <w:pPr>
      <w:tabs>
        <w:tab w:val="center" w:pos="4153"/>
        <w:tab w:val="right" w:pos="8306"/>
      </w:tabs>
    </w:pPr>
  </w:style>
  <w:style w:type="character" w:customStyle="1" w:styleId="a4">
    <w:name w:val="כותרת עליונה תו"/>
    <w:link w:val="a3"/>
    <w:rsid w:val="00DE76E5"/>
    <w:rPr>
      <w:rFonts w:ascii="Times New Roman" w:eastAsia="Times New Roman" w:hAnsi="Times New Roman" w:cs="David"/>
      <w:sz w:val="24"/>
      <w:szCs w:val="24"/>
    </w:rPr>
  </w:style>
  <w:style w:type="paragraph" w:styleId="a5">
    <w:name w:val="footer"/>
    <w:basedOn w:val="a"/>
    <w:link w:val="a6"/>
    <w:rsid w:val="00DE76E5"/>
    <w:pPr>
      <w:tabs>
        <w:tab w:val="center" w:pos="4153"/>
        <w:tab w:val="right" w:pos="8306"/>
      </w:tabs>
    </w:pPr>
  </w:style>
  <w:style w:type="character" w:customStyle="1" w:styleId="a6">
    <w:name w:val="כותרת תחתונה תו"/>
    <w:link w:val="a5"/>
    <w:rsid w:val="00DE76E5"/>
    <w:rPr>
      <w:rFonts w:ascii="Times New Roman" w:eastAsia="Times New Roman" w:hAnsi="Times New Roman" w:cs="David"/>
      <w:sz w:val="24"/>
      <w:szCs w:val="24"/>
    </w:rPr>
  </w:style>
  <w:style w:type="table" w:styleId="a7">
    <w:name w:val="Table Grid"/>
    <w:basedOn w:val="a1"/>
    <w:rsid w:val="00DE76E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E76E5"/>
  </w:style>
  <w:style w:type="character" w:styleId="Hyperlink">
    <w:name w:val="Hyperlink"/>
    <w:rsid w:val="00DE76E5"/>
    <w:rPr>
      <w:color w:val="0000FF"/>
      <w:u w:val="single"/>
    </w:rPr>
  </w:style>
  <w:style w:type="paragraph" w:styleId="a9">
    <w:name w:val="List Paragraph"/>
    <w:basedOn w:val="a"/>
    <w:qFormat/>
    <w:rsid w:val="00DE76E5"/>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824863" TargetMode="External"/><Relationship Id="rId18" Type="http://schemas.openxmlformats.org/officeDocument/2006/relationships/hyperlink" Target="http://www.nevo.co.il/case/23798540" TargetMode="External"/><Relationship Id="rId26" Type="http://schemas.openxmlformats.org/officeDocument/2006/relationships/hyperlink" Target="http://www.nevo.co.il/case/2592575" TargetMode="External"/><Relationship Id="rId39" Type="http://schemas.openxmlformats.org/officeDocument/2006/relationships/theme" Target="theme/theme1.xml"/><Relationship Id="rId21" Type="http://schemas.openxmlformats.org/officeDocument/2006/relationships/hyperlink" Target="http://www.nevo.co.il/case/22228298"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6000182" TargetMode="External"/><Relationship Id="rId17" Type="http://schemas.openxmlformats.org/officeDocument/2006/relationships/hyperlink" Target="http://www.nevo.co.il/case/26294158" TargetMode="External"/><Relationship Id="rId25" Type="http://schemas.openxmlformats.org/officeDocument/2006/relationships/hyperlink" Target="http://www.nevo.co.il/case/602403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6103748" TargetMode="External"/><Relationship Id="rId20" Type="http://schemas.openxmlformats.org/officeDocument/2006/relationships/hyperlink" Target="http://www.nevo.co.il/case/22656414" TargetMode="External"/><Relationship Id="rId29" Type="http://schemas.openxmlformats.org/officeDocument/2006/relationships/hyperlink" Target="http://www.nevo.co.il/case/255438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5580781" TargetMode="External"/><Relationship Id="rId32" Type="http://schemas.openxmlformats.org/officeDocument/2006/relationships/hyperlink" Target="http://www.nevo.co.il/case/1301550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5528737" TargetMode="External"/><Relationship Id="rId23" Type="http://schemas.openxmlformats.org/officeDocument/2006/relationships/hyperlink" Target="http://www.nevo.co.il/case/7791493" TargetMode="External"/><Relationship Id="rId28" Type="http://schemas.openxmlformats.org/officeDocument/2006/relationships/hyperlink" Target="http://www.nevo.co.il/case/16944929"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3814812" TargetMode="External"/><Relationship Id="rId31" Type="http://schemas.openxmlformats.org/officeDocument/2006/relationships/hyperlink" Target="http://www.nevo.co.il/case/7697147"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6103748" TargetMode="External"/><Relationship Id="rId22" Type="http://schemas.openxmlformats.org/officeDocument/2006/relationships/hyperlink" Target="http://www.nevo.co.il/case/25299692" TargetMode="External"/><Relationship Id="rId27" Type="http://schemas.openxmlformats.org/officeDocument/2006/relationships/hyperlink" Target="http://www.nevo.co.il/case/16913730" TargetMode="External"/><Relationship Id="rId30" Type="http://schemas.openxmlformats.org/officeDocument/2006/relationships/hyperlink" Target="http://www.nevo.co.il/case/25063920" TargetMode="External"/><Relationship Id="rId35" Type="http://schemas.openxmlformats.org/officeDocument/2006/relationships/header" Target="head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3983</Words>
  <Characters>19918</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23854</CharactersWithSpaces>
  <SharedDoc>false</SharedDoc>
  <HLinks>
    <vt:vector size="162" baseType="variant">
      <vt:variant>
        <vt:i4>393283</vt:i4>
      </vt:variant>
      <vt:variant>
        <vt:i4>90</vt:i4>
      </vt:variant>
      <vt:variant>
        <vt:i4>0</vt:i4>
      </vt:variant>
      <vt:variant>
        <vt:i4>5</vt:i4>
      </vt:variant>
      <vt:variant>
        <vt:lpwstr>http://www.nevo.co.il/advertisements/nevo-100.doc</vt:lpwstr>
      </vt:variant>
      <vt:variant>
        <vt:lpwstr/>
      </vt:variant>
      <vt:variant>
        <vt:i4>3407987</vt:i4>
      </vt:variant>
      <vt:variant>
        <vt:i4>87</vt:i4>
      </vt:variant>
      <vt:variant>
        <vt:i4>0</vt:i4>
      </vt:variant>
      <vt:variant>
        <vt:i4>5</vt:i4>
      </vt:variant>
      <vt:variant>
        <vt:lpwstr>http://www.nevo.co.il/case/13015506</vt:lpwstr>
      </vt:variant>
      <vt:variant>
        <vt:lpwstr/>
      </vt:variant>
      <vt:variant>
        <vt:i4>3670129</vt:i4>
      </vt:variant>
      <vt:variant>
        <vt:i4>84</vt:i4>
      </vt:variant>
      <vt:variant>
        <vt:i4>0</vt:i4>
      </vt:variant>
      <vt:variant>
        <vt:i4>5</vt:i4>
      </vt:variant>
      <vt:variant>
        <vt:lpwstr>http://www.nevo.co.il/case/7697147</vt:lpwstr>
      </vt:variant>
      <vt:variant>
        <vt:lpwstr/>
      </vt:variant>
      <vt:variant>
        <vt:i4>3342462</vt:i4>
      </vt:variant>
      <vt:variant>
        <vt:i4>81</vt:i4>
      </vt:variant>
      <vt:variant>
        <vt:i4>0</vt:i4>
      </vt:variant>
      <vt:variant>
        <vt:i4>5</vt:i4>
      </vt:variant>
      <vt:variant>
        <vt:lpwstr>http://www.nevo.co.il/case/25063920</vt:lpwstr>
      </vt:variant>
      <vt:variant>
        <vt:lpwstr/>
      </vt:variant>
      <vt:variant>
        <vt:i4>3407997</vt:i4>
      </vt:variant>
      <vt:variant>
        <vt:i4>78</vt:i4>
      </vt:variant>
      <vt:variant>
        <vt:i4>0</vt:i4>
      </vt:variant>
      <vt:variant>
        <vt:i4>5</vt:i4>
      </vt:variant>
      <vt:variant>
        <vt:lpwstr>http://www.nevo.co.il/case/25543800</vt:lpwstr>
      </vt:variant>
      <vt:variant>
        <vt:lpwstr/>
      </vt:variant>
      <vt:variant>
        <vt:i4>4063359</vt:i4>
      </vt:variant>
      <vt:variant>
        <vt:i4>75</vt:i4>
      </vt:variant>
      <vt:variant>
        <vt:i4>0</vt:i4>
      </vt:variant>
      <vt:variant>
        <vt:i4>5</vt:i4>
      </vt:variant>
      <vt:variant>
        <vt:lpwstr>http://www.nevo.co.il/case/16944929</vt:lpwstr>
      </vt:variant>
      <vt:variant>
        <vt:lpwstr/>
      </vt:variant>
      <vt:variant>
        <vt:i4>3670132</vt:i4>
      </vt:variant>
      <vt:variant>
        <vt:i4>72</vt:i4>
      </vt:variant>
      <vt:variant>
        <vt:i4>0</vt:i4>
      </vt:variant>
      <vt:variant>
        <vt:i4>5</vt:i4>
      </vt:variant>
      <vt:variant>
        <vt:lpwstr>http://www.nevo.co.il/case/16913730</vt:lpwstr>
      </vt:variant>
      <vt:variant>
        <vt:lpwstr/>
      </vt:variant>
      <vt:variant>
        <vt:i4>3866740</vt:i4>
      </vt:variant>
      <vt:variant>
        <vt:i4>69</vt:i4>
      </vt:variant>
      <vt:variant>
        <vt:i4>0</vt:i4>
      </vt:variant>
      <vt:variant>
        <vt:i4>5</vt:i4>
      </vt:variant>
      <vt:variant>
        <vt:lpwstr>http://www.nevo.co.il/case/2592575</vt:lpwstr>
      </vt:variant>
      <vt:variant>
        <vt:lpwstr/>
      </vt:variant>
      <vt:variant>
        <vt:i4>3211379</vt:i4>
      </vt:variant>
      <vt:variant>
        <vt:i4>66</vt:i4>
      </vt:variant>
      <vt:variant>
        <vt:i4>0</vt:i4>
      </vt:variant>
      <vt:variant>
        <vt:i4>5</vt:i4>
      </vt:variant>
      <vt:variant>
        <vt:lpwstr>http://www.nevo.co.il/case/6024035</vt:lpwstr>
      </vt:variant>
      <vt:variant>
        <vt:lpwstr/>
      </vt:variant>
      <vt:variant>
        <vt:i4>3866745</vt:i4>
      </vt:variant>
      <vt:variant>
        <vt:i4>63</vt:i4>
      </vt:variant>
      <vt:variant>
        <vt:i4>0</vt:i4>
      </vt:variant>
      <vt:variant>
        <vt:i4>5</vt:i4>
      </vt:variant>
      <vt:variant>
        <vt:lpwstr>http://www.nevo.co.il/case/5580781</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3145854</vt:i4>
      </vt:variant>
      <vt:variant>
        <vt:i4>54</vt:i4>
      </vt:variant>
      <vt:variant>
        <vt:i4>0</vt:i4>
      </vt:variant>
      <vt:variant>
        <vt:i4>5</vt:i4>
      </vt:variant>
      <vt:variant>
        <vt:lpwstr>http://www.nevo.co.il/case/25299692</vt:lpwstr>
      </vt:variant>
      <vt:variant>
        <vt:lpwstr/>
      </vt:variant>
      <vt:variant>
        <vt:i4>3211382</vt:i4>
      </vt:variant>
      <vt:variant>
        <vt:i4>51</vt:i4>
      </vt:variant>
      <vt:variant>
        <vt:i4>0</vt:i4>
      </vt:variant>
      <vt:variant>
        <vt:i4>5</vt:i4>
      </vt:variant>
      <vt:variant>
        <vt:lpwstr>http://www.nevo.co.il/case/22228298</vt:lpwstr>
      </vt:variant>
      <vt:variant>
        <vt:lpwstr/>
      </vt:variant>
      <vt:variant>
        <vt:i4>3342455</vt:i4>
      </vt:variant>
      <vt:variant>
        <vt:i4>48</vt:i4>
      </vt:variant>
      <vt:variant>
        <vt:i4>0</vt:i4>
      </vt:variant>
      <vt:variant>
        <vt:i4>5</vt:i4>
      </vt:variant>
      <vt:variant>
        <vt:lpwstr>http://www.nevo.co.il/case/22656414</vt:lpwstr>
      </vt:variant>
      <vt:variant>
        <vt:lpwstr/>
      </vt:variant>
      <vt:variant>
        <vt:i4>4128894</vt:i4>
      </vt:variant>
      <vt:variant>
        <vt:i4>45</vt:i4>
      </vt:variant>
      <vt:variant>
        <vt:i4>0</vt:i4>
      </vt:variant>
      <vt:variant>
        <vt:i4>5</vt:i4>
      </vt:variant>
      <vt:variant>
        <vt:lpwstr>http://www.nevo.co.il/case/23814812</vt:lpwstr>
      </vt:variant>
      <vt:variant>
        <vt:lpwstr/>
      </vt:variant>
      <vt:variant>
        <vt:i4>3735675</vt:i4>
      </vt:variant>
      <vt:variant>
        <vt:i4>42</vt:i4>
      </vt:variant>
      <vt:variant>
        <vt:i4>0</vt:i4>
      </vt:variant>
      <vt:variant>
        <vt:i4>5</vt:i4>
      </vt:variant>
      <vt:variant>
        <vt:lpwstr>http://www.nevo.co.il/case/23798540</vt:lpwstr>
      </vt:variant>
      <vt:variant>
        <vt:lpwstr/>
      </vt:variant>
      <vt:variant>
        <vt:i4>3211386</vt:i4>
      </vt:variant>
      <vt:variant>
        <vt:i4>39</vt:i4>
      </vt:variant>
      <vt:variant>
        <vt:i4>0</vt:i4>
      </vt:variant>
      <vt:variant>
        <vt:i4>5</vt:i4>
      </vt:variant>
      <vt:variant>
        <vt:lpwstr>http://www.nevo.co.il/case/26294158</vt:lpwstr>
      </vt:variant>
      <vt:variant>
        <vt:lpwstr/>
      </vt:variant>
      <vt:variant>
        <vt:i4>3407989</vt:i4>
      </vt:variant>
      <vt:variant>
        <vt:i4>36</vt:i4>
      </vt:variant>
      <vt:variant>
        <vt:i4>0</vt:i4>
      </vt:variant>
      <vt:variant>
        <vt:i4>5</vt:i4>
      </vt:variant>
      <vt:variant>
        <vt:lpwstr>http://www.nevo.co.il/case/26103748</vt:lpwstr>
      </vt:variant>
      <vt:variant>
        <vt:lpwstr/>
      </vt:variant>
      <vt:variant>
        <vt:i4>3932276</vt:i4>
      </vt:variant>
      <vt:variant>
        <vt:i4>33</vt:i4>
      </vt:variant>
      <vt:variant>
        <vt:i4>0</vt:i4>
      </vt:variant>
      <vt:variant>
        <vt:i4>5</vt:i4>
      </vt:variant>
      <vt:variant>
        <vt:lpwstr>http://www.nevo.co.il/case/25528737</vt:lpwstr>
      </vt:variant>
      <vt:variant>
        <vt:lpwstr/>
      </vt:variant>
      <vt:variant>
        <vt:i4>3407989</vt:i4>
      </vt:variant>
      <vt:variant>
        <vt:i4>30</vt:i4>
      </vt:variant>
      <vt:variant>
        <vt:i4>0</vt:i4>
      </vt:variant>
      <vt:variant>
        <vt:i4>5</vt:i4>
      </vt:variant>
      <vt:variant>
        <vt:lpwstr>http://www.nevo.co.il/case/26103748</vt:lpwstr>
      </vt:variant>
      <vt:variant>
        <vt:lpwstr/>
      </vt:variant>
      <vt:variant>
        <vt:i4>3670139</vt:i4>
      </vt:variant>
      <vt:variant>
        <vt:i4>18</vt:i4>
      </vt:variant>
      <vt:variant>
        <vt:i4>0</vt:i4>
      </vt:variant>
      <vt:variant>
        <vt:i4>5</vt:i4>
      </vt:variant>
      <vt:variant>
        <vt:lpwstr>http://www.nevo.co.il/case/25824863</vt:lpwstr>
      </vt:variant>
      <vt:variant>
        <vt:lpwstr/>
      </vt:variant>
      <vt:variant>
        <vt:i4>3473532</vt:i4>
      </vt:variant>
      <vt:variant>
        <vt:i4>15</vt:i4>
      </vt:variant>
      <vt:variant>
        <vt:i4>0</vt:i4>
      </vt:variant>
      <vt:variant>
        <vt:i4>5</vt:i4>
      </vt:variant>
      <vt:variant>
        <vt:lpwstr>http://www.nevo.co.il/case/6000182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2025-01-19T17:42:00Z</dcterms:created>
  <dcterms:modified xsi:type="dcterms:W3CDTF">2025-01-19T17:42:00Z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17916</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אחמד שלבי</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20210112</vt:lpwstr>
  </property>
  <property fmtid="{D5CDD505-2E9C-101B-9397-08002B2CF9AE}" pid="13" name="TYPE_N_DATE">
    <vt:lpwstr>38020210112</vt:lpwstr>
  </property>
  <property fmtid="{D5CDD505-2E9C-101B-9397-08002B2CF9AE}" pid="14" name="ISABSTRACT">
    <vt:lpwstr>Y</vt:lpwstr>
  </property>
  <property fmtid="{D5CDD505-2E9C-101B-9397-08002B2CF9AE}" pid="15" name="WORDNUMPAGES">
    <vt:lpwstr>13</vt:lpwstr>
  </property>
  <property fmtid="{D5CDD505-2E9C-101B-9397-08002B2CF9AE}" pid="16" name="TYPE_ABS_DATE">
    <vt:lpwstr>380020210112</vt:lpwstr>
  </property>
  <property fmtid="{D5CDD505-2E9C-101B-9397-08002B2CF9AE}" pid="17" name="CASESLISTTMP1">
    <vt:lpwstr>6000182;25824863;26103748:2;25528737;26294158;23798540;23814812;22656414;22228298;25299692;7791493;5580781;6024035;2592575;16913730;16944929;25543800;25063920;7697147;13015506</vt:lpwstr>
  </property>
  <property fmtid="{D5CDD505-2E9C-101B-9397-08002B2CF9AE}" pid="18" name="LAWLISTTMP1">
    <vt:lpwstr>70301/144.a:2</vt:lpwstr>
  </property>
</Properties>
</file>