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DA260B" w:rsidRPr="006F5308" w14:paraId="436ED15F" w14:textId="77777777" w:rsidTr="00E22932">
        <w:trPr>
          <w:trHeight w:hRule="exact" w:val="704"/>
          <w:jc w:val="center"/>
        </w:trPr>
        <w:tc>
          <w:tcPr>
            <w:tcW w:w="8721" w:type="dxa"/>
            <w:gridSpan w:val="2"/>
          </w:tcPr>
          <w:p w14:paraId="7E75D283" w14:textId="77777777" w:rsidR="00DA260B" w:rsidRPr="006F5308" w:rsidRDefault="00DA260B" w:rsidP="00E22932">
            <w:pPr>
              <w:pStyle w:val="a3"/>
              <w:jc w:val="center"/>
              <w:rPr>
                <w:rFonts w:ascii="Tahoma" w:hAnsi="Tahoma" w:cs="Tahoma"/>
                <w:b/>
                <w:bCs/>
                <w:color w:val="000080"/>
                <w:rtl/>
              </w:rPr>
            </w:pPr>
            <w:bookmarkStart w:id="0" w:name="FirstLawyer"/>
            <w:bookmarkStart w:id="1" w:name="LastJudge"/>
            <w:r w:rsidRPr="006F5308">
              <w:rPr>
                <w:rFonts w:ascii="Tahoma" w:hAnsi="Tahoma" w:cs="Tahoma"/>
                <w:b/>
                <w:bCs/>
                <w:color w:val="000080"/>
                <w:rtl/>
              </w:rPr>
              <w:t>בית משפט השלום בבאר שבע</w:t>
            </w:r>
          </w:p>
          <w:p w14:paraId="0919F23D" w14:textId="77777777" w:rsidR="00DA260B" w:rsidRPr="006F5308" w:rsidRDefault="00DA260B" w:rsidP="00E22932">
            <w:pPr>
              <w:pStyle w:val="a3"/>
              <w:jc w:val="center"/>
              <w:rPr>
                <w:rFonts w:ascii="Tahoma" w:hAnsi="Tahoma" w:cs="Tahoma"/>
                <w:color w:val="000080"/>
                <w:rtl/>
              </w:rPr>
            </w:pPr>
          </w:p>
        </w:tc>
      </w:tr>
      <w:tr w:rsidR="00DA260B" w:rsidRPr="006F5308" w14:paraId="7B79A542" w14:textId="77777777" w:rsidTr="00E22932">
        <w:trPr>
          <w:trHeight w:val="337"/>
          <w:jc w:val="center"/>
        </w:trPr>
        <w:tc>
          <w:tcPr>
            <w:tcW w:w="4473" w:type="dxa"/>
          </w:tcPr>
          <w:p w14:paraId="0D6300BB" w14:textId="77777777" w:rsidR="00DA260B" w:rsidRPr="006F5308" w:rsidRDefault="00DA260B" w:rsidP="00E22932">
            <w:pPr>
              <w:rPr>
                <w:b/>
                <w:bCs/>
                <w:sz w:val="26"/>
                <w:szCs w:val="26"/>
                <w:rtl/>
              </w:rPr>
            </w:pPr>
          </w:p>
        </w:tc>
        <w:tc>
          <w:tcPr>
            <w:tcW w:w="4248" w:type="dxa"/>
          </w:tcPr>
          <w:p w14:paraId="2A1FC9E5" w14:textId="77777777" w:rsidR="00DA260B" w:rsidRPr="006F5308" w:rsidRDefault="00DA260B" w:rsidP="00E22932">
            <w:pPr>
              <w:pStyle w:val="a3"/>
              <w:jc w:val="right"/>
              <w:rPr>
                <w:b/>
                <w:bCs/>
                <w:sz w:val="26"/>
                <w:szCs w:val="26"/>
                <w:rtl/>
              </w:rPr>
            </w:pPr>
            <w:r w:rsidRPr="006F5308">
              <w:rPr>
                <w:rFonts w:hint="cs"/>
                <w:b/>
                <w:bCs/>
                <w:sz w:val="26"/>
                <w:szCs w:val="26"/>
                <w:rtl/>
              </w:rPr>
              <w:t>ח' אייר תשפ"א</w:t>
            </w:r>
          </w:p>
          <w:p w14:paraId="2091265E" w14:textId="77777777" w:rsidR="00DA260B" w:rsidRPr="006F5308" w:rsidRDefault="00DA260B" w:rsidP="00E22932">
            <w:pPr>
              <w:pStyle w:val="a3"/>
              <w:jc w:val="right"/>
              <w:rPr>
                <w:b/>
                <w:bCs/>
                <w:sz w:val="26"/>
                <w:szCs w:val="26"/>
                <w:rtl/>
              </w:rPr>
            </w:pPr>
            <w:r w:rsidRPr="006F5308">
              <w:rPr>
                <w:rFonts w:hint="cs"/>
                <w:b/>
                <w:bCs/>
                <w:sz w:val="26"/>
                <w:szCs w:val="26"/>
                <w:rtl/>
              </w:rPr>
              <w:t>20 אפריל 2021</w:t>
            </w:r>
          </w:p>
        </w:tc>
      </w:tr>
      <w:tr w:rsidR="00DA260B" w:rsidRPr="006F5308" w14:paraId="54F3957B" w14:textId="77777777" w:rsidTr="00E22932">
        <w:trPr>
          <w:trHeight w:val="337"/>
          <w:jc w:val="center"/>
        </w:trPr>
        <w:tc>
          <w:tcPr>
            <w:tcW w:w="8721" w:type="dxa"/>
            <w:gridSpan w:val="2"/>
          </w:tcPr>
          <w:p w14:paraId="04C5CF43" w14:textId="77777777" w:rsidR="00DA260B" w:rsidRPr="006F5308" w:rsidRDefault="006F5308" w:rsidP="00E22932">
            <w:pPr>
              <w:rPr>
                <w:b/>
                <w:bCs/>
                <w:sz w:val="26"/>
                <w:szCs w:val="26"/>
                <w:rtl/>
              </w:rPr>
            </w:pPr>
            <w:hyperlink r:id="rId7" w:history="1">
              <w:r w:rsidRPr="006F5308">
                <w:rPr>
                  <w:b/>
                  <w:bCs/>
                  <w:color w:val="0000FF"/>
                  <w:sz w:val="26"/>
                  <w:szCs w:val="26"/>
                  <w:u w:val="single"/>
                  <w:rtl/>
                </w:rPr>
                <w:t>ת"פ 30216-05-19</w:t>
              </w:r>
            </w:hyperlink>
            <w:r w:rsidR="00DA260B" w:rsidRPr="006F5308">
              <w:rPr>
                <w:b/>
                <w:bCs/>
                <w:sz w:val="26"/>
                <w:szCs w:val="26"/>
                <w:rtl/>
              </w:rPr>
              <w:t xml:space="preserve"> מדינת ישראל נ' אבו עאמר</w:t>
            </w:r>
          </w:p>
          <w:p w14:paraId="33AD019A" w14:textId="77777777" w:rsidR="00DA260B" w:rsidRPr="006F5308" w:rsidRDefault="00DA260B" w:rsidP="00E22932">
            <w:pPr>
              <w:rPr>
                <w:rtl/>
              </w:rPr>
            </w:pPr>
          </w:p>
          <w:p w14:paraId="0F2336A2" w14:textId="77777777" w:rsidR="00DA260B" w:rsidRPr="006F5308" w:rsidRDefault="00DA260B" w:rsidP="00E22932">
            <w:pPr>
              <w:rPr>
                <w:rtl/>
              </w:rPr>
            </w:pPr>
            <w:r w:rsidRPr="006F5308">
              <w:rPr>
                <w:rFonts w:hint="cs"/>
                <w:sz w:val="20"/>
                <w:szCs w:val="20"/>
                <w:rtl/>
              </w:rPr>
              <w:t>תיק חיצוני</w:t>
            </w:r>
            <w:r w:rsidRPr="006F5308">
              <w:rPr>
                <w:rFonts w:hint="cs"/>
                <w:rtl/>
              </w:rPr>
              <w:t xml:space="preserve">: </w:t>
            </w:r>
            <w:r w:rsidRPr="006F5308">
              <w:rPr>
                <w:sz w:val="20"/>
                <w:szCs w:val="20"/>
              </w:rPr>
              <w:t>794/2019</w:t>
            </w:r>
          </w:p>
        </w:tc>
      </w:tr>
    </w:tbl>
    <w:p w14:paraId="1FBA651B" w14:textId="77777777" w:rsidR="00DA260B" w:rsidRPr="006F5308" w:rsidRDefault="00DA260B" w:rsidP="00DA260B">
      <w:pPr>
        <w:pStyle w:val="a3"/>
        <w:rPr>
          <w:rtl/>
        </w:rPr>
      </w:pPr>
      <w:r w:rsidRPr="006F5308">
        <w:rPr>
          <w:rtl/>
        </w:rPr>
        <w:t xml:space="preserve"> </w:t>
      </w:r>
    </w:p>
    <w:p w14:paraId="4CC572FB" w14:textId="77777777" w:rsidR="00DA260B" w:rsidRPr="006F5308" w:rsidRDefault="00DA260B" w:rsidP="00DA260B">
      <w:pPr>
        <w:suppressLineNumbers/>
        <w:rPr>
          <w:rtl/>
        </w:rPr>
      </w:pPr>
    </w:p>
    <w:p w14:paraId="4DD8ED89" w14:textId="77777777" w:rsidR="00DA260B" w:rsidRPr="006F5308" w:rsidRDefault="00DA260B" w:rsidP="00DA260B">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DA260B" w:rsidRPr="006F5308" w14:paraId="7799ED37" w14:textId="77777777" w:rsidTr="00DA260B">
        <w:trPr>
          <w:jc w:val="center"/>
        </w:trPr>
        <w:tc>
          <w:tcPr>
            <w:tcW w:w="743" w:type="dxa"/>
            <w:shd w:val="clear" w:color="auto" w:fill="auto"/>
          </w:tcPr>
          <w:p w14:paraId="161D7F42" w14:textId="77777777" w:rsidR="00DA260B" w:rsidRPr="006F5308" w:rsidRDefault="00DA260B" w:rsidP="00DA260B">
            <w:pPr>
              <w:jc w:val="both"/>
              <w:rPr>
                <w:rFonts w:ascii="Arial" w:hAnsi="Arial"/>
                <w:b/>
                <w:bCs/>
              </w:rPr>
            </w:pPr>
            <w:r w:rsidRPr="006F5308">
              <w:rPr>
                <w:rFonts w:ascii="Arial" w:hAnsi="Arial" w:hint="cs"/>
                <w:b/>
                <w:bCs/>
                <w:rtl/>
              </w:rPr>
              <w:t>לפני</w:t>
            </w:r>
          </w:p>
        </w:tc>
        <w:tc>
          <w:tcPr>
            <w:tcW w:w="8077" w:type="dxa"/>
            <w:gridSpan w:val="2"/>
            <w:shd w:val="clear" w:color="auto" w:fill="auto"/>
          </w:tcPr>
          <w:p w14:paraId="04A7BC54" w14:textId="77777777" w:rsidR="00DA260B" w:rsidRPr="006F5308" w:rsidRDefault="00DA260B" w:rsidP="00E22932">
            <w:pPr>
              <w:rPr>
                <w:rFonts w:ascii="Arial" w:hAnsi="Arial"/>
                <w:b/>
                <w:bCs/>
                <w:rtl/>
              </w:rPr>
            </w:pPr>
            <w:r w:rsidRPr="006F5308">
              <w:rPr>
                <w:rFonts w:ascii="Arial" w:hAnsi="Arial" w:hint="cs"/>
                <w:b/>
                <w:bCs/>
                <w:rtl/>
              </w:rPr>
              <w:t>כב' ה</w:t>
            </w:r>
            <w:r w:rsidRPr="006F5308">
              <w:rPr>
                <w:rFonts w:ascii="Arial" w:hAnsi="Arial"/>
                <w:b/>
                <w:bCs/>
                <w:rtl/>
              </w:rPr>
              <w:t>שופט</w:t>
            </w:r>
            <w:r w:rsidRPr="006F5308">
              <w:rPr>
                <w:rFonts w:ascii="Arial" w:hAnsi="Arial" w:hint="cs"/>
                <w:b/>
                <w:bCs/>
                <w:rtl/>
              </w:rPr>
              <w:t xml:space="preserve">  </w:t>
            </w:r>
            <w:r w:rsidRPr="006F5308">
              <w:rPr>
                <w:rFonts w:ascii="Arial" w:hAnsi="Arial"/>
                <w:b/>
                <w:bCs/>
                <w:rtl/>
              </w:rPr>
              <w:t>רון סולקין</w:t>
            </w:r>
          </w:p>
          <w:p w14:paraId="31F0A295" w14:textId="77777777" w:rsidR="00DA260B" w:rsidRPr="006F5308" w:rsidRDefault="00DA260B" w:rsidP="00E22932">
            <w:pPr>
              <w:rPr>
                <w:rFonts w:ascii="Arial" w:hAnsi="Arial" w:cs="FrankRuehl"/>
                <w:sz w:val="28"/>
                <w:szCs w:val="28"/>
                <w:highlight w:val="yellow"/>
              </w:rPr>
            </w:pPr>
          </w:p>
        </w:tc>
      </w:tr>
      <w:tr w:rsidR="00DA260B" w:rsidRPr="006F5308" w14:paraId="24107834" w14:textId="77777777" w:rsidTr="00DA260B">
        <w:trPr>
          <w:jc w:val="center"/>
        </w:trPr>
        <w:tc>
          <w:tcPr>
            <w:tcW w:w="3249" w:type="dxa"/>
            <w:gridSpan w:val="2"/>
            <w:shd w:val="clear" w:color="auto" w:fill="auto"/>
          </w:tcPr>
          <w:p w14:paraId="672E54EF" w14:textId="77777777" w:rsidR="00DA260B" w:rsidRPr="006F5308" w:rsidRDefault="00DA260B" w:rsidP="00DA260B">
            <w:pPr>
              <w:bidi w:val="0"/>
              <w:jc w:val="right"/>
              <w:rPr>
                <w:rFonts w:ascii="Arial" w:hAnsi="Arial"/>
                <w:b/>
                <w:bCs/>
                <w:sz w:val="26"/>
                <w:szCs w:val="26"/>
              </w:rPr>
            </w:pPr>
            <w:bookmarkStart w:id="2" w:name="FirstAppellant"/>
          </w:p>
          <w:p w14:paraId="777D3BB3" w14:textId="77777777" w:rsidR="00DA260B" w:rsidRPr="006F5308" w:rsidRDefault="00DA260B" w:rsidP="00DA260B">
            <w:pPr>
              <w:bidi w:val="0"/>
              <w:jc w:val="right"/>
              <w:rPr>
                <w:rFonts w:ascii="Arial" w:hAnsi="Arial"/>
                <w:b/>
                <w:bCs/>
                <w:sz w:val="26"/>
                <w:szCs w:val="26"/>
                <w:rtl/>
              </w:rPr>
            </w:pPr>
            <w:r w:rsidRPr="006F5308">
              <w:rPr>
                <w:rFonts w:ascii="Arial" w:hAnsi="Arial" w:hint="cs"/>
                <w:b/>
                <w:bCs/>
                <w:sz w:val="26"/>
                <w:szCs w:val="26"/>
                <w:rtl/>
              </w:rPr>
              <w:t>המאשימה</w:t>
            </w:r>
          </w:p>
        </w:tc>
        <w:tc>
          <w:tcPr>
            <w:tcW w:w="5571" w:type="dxa"/>
            <w:shd w:val="clear" w:color="auto" w:fill="auto"/>
          </w:tcPr>
          <w:p w14:paraId="1A682AEE" w14:textId="77777777" w:rsidR="00DA260B" w:rsidRPr="006F5308" w:rsidRDefault="00DA260B" w:rsidP="00E22932">
            <w:pPr>
              <w:rPr>
                <w:rFonts w:ascii="Arial" w:hAnsi="Arial"/>
                <w:b/>
                <w:bCs/>
                <w:sz w:val="26"/>
                <w:szCs w:val="26"/>
                <w:rtl/>
              </w:rPr>
            </w:pPr>
          </w:p>
          <w:p w14:paraId="2943AB54" w14:textId="77777777" w:rsidR="00DA260B" w:rsidRPr="006F5308" w:rsidRDefault="00DA260B" w:rsidP="00E22932">
            <w:pPr>
              <w:rPr>
                <w:b/>
                <w:bCs/>
                <w:sz w:val="26"/>
                <w:szCs w:val="26"/>
              </w:rPr>
            </w:pPr>
            <w:r w:rsidRPr="006F5308">
              <w:rPr>
                <w:rFonts w:ascii="Arial" w:hAnsi="Arial"/>
                <w:b/>
                <w:bCs/>
                <w:sz w:val="26"/>
                <w:szCs w:val="26"/>
                <w:rtl/>
              </w:rPr>
              <w:t>מדינת ישראל</w:t>
            </w:r>
            <w:r w:rsidRPr="006F5308">
              <w:rPr>
                <w:b/>
                <w:bCs/>
                <w:rtl/>
              </w:rPr>
              <w:t xml:space="preserve"> – פמ"</w:t>
            </w:r>
            <w:r w:rsidRPr="006F5308">
              <w:rPr>
                <w:rFonts w:hint="cs"/>
                <w:b/>
                <w:bCs/>
                <w:rtl/>
              </w:rPr>
              <w:t>ד</w:t>
            </w:r>
            <w:r w:rsidRPr="006F5308">
              <w:rPr>
                <w:b/>
                <w:bCs/>
                <w:rtl/>
              </w:rPr>
              <w:br/>
            </w:r>
            <w:r w:rsidRPr="006F5308">
              <w:rPr>
                <w:rFonts w:hint="cs"/>
                <w:b/>
                <w:bCs/>
                <w:rtl/>
              </w:rPr>
              <w:t>ע"י ב"כ מתמחה לימור אהרוני</w:t>
            </w:r>
          </w:p>
        </w:tc>
      </w:tr>
      <w:bookmarkEnd w:id="2"/>
      <w:tr w:rsidR="00DA260B" w:rsidRPr="006F5308" w14:paraId="5C42FFF9" w14:textId="77777777" w:rsidTr="00DA260B">
        <w:trPr>
          <w:jc w:val="center"/>
        </w:trPr>
        <w:tc>
          <w:tcPr>
            <w:tcW w:w="8820" w:type="dxa"/>
            <w:gridSpan w:val="3"/>
            <w:shd w:val="clear" w:color="auto" w:fill="auto"/>
          </w:tcPr>
          <w:p w14:paraId="26E02FB2" w14:textId="77777777" w:rsidR="00DA260B" w:rsidRPr="006F5308" w:rsidRDefault="00DA260B" w:rsidP="00E22932">
            <w:pPr>
              <w:rPr>
                <w:rFonts w:ascii="Arial" w:hAnsi="Arial"/>
                <w:b/>
                <w:bCs/>
                <w:sz w:val="26"/>
                <w:szCs w:val="26"/>
                <w:rtl/>
              </w:rPr>
            </w:pPr>
          </w:p>
          <w:p w14:paraId="01927A1D" w14:textId="77777777" w:rsidR="00DA260B" w:rsidRPr="006F5308" w:rsidRDefault="00DA260B" w:rsidP="00DA260B">
            <w:pPr>
              <w:jc w:val="center"/>
              <w:rPr>
                <w:rFonts w:ascii="Arial" w:hAnsi="Arial"/>
                <w:b/>
                <w:bCs/>
                <w:sz w:val="26"/>
                <w:szCs w:val="26"/>
                <w:rtl/>
              </w:rPr>
            </w:pPr>
            <w:r w:rsidRPr="006F5308">
              <w:rPr>
                <w:rFonts w:ascii="Arial" w:hAnsi="Arial"/>
                <w:b/>
                <w:bCs/>
                <w:sz w:val="26"/>
                <w:szCs w:val="26"/>
                <w:rtl/>
              </w:rPr>
              <w:t>נגד</w:t>
            </w:r>
          </w:p>
          <w:p w14:paraId="6B6351B8" w14:textId="77777777" w:rsidR="00DA260B" w:rsidRPr="006F5308" w:rsidRDefault="00DA260B" w:rsidP="00E22932">
            <w:pPr>
              <w:rPr>
                <w:rFonts w:ascii="Arial" w:hAnsi="Arial"/>
                <w:b/>
                <w:bCs/>
                <w:sz w:val="26"/>
                <w:szCs w:val="26"/>
              </w:rPr>
            </w:pPr>
          </w:p>
        </w:tc>
      </w:tr>
      <w:tr w:rsidR="00DA260B" w:rsidRPr="006F5308" w14:paraId="43EF1C08" w14:textId="77777777" w:rsidTr="00DA260B">
        <w:trPr>
          <w:jc w:val="center"/>
        </w:trPr>
        <w:tc>
          <w:tcPr>
            <w:tcW w:w="3249" w:type="dxa"/>
            <w:gridSpan w:val="2"/>
            <w:shd w:val="clear" w:color="auto" w:fill="auto"/>
          </w:tcPr>
          <w:p w14:paraId="1162C9B4" w14:textId="77777777" w:rsidR="00DA260B" w:rsidRPr="006F5308" w:rsidRDefault="00DA260B" w:rsidP="00E22932">
            <w:pPr>
              <w:rPr>
                <w:rFonts w:ascii="Arial" w:hAnsi="Arial"/>
                <w:b/>
                <w:bCs/>
                <w:sz w:val="26"/>
                <w:szCs w:val="26"/>
                <w:rtl/>
              </w:rPr>
            </w:pPr>
          </w:p>
          <w:p w14:paraId="15E0B47E" w14:textId="77777777" w:rsidR="00DA260B" w:rsidRPr="006F5308" w:rsidRDefault="00DA260B" w:rsidP="00E22932">
            <w:pPr>
              <w:rPr>
                <w:rFonts w:ascii="Arial" w:hAnsi="Arial"/>
                <w:b/>
                <w:bCs/>
                <w:sz w:val="26"/>
                <w:szCs w:val="26"/>
              </w:rPr>
            </w:pPr>
            <w:r w:rsidRPr="006F5308">
              <w:rPr>
                <w:rFonts w:ascii="Arial" w:hAnsi="Arial" w:hint="cs"/>
                <w:b/>
                <w:bCs/>
                <w:sz w:val="26"/>
                <w:szCs w:val="26"/>
                <w:rtl/>
              </w:rPr>
              <w:t>הנאשם</w:t>
            </w:r>
          </w:p>
        </w:tc>
        <w:tc>
          <w:tcPr>
            <w:tcW w:w="5571" w:type="dxa"/>
            <w:shd w:val="clear" w:color="auto" w:fill="auto"/>
          </w:tcPr>
          <w:p w14:paraId="6878FECB" w14:textId="77777777" w:rsidR="00DA260B" w:rsidRPr="006F5308" w:rsidRDefault="00DA260B" w:rsidP="00E22932">
            <w:pPr>
              <w:rPr>
                <w:rFonts w:ascii="Arial" w:hAnsi="Arial"/>
                <w:b/>
                <w:bCs/>
                <w:sz w:val="26"/>
                <w:szCs w:val="26"/>
                <w:rtl/>
              </w:rPr>
            </w:pPr>
          </w:p>
          <w:p w14:paraId="04D3945B" w14:textId="77777777" w:rsidR="00DA260B" w:rsidRPr="006F5308" w:rsidRDefault="00DA260B" w:rsidP="00E22932">
            <w:pPr>
              <w:rPr>
                <w:b/>
                <w:bCs/>
                <w:sz w:val="26"/>
                <w:szCs w:val="26"/>
                <w:rtl/>
              </w:rPr>
            </w:pPr>
            <w:r w:rsidRPr="006F5308">
              <w:rPr>
                <w:rFonts w:ascii="Arial" w:hAnsi="Arial"/>
                <w:b/>
                <w:bCs/>
                <w:sz w:val="26"/>
                <w:szCs w:val="26"/>
                <w:rtl/>
              </w:rPr>
              <w:t xml:space="preserve">נאג'י </w:t>
            </w:r>
            <w:r w:rsidRPr="006F5308">
              <w:rPr>
                <w:rFonts w:ascii="Arial" w:hAnsi="Arial" w:hint="cs"/>
                <w:b/>
                <w:bCs/>
                <w:sz w:val="26"/>
                <w:szCs w:val="26"/>
                <w:rtl/>
              </w:rPr>
              <w:t xml:space="preserve">בן מחמד </w:t>
            </w:r>
            <w:r w:rsidRPr="006F5308">
              <w:rPr>
                <w:rFonts w:ascii="Arial" w:hAnsi="Arial"/>
                <w:b/>
                <w:bCs/>
                <w:sz w:val="26"/>
                <w:szCs w:val="26"/>
                <w:rtl/>
              </w:rPr>
              <w:t>אבו עאמר</w:t>
            </w:r>
            <w:r w:rsidRPr="006F5308">
              <w:rPr>
                <w:rFonts w:ascii="Arial" w:hAnsi="Arial"/>
                <w:b/>
                <w:bCs/>
                <w:sz w:val="26"/>
                <w:szCs w:val="26"/>
                <w:rtl/>
              </w:rPr>
              <w:br/>
            </w:r>
            <w:r w:rsidRPr="006F5308">
              <w:rPr>
                <w:rFonts w:hint="cs"/>
                <w:b/>
                <w:bCs/>
                <w:rtl/>
              </w:rPr>
              <w:t>ע"י ב"כ עו"ד עמית דויטשר</w:t>
            </w:r>
          </w:p>
        </w:tc>
      </w:tr>
    </w:tbl>
    <w:p w14:paraId="471348DB" w14:textId="77777777" w:rsidR="00DA260B" w:rsidRPr="006F5308" w:rsidRDefault="00DA260B" w:rsidP="00DA260B">
      <w:pPr>
        <w:suppressLineNumbers/>
      </w:pPr>
    </w:p>
    <w:p w14:paraId="49DECD41" w14:textId="77777777" w:rsidR="00BE7E38" w:rsidRPr="00BE7E38" w:rsidRDefault="00BE7E38" w:rsidP="00BE7E38">
      <w:pPr>
        <w:suppressLineNumbers/>
        <w:spacing w:before="120" w:after="120" w:line="240" w:lineRule="exact"/>
        <w:ind w:left="283" w:hanging="283"/>
        <w:jc w:val="both"/>
        <w:rPr>
          <w:rFonts w:ascii="FrankRuehl" w:hAnsi="FrankRuehl" w:cs="FrankRuehl"/>
          <w:rtl/>
        </w:rPr>
      </w:pPr>
    </w:p>
    <w:p w14:paraId="03750C56" w14:textId="77777777" w:rsidR="001D00B4" w:rsidRDefault="001D00B4" w:rsidP="001D00B4">
      <w:pPr>
        <w:suppressLineNumbers/>
        <w:rPr>
          <w:rtl/>
        </w:rPr>
      </w:pPr>
      <w:bookmarkStart w:id="3" w:name="LawTable"/>
      <w:bookmarkEnd w:id="3"/>
    </w:p>
    <w:p w14:paraId="3C66EAED" w14:textId="77777777" w:rsidR="001D00B4" w:rsidRPr="001D00B4" w:rsidRDefault="001D00B4" w:rsidP="001D00B4">
      <w:pPr>
        <w:suppressLineNumbers/>
        <w:spacing w:before="120" w:after="120" w:line="240" w:lineRule="exact"/>
        <w:ind w:left="283" w:hanging="283"/>
        <w:jc w:val="both"/>
        <w:rPr>
          <w:rFonts w:ascii="FrankRuehl" w:hAnsi="FrankRuehl" w:cs="FrankRuehl"/>
          <w:rtl/>
        </w:rPr>
      </w:pPr>
    </w:p>
    <w:p w14:paraId="534F5BF7" w14:textId="77777777" w:rsidR="001D00B4" w:rsidRPr="001D00B4" w:rsidRDefault="001D00B4" w:rsidP="001D00B4">
      <w:pPr>
        <w:suppressLineNumbers/>
        <w:spacing w:before="120" w:after="120" w:line="240" w:lineRule="exact"/>
        <w:ind w:left="283" w:hanging="283"/>
        <w:jc w:val="both"/>
        <w:rPr>
          <w:rFonts w:ascii="FrankRuehl" w:hAnsi="FrankRuehl" w:cs="FrankRuehl"/>
          <w:rtl/>
        </w:rPr>
      </w:pPr>
    </w:p>
    <w:p w14:paraId="2687F2B7" w14:textId="77777777" w:rsidR="001D00B4" w:rsidRPr="001D00B4" w:rsidRDefault="001D00B4" w:rsidP="001D00B4">
      <w:pPr>
        <w:suppressLineNumbers/>
        <w:spacing w:before="120" w:after="120" w:line="240" w:lineRule="exact"/>
        <w:ind w:left="283" w:hanging="283"/>
        <w:jc w:val="both"/>
        <w:rPr>
          <w:rFonts w:ascii="FrankRuehl" w:hAnsi="FrankRuehl" w:cs="FrankRuehl"/>
          <w:rtl/>
        </w:rPr>
      </w:pPr>
      <w:r w:rsidRPr="001D00B4">
        <w:rPr>
          <w:rFonts w:ascii="FrankRuehl" w:hAnsi="FrankRuehl" w:cs="FrankRuehl"/>
          <w:rtl/>
        </w:rPr>
        <w:t xml:space="preserve">חקיקה שאוזכרה: </w:t>
      </w:r>
    </w:p>
    <w:p w14:paraId="4877241B" w14:textId="77777777" w:rsidR="001D00B4" w:rsidRPr="001D00B4" w:rsidRDefault="001D00B4" w:rsidP="001D00B4">
      <w:pPr>
        <w:suppressLineNumbers/>
        <w:spacing w:before="120" w:after="120" w:line="240" w:lineRule="exact"/>
        <w:ind w:left="283" w:hanging="283"/>
        <w:jc w:val="both"/>
        <w:rPr>
          <w:rFonts w:ascii="FrankRuehl" w:hAnsi="FrankRuehl" w:cs="FrankRuehl"/>
          <w:rtl/>
        </w:rPr>
      </w:pPr>
      <w:hyperlink r:id="rId8" w:history="1">
        <w:r w:rsidRPr="001D00B4">
          <w:rPr>
            <w:rFonts w:ascii="FrankRuehl" w:hAnsi="FrankRuehl" w:cs="FrankRuehl"/>
            <w:color w:val="0000FF"/>
            <w:rtl/>
          </w:rPr>
          <w:t>חוק העונשין, תשל"ז-1977</w:t>
        </w:r>
      </w:hyperlink>
      <w:r w:rsidRPr="001D00B4">
        <w:rPr>
          <w:rFonts w:ascii="FrankRuehl" w:hAnsi="FrankRuehl" w:cs="FrankRuehl"/>
          <w:rtl/>
        </w:rPr>
        <w:t xml:space="preserve">: סע'  </w:t>
      </w:r>
      <w:hyperlink r:id="rId9" w:history="1">
        <w:r w:rsidRPr="001D00B4">
          <w:rPr>
            <w:rFonts w:ascii="FrankRuehl" w:hAnsi="FrankRuehl" w:cs="FrankRuehl"/>
            <w:color w:val="0000FF"/>
            <w:rtl/>
          </w:rPr>
          <w:t>144</w:t>
        </w:r>
      </w:hyperlink>
      <w:r w:rsidRPr="001D00B4">
        <w:rPr>
          <w:rFonts w:ascii="FrankRuehl" w:hAnsi="FrankRuehl" w:cs="FrankRuehl"/>
          <w:rtl/>
        </w:rPr>
        <w:t xml:space="preserve">, </w:t>
      </w:r>
      <w:hyperlink r:id="rId10" w:history="1">
        <w:r w:rsidRPr="001D00B4">
          <w:rPr>
            <w:rFonts w:ascii="FrankRuehl" w:hAnsi="FrankRuehl" w:cs="FrankRuehl"/>
            <w:color w:val="0000FF"/>
            <w:rtl/>
          </w:rPr>
          <w:t>144(א)</w:t>
        </w:r>
      </w:hyperlink>
      <w:r w:rsidRPr="001D00B4">
        <w:rPr>
          <w:rFonts w:ascii="FrankRuehl" w:hAnsi="FrankRuehl" w:cs="FrankRuehl"/>
          <w:rtl/>
        </w:rPr>
        <w:t xml:space="preserve">, </w:t>
      </w:r>
      <w:hyperlink r:id="rId11" w:history="1">
        <w:r w:rsidRPr="001D00B4">
          <w:rPr>
            <w:rFonts w:ascii="FrankRuehl" w:hAnsi="FrankRuehl" w:cs="FrankRuehl"/>
            <w:color w:val="0000FF"/>
            <w:rtl/>
          </w:rPr>
          <w:t>186</w:t>
        </w:r>
      </w:hyperlink>
    </w:p>
    <w:p w14:paraId="1DB1008B" w14:textId="77777777" w:rsidR="001D00B4" w:rsidRPr="001D00B4" w:rsidRDefault="001D00B4" w:rsidP="001D00B4">
      <w:pPr>
        <w:suppressLineNumbers/>
        <w:rPr>
          <w:rtl/>
        </w:rPr>
      </w:pPr>
      <w:bookmarkStart w:id="4" w:name="LawTable_End"/>
      <w:bookmarkEnd w:id="4"/>
    </w:p>
    <w:p w14:paraId="2A6E9B15" w14:textId="77777777" w:rsidR="00DA260B" w:rsidRPr="00BE7E38" w:rsidRDefault="00DA260B" w:rsidP="00BE7E38">
      <w:pPr>
        <w:suppressLineNumbers/>
      </w:pPr>
    </w:p>
    <w:tbl>
      <w:tblPr>
        <w:bidiVisual/>
        <w:tblW w:w="8820" w:type="dxa"/>
        <w:jc w:val="center"/>
        <w:tblLook w:val="01E0" w:firstRow="1" w:lastRow="1" w:firstColumn="1" w:lastColumn="1" w:noHBand="0" w:noVBand="0"/>
      </w:tblPr>
      <w:tblGrid>
        <w:gridCol w:w="8820"/>
      </w:tblGrid>
      <w:tr w:rsidR="00DA260B" w14:paraId="0BCF4F2C" w14:textId="77777777" w:rsidTr="00DA260B">
        <w:trPr>
          <w:jc w:val="center"/>
        </w:trPr>
        <w:tc>
          <w:tcPr>
            <w:tcW w:w="8820" w:type="dxa"/>
            <w:shd w:val="clear" w:color="auto" w:fill="auto"/>
          </w:tcPr>
          <w:p w14:paraId="70402C26" w14:textId="77777777" w:rsidR="006F5308" w:rsidRPr="006F5308" w:rsidRDefault="006F5308" w:rsidP="006F5308">
            <w:pPr>
              <w:bidi w:val="0"/>
              <w:jc w:val="center"/>
              <w:rPr>
                <w:rFonts w:ascii="Arial" w:hAnsi="Arial"/>
                <w:b/>
                <w:bCs/>
                <w:sz w:val="28"/>
                <w:szCs w:val="28"/>
                <w:u w:val="single"/>
              </w:rPr>
            </w:pPr>
            <w:bookmarkStart w:id="5" w:name="PsakDin" w:colFirst="0" w:colLast="0"/>
            <w:bookmarkEnd w:id="0"/>
            <w:bookmarkEnd w:id="1"/>
            <w:r w:rsidRPr="006F5308">
              <w:rPr>
                <w:rFonts w:ascii="Arial" w:hAnsi="Arial"/>
                <w:b/>
                <w:bCs/>
                <w:sz w:val="28"/>
                <w:szCs w:val="28"/>
                <w:u w:val="single"/>
                <w:rtl/>
              </w:rPr>
              <w:t>גזר דין</w:t>
            </w:r>
          </w:p>
          <w:p w14:paraId="68EA9E7F" w14:textId="77777777" w:rsidR="00DA260B" w:rsidRPr="006F5308" w:rsidRDefault="00DA260B" w:rsidP="006F5308">
            <w:pPr>
              <w:bidi w:val="0"/>
              <w:jc w:val="center"/>
              <w:rPr>
                <w:rFonts w:ascii="Arial" w:hAnsi="Arial"/>
                <w:b/>
                <w:bCs/>
                <w:sz w:val="28"/>
                <w:szCs w:val="28"/>
                <w:u w:val="single"/>
              </w:rPr>
            </w:pPr>
          </w:p>
        </w:tc>
      </w:tr>
      <w:bookmarkEnd w:id="5"/>
    </w:tbl>
    <w:p w14:paraId="2B1D0714" w14:textId="77777777" w:rsidR="00DA260B" w:rsidRDefault="00DA260B" w:rsidP="00DA260B">
      <w:pPr>
        <w:spacing w:line="360" w:lineRule="auto"/>
        <w:jc w:val="both"/>
        <w:rPr>
          <w:rFonts w:ascii="Arial" w:hAnsi="Arial"/>
          <w:rtl/>
        </w:rPr>
      </w:pPr>
    </w:p>
    <w:p w14:paraId="13A557AB" w14:textId="77777777" w:rsidR="00DA260B" w:rsidRDefault="00DA260B" w:rsidP="00DA260B">
      <w:pPr>
        <w:spacing w:line="360" w:lineRule="auto"/>
        <w:jc w:val="both"/>
        <w:rPr>
          <w:rFonts w:ascii="Arial" w:hAnsi="Arial"/>
          <w:rtl/>
        </w:rPr>
      </w:pPr>
    </w:p>
    <w:p w14:paraId="492106F3" w14:textId="77777777" w:rsidR="00DA260B" w:rsidRDefault="00DA260B" w:rsidP="00DA260B">
      <w:pPr>
        <w:spacing w:line="360" w:lineRule="auto"/>
        <w:jc w:val="both"/>
        <w:rPr>
          <w:rFonts w:ascii="Arial" w:hAnsi="Arial"/>
          <w:rtl/>
        </w:rPr>
      </w:pPr>
      <w:r>
        <w:rPr>
          <w:rFonts w:ascii="Arial" w:hAnsi="Arial" w:hint="cs"/>
          <w:b/>
          <w:bCs/>
          <w:rtl/>
        </w:rPr>
        <w:t>כתב האישום והשתלשלות הדיון</w:t>
      </w:r>
    </w:p>
    <w:p w14:paraId="13146B3A" w14:textId="77777777" w:rsidR="00DA260B" w:rsidRDefault="00DA260B" w:rsidP="00DA260B">
      <w:pPr>
        <w:spacing w:line="360" w:lineRule="auto"/>
        <w:jc w:val="both"/>
        <w:rPr>
          <w:rFonts w:ascii="Arial" w:hAnsi="Arial"/>
          <w:rtl/>
        </w:rPr>
      </w:pPr>
    </w:p>
    <w:p w14:paraId="11624679" w14:textId="77777777" w:rsidR="00DA260B" w:rsidRDefault="00DA260B" w:rsidP="00DA260B">
      <w:pPr>
        <w:spacing w:line="360" w:lineRule="auto"/>
        <w:jc w:val="both"/>
        <w:rPr>
          <w:rFonts w:ascii="Arial" w:hAnsi="Arial"/>
          <w:rtl/>
        </w:rPr>
      </w:pPr>
      <w:bookmarkStart w:id="6" w:name="ABSTRACT_START"/>
      <w:bookmarkEnd w:id="6"/>
      <w:r>
        <w:rPr>
          <w:rFonts w:ascii="Arial" w:hAnsi="Arial" w:hint="cs"/>
          <w:rtl/>
        </w:rPr>
        <w:t xml:space="preserve">הנאשם שלפני נותן את הדין בגין </w:t>
      </w:r>
      <w:r>
        <w:rPr>
          <w:rFonts w:ascii="Arial" w:hAnsi="Arial"/>
          <w:rtl/>
        </w:rPr>
        <w:t xml:space="preserve">עבירה של החזקת נשק חם ותחמושת שלא כדין, בניגוד </w:t>
      </w:r>
      <w:hyperlink r:id="rId12" w:history="1">
        <w:r w:rsidR="00153039" w:rsidRPr="00153039">
          <w:rPr>
            <w:rStyle w:val="Hyperlink"/>
            <w:rFonts w:ascii="Arial" w:hAnsi="Arial"/>
            <w:rtl/>
          </w:rPr>
          <w:t>לסעיף 144(א)</w:t>
        </w:r>
      </w:hyperlink>
      <w:r>
        <w:rPr>
          <w:rFonts w:ascii="Arial" w:hAnsi="Arial"/>
          <w:rtl/>
        </w:rPr>
        <w:t xml:space="preserve"> </w:t>
      </w:r>
      <w:r>
        <w:rPr>
          <w:rFonts w:ascii="Arial" w:hAnsi="Arial" w:hint="cs"/>
          <w:rtl/>
        </w:rPr>
        <w:t xml:space="preserve">רישא וסיפא </w:t>
      </w:r>
      <w:r>
        <w:rPr>
          <w:rFonts w:ascii="Arial" w:hAnsi="Arial"/>
          <w:rtl/>
        </w:rPr>
        <w:t>ל</w:t>
      </w:r>
      <w:hyperlink r:id="rId13" w:history="1">
        <w:r w:rsidR="006F5308" w:rsidRPr="006F5308">
          <w:rPr>
            <w:rFonts w:ascii="Arial" w:hAnsi="Arial"/>
            <w:color w:val="0000FF"/>
            <w:u w:val="single"/>
            <w:rtl/>
          </w:rPr>
          <w:t>חוק העונשין</w:t>
        </w:r>
      </w:hyperlink>
      <w:r>
        <w:rPr>
          <w:rFonts w:ascii="Arial" w:hAnsi="Arial"/>
          <w:rtl/>
        </w:rPr>
        <w:t>, תשל"ז – 1977.</w:t>
      </w:r>
    </w:p>
    <w:p w14:paraId="02363E7E" w14:textId="77777777" w:rsidR="00DA260B" w:rsidRDefault="00DA260B" w:rsidP="00DA260B">
      <w:pPr>
        <w:spacing w:line="360" w:lineRule="auto"/>
        <w:jc w:val="both"/>
        <w:rPr>
          <w:rFonts w:ascii="Arial" w:hAnsi="Arial"/>
          <w:rtl/>
        </w:rPr>
      </w:pPr>
      <w:bookmarkStart w:id="7" w:name="ABSTRACT_END"/>
      <w:bookmarkEnd w:id="7"/>
    </w:p>
    <w:p w14:paraId="76081387" w14:textId="77777777" w:rsidR="00DA260B" w:rsidRDefault="00DA260B" w:rsidP="00DA260B">
      <w:pPr>
        <w:spacing w:line="360" w:lineRule="auto"/>
        <w:jc w:val="both"/>
        <w:rPr>
          <w:rFonts w:ascii="Arial" w:hAnsi="Arial"/>
          <w:rtl/>
        </w:rPr>
      </w:pPr>
      <w:r>
        <w:rPr>
          <w:rFonts w:ascii="Arial" w:hAnsi="Arial" w:hint="cs"/>
          <w:rtl/>
        </w:rPr>
        <w:lastRenderedPageBreak/>
        <w:t>בהתאם לעובדות כתב האישום, החל ממועד שאינו ידוע למאשימה, החזיק הנאשם ברשותו תת מקלע מאולתר המכונה "קרלו" (להלן: "הנשק") וכן, החזיק במעל 30 כדורים לנשק (להלן: "התחמושת").</w:t>
      </w:r>
    </w:p>
    <w:p w14:paraId="2EE2253F" w14:textId="77777777" w:rsidR="00DA260B" w:rsidRDefault="00DA260B" w:rsidP="00DA260B">
      <w:pPr>
        <w:spacing w:line="360" w:lineRule="auto"/>
        <w:jc w:val="both"/>
        <w:rPr>
          <w:rFonts w:ascii="Arial" w:hAnsi="Arial"/>
          <w:rtl/>
        </w:rPr>
      </w:pPr>
    </w:p>
    <w:p w14:paraId="34BBAE64" w14:textId="77777777" w:rsidR="00DA260B" w:rsidRDefault="00DA260B" w:rsidP="00DA260B">
      <w:pPr>
        <w:spacing w:line="360" w:lineRule="auto"/>
        <w:jc w:val="both"/>
        <w:rPr>
          <w:rFonts w:ascii="Arial" w:hAnsi="Arial"/>
          <w:rtl/>
        </w:rPr>
      </w:pPr>
      <w:r>
        <w:rPr>
          <w:rFonts w:ascii="Arial" w:hAnsi="Arial" w:hint="cs"/>
          <w:rtl/>
        </w:rPr>
        <w:t>ביום 04.02.19, סמוך לשעה 20:30, סר הנאשם לתחנת המשטרה בצומת שוקת, ומסר את הנשק והתחמושת למשטרה.</w:t>
      </w:r>
    </w:p>
    <w:p w14:paraId="1F1DF744" w14:textId="77777777" w:rsidR="00DA260B" w:rsidRDefault="00DA260B" w:rsidP="00DA260B">
      <w:pPr>
        <w:spacing w:line="360" w:lineRule="auto"/>
        <w:jc w:val="both"/>
        <w:rPr>
          <w:rFonts w:ascii="Arial" w:hAnsi="Arial"/>
          <w:rtl/>
        </w:rPr>
      </w:pPr>
    </w:p>
    <w:p w14:paraId="5BA3A360" w14:textId="77777777" w:rsidR="00DA260B" w:rsidRDefault="00DA260B" w:rsidP="00DA260B">
      <w:pPr>
        <w:spacing w:line="360" w:lineRule="auto"/>
        <w:jc w:val="both"/>
        <w:rPr>
          <w:rFonts w:ascii="Arial" w:hAnsi="Arial"/>
          <w:rtl/>
        </w:rPr>
      </w:pPr>
      <w:r>
        <w:rPr>
          <w:rFonts w:ascii="Arial" w:hAnsi="Arial" w:hint="cs"/>
          <w:rtl/>
        </w:rPr>
        <w:t>הנאשם הודה בכתב האישום כפי שהוא, שלא במסגרת הסדר טיעון, והופנה להערכת שירות המבחן למבוגרים.</w:t>
      </w:r>
    </w:p>
    <w:p w14:paraId="2FBF7224" w14:textId="77777777" w:rsidR="00DA260B" w:rsidRDefault="00DA260B" w:rsidP="00DA260B">
      <w:pPr>
        <w:spacing w:line="360" w:lineRule="auto"/>
        <w:jc w:val="both"/>
        <w:rPr>
          <w:rFonts w:ascii="Arial" w:hAnsi="Arial"/>
          <w:rtl/>
        </w:rPr>
      </w:pPr>
    </w:p>
    <w:p w14:paraId="5E8AA7DE" w14:textId="77777777" w:rsidR="00DA260B" w:rsidRDefault="00DA260B" w:rsidP="00DA260B">
      <w:pPr>
        <w:spacing w:line="360" w:lineRule="auto"/>
        <w:jc w:val="both"/>
        <w:rPr>
          <w:rFonts w:ascii="Arial" w:hAnsi="Arial"/>
          <w:rtl/>
        </w:rPr>
      </w:pPr>
      <w:r>
        <w:rPr>
          <w:rFonts w:ascii="Arial" w:hAnsi="Arial" w:hint="cs"/>
          <w:rtl/>
        </w:rPr>
        <w:t xml:space="preserve">לאחר קבלת המידע מגורמי ההערכה, טענו הצדדים לעונש, ומכאן </w:t>
      </w:r>
      <w:r>
        <w:rPr>
          <w:rFonts w:ascii="Arial" w:hAnsi="Arial"/>
          <w:rtl/>
        </w:rPr>
        <w:t>–</w:t>
      </w:r>
      <w:r>
        <w:rPr>
          <w:rFonts w:ascii="Arial" w:hAnsi="Arial" w:hint="cs"/>
          <w:rtl/>
        </w:rPr>
        <w:t xml:space="preserve"> גזר דין זה.</w:t>
      </w:r>
    </w:p>
    <w:p w14:paraId="0856D2DB" w14:textId="77777777" w:rsidR="00DA260B" w:rsidRDefault="00DA260B" w:rsidP="00DA260B">
      <w:pPr>
        <w:spacing w:line="360" w:lineRule="auto"/>
        <w:jc w:val="both"/>
        <w:rPr>
          <w:rFonts w:ascii="Arial" w:hAnsi="Arial"/>
          <w:rtl/>
        </w:rPr>
      </w:pPr>
    </w:p>
    <w:p w14:paraId="05E3E1EC" w14:textId="77777777" w:rsidR="00DA260B" w:rsidRDefault="00DA260B" w:rsidP="00DA260B">
      <w:pPr>
        <w:spacing w:line="360" w:lineRule="auto"/>
        <w:jc w:val="both"/>
        <w:rPr>
          <w:rFonts w:ascii="Arial" w:hAnsi="Arial"/>
          <w:rtl/>
        </w:rPr>
      </w:pPr>
    </w:p>
    <w:p w14:paraId="125EBD5B" w14:textId="77777777" w:rsidR="00DA260B" w:rsidRDefault="00DA260B" w:rsidP="00DA260B">
      <w:pPr>
        <w:spacing w:line="360" w:lineRule="auto"/>
        <w:jc w:val="both"/>
        <w:rPr>
          <w:rFonts w:ascii="Arial" w:hAnsi="Arial"/>
          <w:rtl/>
        </w:rPr>
      </w:pPr>
      <w:r>
        <w:rPr>
          <w:rFonts w:ascii="Arial" w:hAnsi="Arial" w:hint="cs"/>
          <w:b/>
          <w:bCs/>
          <w:rtl/>
        </w:rPr>
        <w:t>ראיות לעונש</w:t>
      </w:r>
    </w:p>
    <w:p w14:paraId="5792FC63" w14:textId="77777777" w:rsidR="00DA260B" w:rsidRDefault="00DA260B" w:rsidP="00DA260B">
      <w:pPr>
        <w:spacing w:line="360" w:lineRule="auto"/>
        <w:jc w:val="both"/>
        <w:rPr>
          <w:rFonts w:ascii="Arial" w:hAnsi="Arial"/>
          <w:rtl/>
        </w:rPr>
      </w:pPr>
    </w:p>
    <w:p w14:paraId="3CE941E0" w14:textId="77777777" w:rsidR="00DA260B" w:rsidRDefault="00DA260B" w:rsidP="00DA260B">
      <w:pPr>
        <w:spacing w:line="360" w:lineRule="auto"/>
        <w:jc w:val="both"/>
        <w:rPr>
          <w:rFonts w:ascii="Arial" w:hAnsi="Arial"/>
          <w:rtl/>
        </w:rPr>
      </w:pPr>
      <w:r>
        <w:rPr>
          <w:rFonts w:ascii="Arial" w:hAnsi="Arial" w:hint="cs"/>
          <w:u w:val="single"/>
          <w:rtl/>
        </w:rPr>
        <w:t>התביעה</w:t>
      </w:r>
      <w:r>
        <w:rPr>
          <w:rFonts w:ascii="Arial" w:hAnsi="Arial" w:hint="cs"/>
          <w:rtl/>
        </w:rPr>
        <w:t xml:space="preserve"> לא הגישה ראיות לענין העונש.</w:t>
      </w:r>
    </w:p>
    <w:p w14:paraId="5B90F508" w14:textId="77777777" w:rsidR="00DA260B" w:rsidRDefault="00DA260B" w:rsidP="00DA260B">
      <w:pPr>
        <w:spacing w:line="360" w:lineRule="auto"/>
        <w:jc w:val="both"/>
        <w:rPr>
          <w:rFonts w:ascii="Arial" w:hAnsi="Arial"/>
          <w:rtl/>
        </w:rPr>
      </w:pPr>
    </w:p>
    <w:p w14:paraId="631518C2" w14:textId="77777777" w:rsidR="00DA260B" w:rsidRDefault="00DA260B" w:rsidP="00DA260B">
      <w:pPr>
        <w:spacing w:line="360" w:lineRule="auto"/>
        <w:jc w:val="both"/>
        <w:rPr>
          <w:rFonts w:ascii="Arial" w:hAnsi="Arial"/>
          <w:rtl/>
        </w:rPr>
      </w:pPr>
      <w:r>
        <w:rPr>
          <w:rFonts w:ascii="Arial" w:hAnsi="Arial" w:hint="cs"/>
          <w:u w:val="single"/>
          <w:rtl/>
        </w:rPr>
        <w:t>ההגנה</w:t>
      </w:r>
      <w:r>
        <w:rPr>
          <w:rFonts w:ascii="Arial" w:hAnsi="Arial" w:hint="cs"/>
          <w:rtl/>
        </w:rPr>
        <w:t xml:space="preserve"> הגישה אסופת כתבות והודעות לעיתונות, שענינן מבצעים שונים, בהם התאפשרה, במהלך השנים, החזרת נשק וציוד צבאי, באופן אנונימי, ומבלי פתיחה בהליכים פליליים (נ/1).</w:t>
      </w:r>
    </w:p>
    <w:p w14:paraId="3B63B70C" w14:textId="77777777" w:rsidR="00DA260B" w:rsidRDefault="00DA260B" w:rsidP="00DA260B">
      <w:pPr>
        <w:spacing w:line="360" w:lineRule="auto"/>
        <w:jc w:val="both"/>
        <w:rPr>
          <w:rFonts w:ascii="Arial" w:hAnsi="Arial"/>
          <w:rtl/>
        </w:rPr>
      </w:pPr>
    </w:p>
    <w:p w14:paraId="7B7228C3" w14:textId="77777777" w:rsidR="00DA260B" w:rsidRDefault="00DA260B" w:rsidP="00DA260B">
      <w:pPr>
        <w:spacing w:line="360" w:lineRule="auto"/>
        <w:jc w:val="both"/>
        <w:rPr>
          <w:rFonts w:ascii="Arial" w:hAnsi="Arial"/>
          <w:rtl/>
        </w:rPr>
      </w:pPr>
    </w:p>
    <w:p w14:paraId="6592C623" w14:textId="77777777" w:rsidR="00DA260B" w:rsidRDefault="00DA260B" w:rsidP="00DA260B">
      <w:pPr>
        <w:spacing w:line="360" w:lineRule="auto"/>
        <w:jc w:val="both"/>
        <w:rPr>
          <w:rFonts w:ascii="Arial" w:hAnsi="Arial"/>
          <w:rtl/>
        </w:rPr>
      </w:pPr>
      <w:r>
        <w:rPr>
          <w:rFonts w:ascii="Arial" w:hAnsi="Arial" w:hint="cs"/>
          <w:b/>
          <w:bCs/>
          <w:rtl/>
        </w:rPr>
        <w:t>הערכת שירות המבחן למבוגרים</w:t>
      </w:r>
    </w:p>
    <w:p w14:paraId="4AC80BF3" w14:textId="77777777" w:rsidR="00DA260B" w:rsidRDefault="00DA260B" w:rsidP="00DA260B">
      <w:pPr>
        <w:spacing w:line="360" w:lineRule="auto"/>
        <w:jc w:val="both"/>
        <w:rPr>
          <w:rFonts w:ascii="Arial" w:hAnsi="Arial"/>
          <w:rtl/>
        </w:rPr>
      </w:pPr>
    </w:p>
    <w:p w14:paraId="777F3DF1" w14:textId="77777777" w:rsidR="00DA260B" w:rsidRDefault="00DA260B" w:rsidP="00DA260B">
      <w:pPr>
        <w:spacing w:line="360" w:lineRule="auto"/>
        <w:jc w:val="both"/>
        <w:rPr>
          <w:rFonts w:ascii="Arial" w:hAnsi="Arial"/>
          <w:rtl/>
        </w:rPr>
      </w:pPr>
      <w:r>
        <w:rPr>
          <w:rFonts w:ascii="Arial" w:hAnsi="Arial" w:hint="cs"/>
          <w:rtl/>
        </w:rPr>
        <w:t>בענינו של הנאשם הוגש תסקיר המפרט את נסיבותיו האישיות, כבן 22, רווק, ללא ילדים, מתגורר בלקיה עם הוריו ואחיו, אינו עובד מאז מעצרו.</w:t>
      </w:r>
    </w:p>
    <w:p w14:paraId="6778507E" w14:textId="77777777" w:rsidR="00DA260B" w:rsidRDefault="00DA260B" w:rsidP="00DA260B">
      <w:pPr>
        <w:spacing w:line="360" w:lineRule="auto"/>
        <w:jc w:val="both"/>
        <w:rPr>
          <w:rFonts w:ascii="Arial" w:hAnsi="Arial"/>
          <w:rtl/>
        </w:rPr>
      </w:pPr>
    </w:p>
    <w:p w14:paraId="0DB4DB0D" w14:textId="77777777" w:rsidR="00DA260B" w:rsidRDefault="00DA260B" w:rsidP="00DA260B">
      <w:pPr>
        <w:spacing w:line="360" w:lineRule="auto"/>
        <w:jc w:val="both"/>
        <w:rPr>
          <w:rFonts w:ascii="Arial" w:hAnsi="Arial"/>
          <w:rtl/>
        </w:rPr>
      </w:pPr>
      <w:r>
        <w:rPr>
          <w:rFonts w:ascii="Arial" w:hAnsi="Arial" w:hint="cs"/>
          <w:rtl/>
        </w:rPr>
        <w:t>משפחת מוצאו של הנאשם פוליגמית. מאמו - שמונה ילדים בגילאים 5 - 22, כאשר הנאשם הוא הבכור. אביו של הנאשם נשא אישה שניה, ממנה נולדו עוד עשרה ילדים.</w:t>
      </w:r>
    </w:p>
    <w:p w14:paraId="6E443D10" w14:textId="77777777" w:rsidR="00DA260B" w:rsidRDefault="00DA260B" w:rsidP="00DA260B">
      <w:pPr>
        <w:spacing w:line="360" w:lineRule="auto"/>
        <w:jc w:val="both"/>
        <w:rPr>
          <w:rFonts w:ascii="Arial" w:hAnsi="Arial"/>
          <w:rtl/>
        </w:rPr>
      </w:pPr>
    </w:p>
    <w:p w14:paraId="4AE7899F" w14:textId="77777777" w:rsidR="00DA260B" w:rsidRDefault="00DA260B" w:rsidP="00DA260B">
      <w:pPr>
        <w:spacing w:line="360" w:lineRule="auto"/>
        <w:jc w:val="both"/>
        <w:rPr>
          <w:rFonts w:ascii="Arial" w:hAnsi="Arial"/>
          <w:rtl/>
        </w:rPr>
      </w:pPr>
      <w:r>
        <w:rPr>
          <w:rFonts w:ascii="Arial" w:hAnsi="Arial" w:hint="cs"/>
          <w:rtl/>
        </w:rPr>
        <w:t>הנאשם לא סיים לימודי החובה ולא זכה לתעודת בגרות.</w:t>
      </w:r>
    </w:p>
    <w:p w14:paraId="2F976783" w14:textId="77777777" w:rsidR="00DA260B" w:rsidRDefault="00DA260B" w:rsidP="00DA260B">
      <w:pPr>
        <w:spacing w:line="360" w:lineRule="auto"/>
        <w:jc w:val="both"/>
        <w:rPr>
          <w:rFonts w:ascii="Arial" w:hAnsi="Arial"/>
          <w:rtl/>
        </w:rPr>
      </w:pPr>
    </w:p>
    <w:p w14:paraId="5E6AE2C1" w14:textId="77777777" w:rsidR="00DA260B" w:rsidRDefault="00DA260B" w:rsidP="00DA260B">
      <w:pPr>
        <w:spacing w:line="360" w:lineRule="auto"/>
        <w:jc w:val="both"/>
        <w:rPr>
          <w:rFonts w:ascii="Arial" w:hAnsi="Arial"/>
          <w:rtl/>
        </w:rPr>
      </w:pPr>
      <w:r>
        <w:rPr>
          <w:rFonts w:ascii="Arial" w:hAnsi="Arial" w:hint="cs"/>
          <w:rtl/>
        </w:rPr>
        <w:t>משפחת הנאשם מסוכסכת עם משפחה אחרת בלקיה, על רקע טענות לזכויות במקרקעין, ובמסגרת סכסוך זה, שני אנשים כבר קיפחו חייהם.</w:t>
      </w:r>
    </w:p>
    <w:p w14:paraId="458A01F8" w14:textId="77777777" w:rsidR="00DA260B" w:rsidRDefault="00DA260B" w:rsidP="00DA260B">
      <w:pPr>
        <w:spacing w:line="360" w:lineRule="auto"/>
        <w:jc w:val="both"/>
        <w:rPr>
          <w:rFonts w:ascii="Arial" w:hAnsi="Arial"/>
          <w:rtl/>
        </w:rPr>
      </w:pPr>
    </w:p>
    <w:p w14:paraId="5A7A6A99" w14:textId="77777777" w:rsidR="00DA260B" w:rsidRDefault="00DA260B" w:rsidP="00DA260B">
      <w:pPr>
        <w:spacing w:line="360" w:lineRule="auto"/>
        <w:jc w:val="both"/>
        <w:rPr>
          <w:rFonts w:ascii="Arial" w:hAnsi="Arial"/>
          <w:rtl/>
        </w:rPr>
      </w:pPr>
      <w:r>
        <w:rPr>
          <w:rFonts w:ascii="Arial" w:hAnsi="Arial" w:hint="cs"/>
          <w:rtl/>
        </w:rPr>
        <w:lastRenderedPageBreak/>
        <w:t>ביחס לעבירה הנוכחית, הודה הנאשם בביצועה. לדבריו, באותה העת, עבד אצל קבלן בעבודות בניה, ומצא שקית ובתוכה הנשק. לדבריו, לא נטל מיד את הנשק, אלא החביא אותו וחזר לביתו. מאוחר יותר באותו היום, חזר למקום ונטל את השקית עם הנשק. הנאשם שם את הנשק בתוך תיק והחביאו בגינה בביתו במשך שלושה ימים. לאחר מכן, פנה הנאשם למשטרה ומסר להם את הנשק.</w:t>
      </w:r>
    </w:p>
    <w:p w14:paraId="255851D1" w14:textId="77777777" w:rsidR="00DA260B" w:rsidRDefault="00DA260B" w:rsidP="00DA260B">
      <w:pPr>
        <w:spacing w:line="360" w:lineRule="auto"/>
        <w:jc w:val="both"/>
        <w:rPr>
          <w:rFonts w:ascii="Arial" w:hAnsi="Arial"/>
          <w:rtl/>
        </w:rPr>
      </w:pPr>
    </w:p>
    <w:p w14:paraId="4847776C" w14:textId="77777777" w:rsidR="00DA260B" w:rsidRDefault="00DA260B" w:rsidP="00DA260B">
      <w:pPr>
        <w:spacing w:line="360" w:lineRule="auto"/>
        <w:jc w:val="both"/>
        <w:rPr>
          <w:rFonts w:ascii="Arial" w:hAnsi="Arial"/>
          <w:rtl/>
        </w:rPr>
      </w:pPr>
      <w:r>
        <w:rPr>
          <w:rFonts w:ascii="Arial" w:hAnsi="Arial" w:hint="cs"/>
          <w:rtl/>
        </w:rPr>
        <w:t>הנאשם שיתף, כי לא שת לבו להשלכות של החזקת הנשק בביתו, ופחד למסור הנשק למשטרה קודם לכן, מחשש שיועמד לדין.</w:t>
      </w:r>
    </w:p>
    <w:p w14:paraId="78BD426C" w14:textId="77777777" w:rsidR="00DA260B" w:rsidRDefault="00DA260B" w:rsidP="00DA260B">
      <w:pPr>
        <w:spacing w:line="360" w:lineRule="auto"/>
        <w:jc w:val="both"/>
        <w:rPr>
          <w:rFonts w:ascii="Arial" w:hAnsi="Arial"/>
          <w:rtl/>
        </w:rPr>
      </w:pPr>
    </w:p>
    <w:p w14:paraId="0FAA216C" w14:textId="77777777" w:rsidR="00DA260B" w:rsidRDefault="00DA260B" w:rsidP="00DA260B">
      <w:pPr>
        <w:spacing w:line="360" w:lineRule="auto"/>
        <w:jc w:val="both"/>
        <w:rPr>
          <w:rFonts w:ascii="Arial" w:hAnsi="Arial"/>
          <w:rtl/>
        </w:rPr>
      </w:pPr>
      <w:r>
        <w:rPr>
          <w:rFonts w:ascii="Arial" w:hAnsi="Arial" w:hint="cs"/>
          <w:rtl/>
        </w:rPr>
        <w:t>שירות המבחן למבוגרים התרשם, כי הנאשם אינו בעל דפוסים עברייניים, והוא פעל בהיעדר שיקול דעת, על רקע גילו הצעיר.</w:t>
      </w:r>
    </w:p>
    <w:p w14:paraId="0CD0ED33" w14:textId="77777777" w:rsidR="00DA260B" w:rsidRDefault="00DA260B" w:rsidP="00DA260B">
      <w:pPr>
        <w:spacing w:line="360" w:lineRule="auto"/>
        <w:jc w:val="both"/>
        <w:rPr>
          <w:rFonts w:ascii="Arial" w:hAnsi="Arial"/>
          <w:rtl/>
        </w:rPr>
      </w:pPr>
    </w:p>
    <w:p w14:paraId="46288383" w14:textId="77777777" w:rsidR="00DA260B" w:rsidRDefault="00DA260B" w:rsidP="00DA260B">
      <w:pPr>
        <w:spacing w:line="360" w:lineRule="auto"/>
        <w:jc w:val="both"/>
        <w:rPr>
          <w:rFonts w:ascii="Arial" w:hAnsi="Arial"/>
          <w:rtl/>
        </w:rPr>
      </w:pPr>
      <w:r>
        <w:rPr>
          <w:rFonts w:ascii="Arial" w:hAnsi="Arial" w:hint="cs"/>
          <w:rtl/>
        </w:rPr>
        <w:t>שירות המבחן העריך, שהנשק הוחזק על רקע הסכסוך בין המשפחות, וזאת למרות הגרסה, שמסר הנאשם. סכסוך זה עודנו פעיל ובשל כך קיימת מסוכנות לעתיד.</w:t>
      </w:r>
    </w:p>
    <w:p w14:paraId="1B4A0518" w14:textId="77777777" w:rsidR="00DA260B" w:rsidRDefault="00DA260B" w:rsidP="00DA260B">
      <w:pPr>
        <w:spacing w:line="360" w:lineRule="auto"/>
        <w:jc w:val="both"/>
        <w:rPr>
          <w:rFonts w:ascii="Arial" w:hAnsi="Arial"/>
          <w:rtl/>
        </w:rPr>
      </w:pPr>
    </w:p>
    <w:p w14:paraId="01B22EA8" w14:textId="77777777" w:rsidR="00DA260B" w:rsidRDefault="00DA260B" w:rsidP="00DA260B">
      <w:pPr>
        <w:spacing w:line="360" w:lineRule="auto"/>
        <w:jc w:val="both"/>
        <w:rPr>
          <w:rFonts w:ascii="Arial" w:hAnsi="Arial"/>
          <w:rtl/>
        </w:rPr>
      </w:pPr>
      <w:r>
        <w:rPr>
          <w:rFonts w:ascii="Arial" w:hAnsi="Arial" w:hint="cs"/>
          <w:rtl/>
        </w:rPr>
        <w:t>הנאשם לא הביע מוטיבציה להליך טיפולי ולכן לא ניתנה המלצה שיקומית.</w:t>
      </w:r>
    </w:p>
    <w:p w14:paraId="2BB49AB4" w14:textId="77777777" w:rsidR="00DA260B" w:rsidRDefault="00DA260B" w:rsidP="00DA260B">
      <w:pPr>
        <w:spacing w:line="360" w:lineRule="auto"/>
        <w:jc w:val="both"/>
        <w:rPr>
          <w:rFonts w:ascii="Arial" w:hAnsi="Arial"/>
          <w:rtl/>
        </w:rPr>
      </w:pPr>
    </w:p>
    <w:p w14:paraId="4A9FC3A8" w14:textId="77777777" w:rsidR="00DA260B" w:rsidRDefault="00DA260B" w:rsidP="00DA260B">
      <w:pPr>
        <w:spacing w:line="360" w:lineRule="auto"/>
        <w:jc w:val="both"/>
        <w:rPr>
          <w:rFonts w:ascii="Arial" w:hAnsi="Arial"/>
          <w:rtl/>
        </w:rPr>
      </w:pPr>
      <w:r>
        <w:rPr>
          <w:rFonts w:ascii="Arial" w:hAnsi="Arial" w:hint="cs"/>
          <w:rtl/>
        </w:rPr>
        <w:t xml:space="preserve">שירות המבחן המליץ על ענישה מוחשית ומרתיעה, בדמות מאסר בפועל, לריצוי בדרך של עבודות שירות. </w:t>
      </w:r>
    </w:p>
    <w:p w14:paraId="6E21F3D2" w14:textId="77777777" w:rsidR="00DA260B" w:rsidRDefault="00DA260B" w:rsidP="00DA260B">
      <w:pPr>
        <w:spacing w:line="360" w:lineRule="auto"/>
        <w:jc w:val="both"/>
        <w:rPr>
          <w:rFonts w:ascii="Arial" w:hAnsi="Arial"/>
          <w:rtl/>
        </w:rPr>
      </w:pPr>
    </w:p>
    <w:p w14:paraId="2793BFCB" w14:textId="77777777" w:rsidR="00DA260B" w:rsidRDefault="00DA260B" w:rsidP="00DA260B">
      <w:pPr>
        <w:spacing w:line="360" w:lineRule="auto"/>
        <w:jc w:val="both"/>
        <w:rPr>
          <w:rFonts w:ascii="Arial" w:hAnsi="Arial"/>
          <w:rtl/>
        </w:rPr>
      </w:pPr>
    </w:p>
    <w:p w14:paraId="6A319600" w14:textId="77777777" w:rsidR="00DA260B" w:rsidRDefault="00DA260B" w:rsidP="00DA260B">
      <w:pPr>
        <w:spacing w:line="360" w:lineRule="auto"/>
        <w:jc w:val="both"/>
        <w:rPr>
          <w:rFonts w:ascii="Arial" w:hAnsi="Arial"/>
          <w:rtl/>
        </w:rPr>
      </w:pPr>
      <w:r>
        <w:rPr>
          <w:rFonts w:ascii="Arial" w:hAnsi="Arial" w:hint="cs"/>
          <w:b/>
          <w:bCs/>
          <w:rtl/>
        </w:rPr>
        <w:t>טענות הצדדים</w:t>
      </w:r>
    </w:p>
    <w:p w14:paraId="0B54743E" w14:textId="77777777" w:rsidR="00DA260B" w:rsidRDefault="00DA260B" w:rsidP="00DA260B">
      <w:pPr>
        <w:spacing w:line="360" w:lineRule="auto"/>
        <w:jc w:val="both"/>
        <w:rPr>
          <w:rFonts w:ascii="Arial" w:hAnsi="Arial"/>
          <w:rtl/>
        </w:rPr>
      </w:pPr>
    </w:p>
    <w:p w14:paraId="41FC13C3" w14:textId="77777777" w:rsidR="00DA260B" w:rsidRDefault="00DA260B" w:rsidP="00DA260B">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טיעוניה בכתב (ת/2) והשלימה אותן על פה.</w:t>
      </w:r>
    </w:p>
    <w:p w14:paraId="7E8F043E" w14:textId="77777777" w:rsidR="00DA260B" w:rsidRDefault="00DA260B" w:rsidP="00DA260B">
      <w:pPr>
        <w:spacing w:line="360" w:lineRule="auto"/>
        <w:jc w:val="both"/>
        <w:rPr>
          <w:rFonts w:ascii="Arial" w:hAnsi="Arial"/>
          <w:rtl/>
        </w:rPr>
      </w:pPr>
    </w:p>
    <w:p w14:paraId="4FA2A7A6" w14:textId="77777777" w:rsidR="00DA260B" w:rsidRDefault="00DA260B" w:rsidP="00DA260B">
      <w:pPr>
        <w:spacing w:line="360" w:lineRule="auto"/>
        <w:jc w:val="both"/>
        <w:rPr>
          <w:rFonts w:ascii="Arial" w:hAnsi="Arial"/>
          <w:rtl/>
        </w:rPr>
      </w:pPr>
      <w:r w:rsidRPr="00AB6F97">
        <w:rPr>
          <w:rFonts w:ascii="Arial" w:hAnsi="Arial"/>
          <w:rtl/>
        </w:rPr>
        <w:t>התביעה הדגישה הערכים המוגנים שנפגעו – הגנה על שלום הציבור ובטחונו; שמירת תחושת ביטחון היחיד והרבים; שמירה על שלטון החוק והסדר הציבורי; שמירה על גופו וחייו של האדם.</w:t>
      </w:r>
    </w:p>
    <w:p w14:paraId="2E065F27" w14:textId="77777777" w:rsidR="00DA260B" w:rsidRDefault="00DA260B" w:rsidP="00DA260B">
      <w:pPr>
        <w:spacing w:line="360" w:lineRule="auto"/>
        <w:jc w:val="both"/>
        <w:rPr>
          <w:rFonts w:ascii="Arial" w:hAnsi="Arial"/>
          <w:rtl/>
        </w:rPr>
      </w:pPr>
    </w:p>
    <w:p w14:paraId="457D1876" w14:textId="77777777" w:rsidR="00DA260B" w:rsidRPr="007454DA" w:rsidRDefault="00DA260B" w:rsidP="00DA260B">
      <w:pPr>
        <w:spacing w:line="360" w:lineRule="auto"/>
        <w:jc w:val="both"/>
        <w:rPr>
          <w:rFonts w:ascii="Arial" w:hAnsi="Arial"/>
        </w:rPr>
      </w:pPr>
      <w:r w:rsidRPr="007454DA">
        <w:rPr>
          <w:rFonts w:ascii="Arial" w:hAnsi="Arial"/>
          <w:rtl/>
        </w:rPr>
        <w:t xml:space="preserve">התביעה הפנתה גם לנסיבות החזקת הנשק והתחמושת – אשר </w:t>
      </w:r>
      <w:r>
        <w:rPr>
          <w:rFonts w:ascii="Arial" w:hAnsi="Arial" w:hint="cs"/>
          <w:rtl/>
        </w:rPr>
        <w:t>הוסלקו בחצר</w:t>
      </w:r>
      <w:r>
        <w:rPr>
          <w:rFonts w:ascii="Arial" w:hAnsi="Arial"/>
          <w:rtl/>
        </w:rPr>
        <w:t xml:space="preserve"> </w:t>
      </w:r>
      <w:r w:rsidRPr="007454DA">
        <w:rPr>
          <w:rFonts w:ascii="Arial" w:hAnsi="Arial"/>
          <w:rtl/>
        </w:rPr>
        <w:t xml:space="preserve">בית מגורים, בו </w:t>
      </w:r>
      <w:r>
        <w:rPr>
          <w:rFonts w:ascii="Arial" w:hAnsi="Arial" w:hint="cs"/>
          <w:rtl/>
        </w:rPr>
        <w:t>מתגוררת משפחה ובה גם קטינים</w:t>
      </w:r>
      <w:r w:rsidRPr="007454DA">
        <w:rPr>
          <w:rFonts w:ascii="Arial" w:hAnsi="Arial"/>
          <w:rtl/>
        </w:rPr>
        <w:t>.</w:t>
      </w:r>
    </w:p>
    <w:p w14:paraId="6B2030AB" w14:textId="77777777" w:rsidR="00DA260B" w:rsidRPr="00AB6F97" w:rsidRDefault="00DA260B" w:rsidP="00DA260B">
      <w:pPr>
        <w:spacing w:line="360" w:lineRule="auto"/>
        <w:jc w:val="both"/>
        <w:rPr>
          <w:rFonts w:ascii="Arial" w:hAnsi="Arial"/>
          <w:rtl/>
        </w:rPr>
      </w:pPr>
    </w:p>
    <w:p w14:paraId="4CF80D1A" w14:textId="77777777" w:rsidR="00DA260B" w:rsidRDefault="00DA260B" w:rsidP="00DA260B">
      <w:pPr>
        <w:spacing w:line="360" w:lineRule="auto"/>
        <w:jc w:val="both"/>
        <w:rPr>
          <w:rFonts w:ascii="Arial" w:hAnsi="Arial"/>
          <w:rtl/>
        </w:rPr>
      </w:pPr>
      <w:r w:rsidRPr="00AB6F97">
        <w:rPr>
          <w:rFonts w:ascii="Arial" w:hAnsi="Arial"/>
          <w:rtl/>
        </w:rPr>
        <w:t>התביעה הדגישה את פוטנציאל הסיכון הנובע מהחזקת נשק חם ותחמושת, שלא כדין, אשר עלול למצוא דרכו לפעילות עבריינית או בטחונית.</w:t>
      </w:r>
    </w:p>
    <w:p w14:paraId="631B7762" w14:textId="77777777" w:rsidR="00DA260B" w:rsidRDefault="00DA260B" w:rsidP="00DA260B">
      <w:pPr>
        <w:spacing w:line="360" w:lineRule="auto"/>
        <w:jc w:val="both"/>
        <w:rPr>
          <w:rFonts w:ascii="Arial" w:hAnsi="Arial"/>
          <w:rtl/>
        </w:rPr>
      </w:pPr>
    </w:p>
    <w:p w14:paraId="2FBFDBBF" w14:textId="77777777" w:rsidR="00DA260B" w:rsidRDefault="00DA260B" w:rsidP="00DA260B">
      <w:pPr>
        <w:spacing w:line="360" w:lineRule="auto"/>
        <w:jc w:val="both"/>
        <w:rPr>
          <w:rFonts w:ascii="Arial" w:hAnsi="Arial"/>
          <w:rtl/>
        </w:rPr>
      </w:pPr>
      <w:r w:rsidRPr="00AB6F97">
        <w:rPr>
          <w:rFonts w:ascii="Arial" w:hAnsi="Arial"/>
          <w:rtl/>
        </w:rPr>
        <w:t xml:space="preserve">התביעה הפנתה גם לטיב כלי הנשק – תת מקלע </w:t>
      </w:r>
      <w:r>
        <w:rPr>
          <w:rFonts w:ascii="Arial" w:hAnsi="Arial" w:hint="cs"/>
          <w:rtl/>
        </w:rPr>
        <w:t>מאולתר</w:t>
      </w:r>
      <w:r w:rsidRPr="00AB6F97">
        <w:rPr>
          <w:rFonts w:ascii="Arial" w:hAnsi="Arial"/>
          <w:rtl/>
        </w:rPr>
        <w:t>, נשק אוטומטי המאופיין בקצב אש גבוה, דיוק נמוך ונזק גדול. כן, הנאשם החז</w:t>
      </w:r>
      <w:r>
        <w:rPr>
          <w:rFonts w:ascii="Arial" w:hAnsi="Arial"/>
          <w:rtl/>
        </w:rPr>
        <w:t xml:space="preserve">יק לצד הנשק, גם </w:t>
      </w:r>
      <w:r>
        <w:rPr>
          <w:rFonts w:ascii="Arial" w:hAnsi="Arial" w:hint="cs"/>
          <w:rtl/>
        </w:rPr>
        <w:t>3</w:t>
      </w:r>
      <w:r>
        <w:rPr>
          <w:rFonts w:ascii="Arial" w:hAnsi="Arial"/>
          <w:rtl/>
        </w:rPr>
        <w:t>0 קליעי תחמושת</w:t>
      </w:r>
      <w:r>
        <w:rPr>
          <w:rFonts w:ascii="Arial" w:hAnsi="Arial" w:hint="cs"/>
          <w:rtl/>
        </w:rPr>
        <w:t>.</w:t>
      </w:r>
    </w:p>
    <w:p w14:paraId="6E5DEC80" w14:textId="77777777" w:rsidR="00DA260B" w:rsidRDefault="00DA260B" w:rsidP="00DA260B">
      <w:pPr>
        <w:spacing w:line="360" w:lineRule="auto"/>
        <w:jc w:val="both"/>
        <w:rPr>
          <w:rFonts w:ascii="Arial" w:hAnsi="Arial"/>
          <w:rtl/>
        </w:rPr>
      </w:pPr>
    </w:p>
    <w:p w14:paraId="2446DA98" w14:textId="77777777" w:rsidR="00DA260B" w:rsidRDefault="00DA260B" w:rsidP="00DA260B">
      <w:pPr>
        <w:spacing w:line="360" w:lineRule="auto"/>
        <w:jc w:val="both"/>
        <w:rPr>
          <w:rFonts w:ascii="Arial" w:hAnsi="Arial"/>
          <w:rtl/>
        </w:rPr>
      </w:pPr>
      <w:r>
        <w:rPr>
          <w:rFonts w:ascii="Arial" w:hAnsi="Arial" w:hint="cs"/>
          <w:rtl/>
        </w:rPr>
        <w:t xml:space="preserve">התביעה טענה, כי מתחם העונש ההולם בעבירות מסוג זה הינו 30 </w:t>
      </w:r>
      <w:r>
        <w:rPr>
          <w:rFonts w:ascii="Arial" w:hAnsi="Arial"/>
          <w:rtl/>
        </w:rPr>
        <w:t>–</w:t>
      </w:r>
      <w:r>
        <w:rPr>
          <w:rFonts w:ascii="Arial" w:hAnsi="Arial" w:hint="cs"/>
          <w:rtl/>
        </w:rPr>
        <w:t xml:space="preserve"> 54 חודשי מאסר בפועל, אולם, בשל המאפיינים המיוחדים בתיק זה, שעיקרם הוא מסירת הנשק למשטרה על ידי הנאשם, ביוזמתו, והאיזון של חומרת העבירה אל מול הצורך ליתן עידוד להעברת כלי נשק לרשויות, עתרה התביעה למתחם ענישה מיוחד, הנע בין 6 ל-18 חודשי מאסר בפועל.</w:t>
      </w:r>
    </w:p>
    <w:p w14:paraId="4D3CC8DE" w14:textId="77777777" w:rsidR="00DA260B" w:rsidRDefault="00DA260B" w:rsidP="00DA260B">
      <w:pPr>
        <w:spacing w:line="360" w:lineRule="auto"/>
        <w:jc w:val="both"/>
        <w:rPr>
          <w:rFonts w:ascii="Arial" w:hAnsi="Arial"/>
          <w:rtl/>
        </w:rPr>
      </w:pPr>
    </w:p>
    <w:p w14:paraId="2FF2C9B6" w14:textId="77777777" w:rsidR="00DA260B" w:rsidRDefault="00DA260B" w:rsidP="00DA260B">
      <w:pPr>
        <w:spacing w:line="360" w:lineRule="auto"/>
        <w:jc w:val="both"/>
        <w:rPr>
          <w:rFonts w:ascii="Arial" w:hAnsi="Arial"/>
          <w:rtl/>
        </w:rPr>
      </w:pPr>
      <w:r>
        <w:rPr>
          <w:rFonts w:ascii="Arial" w:hAnsi="Arial" w:hint="cs"/>
          <w:rtl/>
        </w:rPr>
        <w:t>התביעה ביקשה למקם עונשו של הנאשם ברף הנמוך של המתחם, לצד מאסר על תנאי; קנס; חילוט הנשק והתחמושת.</w:t>
      </w:r>
    </w:p>
    <w:p w14:paraId="10311586" w14:textId="77777777" w:rsidR="00DA260B" w:rsidRDefault="00DA260B" w:rsidP="00DA260B">
      <w:pPr>
        <w:spacing w:line="360" w:lineRule="auto"/>
        <w:jc w:val="both"/>
        <w:rPr>
          <w:rFonts w:ascii="Arial" w:hAnsi="Arial"/>
          <w:rtl/>
        </w:rPr>
      </w:pPr>
    </w:p>
    <w:p w14:paraId="46137751" w14:textId="77777777" w:rsidR="00DA260B" w:rsidRDefault="00DA260B" w:rsidP="00DA260B">
      <w:pPr>
        <w:spacing w:line="360" w:lineRule="auto"/>
        <w:jc w:val="both"/>
        <w:rPr>
          <w:rFonts w:ascii="Arial" w:hAnsi="Arial"/>
          <w:rtl/>
        </w:rPr>
      </w:pPr>
    </w:p>
    <w:p w14:paraId="73D53CC2" w14:textId="77777777" w:rsidR="00DA260B" w:rsidRDefault="00DA260B" w:rsidP="00DA260B">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כי אלמלא פנה הנאשם מיוזמתו למשטרה, כלל לא היו יודעים על החזקת הנשק, כיוון שלא היה בידי המשטרה מידע מוקדם על החזקת נשק בידי הנאשם.</w:t>
      </w:r>
    </w:p>
    <w:p w14:paraId="5688D29D" w14:textId="77777777" w:rsidR="00DA260B" w:rsidRDefault="00DA260B" w:rsidP="00DA260B">
      <w:pPr>
        <w:spacing w:line="360" w:lineRule="auto"/>
        <w:jc w:val="both"/>
        <w:rPr>
          <w:rFonts w:ascii="Arial" w:hAnsi="Arial"/>
          <w:rtl/>
        </w:rPr>
      </w:pPr>
    </w:p>
    <w:p w14:paraId="5A04BFDA" w14:textId="77777777" w:rsidR="00DA260B" w:rsidRDefault="00DA260B" w:rsidP="00DA260B">
      <w:pPr>
        <w:spacing w:line="360" w:lineRule="auto"/>
        <w:jc w:val="both"/>
        <w:rPr>
          <w:rFonts w:ascii="Arial" w:hAnsi="Arial"/>
          <w:rtl/>
        </w:rPr>
      </w:pPr>
      <w:r>
        <w:rPr>
          <w:rFonts w:ascii="Arial" w:hAnsi="Arial" w:hint="cs"/>
          <w:rtl/>
        </w:rPr>
        <w:t>לטענת התביעה, מלמד מתחם הענישה אליו עתרה התביעה במקרה דנן, כי גם היא מייחסת משקל משמעותי לעובדה זו.</w:t>
      </w:r>
    </w:p>
    <w:p w14:paraId="034100D7" w14:textId="77777777" w:rsidR="00DA260B" w:rsidRDefault="00DA260B" w:rsidP="00DA260B">
      <w:pPr>
        <w:spacing w:line="360" w:lineRule="auto"/>
        <w:jc w:val="both"/>
        <w:rPr>
          <w:rFonts w:ascii="Arial" w:hAnsi="Arial"/>
          <w:rtl/>
        </w:rPr>
      </w:pPr>
    </w:p>
    <w:p w14:paraId="6FC9E822" w14:textId="77777777" w:rsidR="00DA260B" w:rsidRDefault="00DA260B" w:rsidP="00DA260B">
      <w:pPr>
        <w:spacing w:line="360" w:lineRule="auto"/>
        <w:jc w:val="both"/>
        <w:rPr>
          <w:rFonts w:ascii="Arial" w:hAnsi="Arial"/>
          <w:rtl/>
        </w:rPr>
      </w:pPr>
      <w:r>
        <w:rPr>
          <w:rFonts w:ascii="Arial" w:hAnsi="Arial" w:hint="cs"/>
          <w:rtl/>
        </w:rPr>
        <w:t>ההגנה עתרה למתחם ענישה הנע בין מאסר על תנאי ועד 9 חודשי מאסר לריצוי בדרך של עבודות שירות.</w:t>
      </w:r>
    </w:p>
    <w:p w14:paraId="2FDB4AC1" w14:textId="77777777" w:rsidR="00DA260B" w:rsidRDefault="00DA260B" w:rsidP="00DA260B">
      <w:pPr>
        <w:spacing w:line="360" w:lineRule="auto"/>
        <w:jc w:val="both"/>
        <w:rPr>
          <w:rFonts w:ascii="Arial" w:hAnsi="Arial"/>
          <w:rtl/>
        </w:rPr>
      </w:pPr>
    </w:p>
    <w:p w14:paraId="0ACF95F9" w14:textId="77777777" w:rsidR="00DA260B" w:rsidRDefault="00DA260B" w:rsidP="00DA260B">
      <w:pPr>
        <w:spacing w:line="360" w:lineRule="auto"/>
        <w:jc w:val="both"/>
        <w:rPr>
          <w:rFonts w:ascii="Arial" w:hAnsi="Arial"/>
          <w:rtl/>
        </w:rPr>
      </w:pPr>
      <w:r>
        <w:rPr>
          <w:rFonts w:ascii="Arial" w:hAnsi="Arial" w:hint="cs"/>
          <w:rtl/>
        </w:rPr>
        <w:t xml:space="preserve">ההגנה טענה, כי המתחם אליו עותרת התביעה, חוטא בהשגת המטרה </w:t>
      </w:r>
      <w:r>
        <w:rPr>
          <w:rFonts w:ascii="Arial" w:hAnsi="Arial"/>
          <w:rtl/>
        </w:rPr>
        <w:t>–</w:t>
      </w:r>
      <w:r>
        <w:rPr>
          <w:rFonts w:ascii="Arial" w:hAnsi="Arial" w:hint="cs"/>
          <w:rtl/>
        </w:rPr>
        <w:t xml:space="preserve"> לעודד אנשים להחזיר נשק.</w:t>
      </w:r>
    </w:p>
    <w:p w14:paraId="58B92C59" w14:textId="77777777" w:rsidR="00DA260B" w:rsidRDefault="00DA260B" w:rsidP="00DA260B">
      <w:pPr>
        <w:spacing w:line="360" w:lineRule="auto"/>
        <w:jc w:val="both"/>
        <w:rPr>
          <w:rFonts w:ascii="Arial" w:hAnsi="Arial"/>
          <w:rtl/>
        </w:rPr>
      </w:pPr>
    </w:p>
    <w:p w14:paraId="52E749B1" w14:textId="77777777" w:rsidR="00DA260B" w:rsidRDefault="00DA260B" w:rsidP="00DA260B">
      <w:pPr>
        <w:spacing w:line="360" w:lineRule="auto"/>
        <w:jc w:val="both"/>
        <w:rPr>
          <w:rFonts w:ascii="Arial" w:hAnsi="Arial"/>
          <w:rtl/>
        </w:rPr>
      </w:pPr>
      <w:r>
        <w:rPr>
          <w:rFonts w:ascii="Arial" w:hAnsi="Arial" w:hint="cs"/>
          <w:rtl/>
        </w:rPr>
        <w:t>לתימוכין בטענה זו, טענה ההגנה, כי מעת לעת מתקיים מבצע החזרת נשקים ללא העמדה לדין כלל (צורפו אסמכתאות נ/1), ויש לעודד החזרת הנשקים גם מבלי להמתין למבצע כזה.</w:t>
      </w:r>
    </w:p>
    <w:p w14:paraId="0E02F2B5" w14:textId="77777777" w:rsidR="00DA260B" w:rsidRDefault="00DA260B" w:rsidP="00DA260B">
      <w:pPr>
        <w:spacing w:line="360" w:lineRule="auto"/>
        <w:jc w:val="both"/>
        <w:rPr>
          <w:rFonts w:ascii="Arial" w:hAnsi="Arial"/>
          <w:rtl/>
        </w:rPr>
      </w:pPr>
    </w:p>
    <w:p w14:paraId="2225B058" w14:textId="77777777" w:rsidR="00DA260B" w:rsidRDefault="00DA260B" w:rsidP="00DA260B">
      <w:pPr>
        <w:spacing w:line="360" w:lineRule="auto"/>
        <w:jc w:val="both"/>
        <w:rPr>
          <w:rFonts w:ascii="Arial" w:hAnsi="Arial"/>
          <w:rtl/>
        </w:rPr>
      </w:pPr>
      <w:r>
        <w:rPr>
          <w:rFonts w:ascii="Arial" w:hAnsi="Arial" w:hint="cs"/>
          <w:rtl/>
        </w:rPr>
        <w:t>לטענת ההגנה, מבצעים אלו מלמדים על כך שהמדינה יכולה לשאת, מבחינת האינטרס הציבורי, החזרת נשק ללא העמדה לדין.</w:t>
      </w:r>
    </w:p>
    <w:p w14:paraId="1AEAE85A" w14:textId="77777777" w:rsidR="00DA260B" w:rsidRDefault="00DA260B" w:rsidP="00DA260B">
      <w:pPr>
        <w:spacing w:line="360" w:lineRule="auto"/>
        <w:jc w:val="both"/>
        <w:rPr>
          <w:rFonts w:ascii="Arial" w:hAnsi="Arial"/>
          <w:rtl/>
        </w:rPr>
      </w:pPr>
    </w:p>
    <w:p w14:paraId="40E08A01" w14:textId="77777777" w:rsidR="00DA260B" w:rsidRDefault="00DA260B" w:rsidP="00DA260B">
      <w:pPr>
        <w:spacing w:line="360" w:lineRule="auto"/>
        <w:jc w:val="both"/>
        <w:rPr>
          <w:rFonts w:ascii="Arial" w:hAnsi="Arial"/>
          <w:rtl/>
        </w:rPr>
      </w:pPr>
      <w:r>
        <w:rPr>
          <w:rFonts w:ascii="Arial" w:hAnsi="Arial" w:hint="cs"/>
          <w:rtl/>
        </w:rPr>
        <w:t>ההגנה טענה, שעצם העמדת הנאשם לדין, מהווה נקיטת יד קשה כלפיו, להבדיל מהמבצעים בהם מחזירי הנשק נהנים מאי העמדה לדין כלל.</w:t>
      </w:r>
    </w:p>
    <w:p w14:paraId="011B22E1" w14:textId="77777777" w:rsidR="00DA260B" w:rsidRDefault="00DA260B" w:rsidP="00DA260B">
      <w:pPr>
        <w:spacing w:line="360" w:lineRule="auto"/>
        <w:jc w:val="both"/>
        <w:rPr>
          <w:rFonts w:ascii="Arial" w:hAnsi="Arial"/>
          <w:rtl/>
        </w:rPr>
      </w:pPr>
    </w:p>
    <w:p w14:paraId="0915D567" w14:textId="77777777" w:rsidR="00DA260B" w:rsidRDefault="00DA260B" w:rsidP="00DA260B">
      <w:pPr>
        <w:spacing w:line="360" w:lineRule="auto"/>
        <w:jc w:val="both"/>
        <w:rPr>
          <w:rFonts w:ascii="Arial" w:hAnsi="Arial"/>
          <w:rtl/>
        </w:rPr>
      </w:pPr>
      <w:r>
        <w:rPr>
          <w:rFonts w:ascii="Arial" w:hAnsi="Arial" w:hint="cs"/>
          <w:rtl/>
        </w:rPr>
        <w:t>ההגנה עתרה למקם עונשו של הנאשם בתחתית המתחם (לשיטתה), כלומר להסתפק בעונש צופה פני עתיד.</w:t>
      </w:r>
    </w:p>
    <w:p w14:paraId="25A884B9" w14:textId="77777777" w:rsidR="00DA260B" w:rsidRDefault="00DA260B" w:rsidP="00DA260B">
      <w:pPr>
        <w:spacing w:line="360" w:lineRule="auto"/>
        <w:jc w:val="both"/>
        <w:rPr>
          <w:rFonts w:ascii="Arial" w:hAnsi="Arial"/>
          <w:rtl/>
        </w:rPr>
      </w:pPr>
    </w:p>
    <w:p w14:paraId="4CF863F1" w14:textId="77777777" w:rsidR="00DA260B" w:rsidRDefault="00DA260B" w:rsidP="00DA260B">
      <w:pPr>
        <w:spacing w:line="360" w:lineRule="auto"/>
        <w:jc w:val="both"/>
        <w:rPr>
          <w:rFonts w:ascii="Arial" w:hAnsi="Arial"/>
          <w:rtl/>
        </w:rPr>
      </w:pPr>
      <w:r>
        <w:rPr>
          <w:rFonts w:ascii="Arial" w:hAnsi="Arial" w:hint="cs"/>
          <w:u w:val="single"/>
          <w:rtl/>
        </w:rPr>
        <w:t>בדברו האחרון</w:t>
      </w:r>
      <w:r w:rsidRPr="00A43C12">
        <w:rPr>
          <w:rFonts w:ascii="Arial" w:hAnsi="Arial" w:hint="cs"/>
          <w:rtl/>
        </w:rPr>
        <w:t xml:space="preserve"> </w:t>
      </w:r>
      <w:r>
        <w:rPr>
          <w:rFonts w:ascii="Arial" w:hAnsi="Arial" w:hint="cs"/>
          <w:rtl/>
        </w:rPr>
        <w:t>מסר הנאשם, כי מצטער על שקרה, והוסיף, כי הוא מצא את הנשק ולקח אותו לתחנת המשטרה.</w:t>
      </w:r>
    </w:p>
    <w:p w14:paraId="701EF59E" w14:textId="77777777" w:rsidR="00DA260B" w:rsidRPr="008E7A10" w:rsidRDefault="00DA260B" w:rsidP="00DA260B">
      <w:pPr>
        <w:spacing w:line="360" w:lineRule="auto"/>
        <w:jc w:val="both"/>
        <w:rPr>
          <w:rFonts w:ascii="Arial" w:hAnsi="Arial"/>
          <w:rtl/>
        </w:rPr>
      </w:pPr>
    </w:p>
    <w:p w14:paraId="6EC1A77B" w14:textId="77777777" w:rsidR="00DA260B" w:rsidRDefault="00DA260B" w:rsidP="00DA260B">
      <w:pPr>
        <w:spacing w:line="360" w:lineRule="auto"/>
        <w:jc w:val="both"/>
        <w:rPr>
          <w:rFonts w:ascii="Arial" w:hAnsi="Arial"/>
          <w:rtl/>
        </w:rPr>
      </w:pPr>
    </w:p>
    <w:p w14:paraId="164307E8" w14:textId="77777777" w:rsidR="00DA260B" w:rsidRDefault="00DA260B" w:rsidP="00DA260B">
      <w:pPr>
        <w:spacing w:line="360" w:lineRule="auto"/>
        <w:jc w:val="both"/>
        <w:rPr>
          <w:rFonts w:ascii="Arial" w:hAnsi="Arial"/>
        </w:rPr>
      </w:pPr>
      <w:r>
        <w:rPr>
          <w:rFonts w:ascii="Arial" w:hAnsi="Arial"/>
          <w:b/>
          <w:bCs/>
          <w:rtl/>
        </w:rPr>
        <w:t>דיון והכרעה</w:t>
      </w:r>
    </w:p>
    <w:p w14:paraId="24930A40" w14:textId="77777777" w:rsidR="00DA260B" w:rsidRDefault="00DA260B" w:rsidP="00DA260B">
      <w:pPr>
        <w:spacing w:line="360" w:lineRule="auto"/>
        <w:jc w:val="both"/>
        <w:rPr>
          <w:rFonts w:ascii="Arial" w:hAnsi="Arial"/>
          <w:rtl/>
        </w:rPr>
      </w:pPr>
    </w:p>
    <w:p w14:paraId="37FD1137" w14:textId="77777777" w:rsidR="00DA260B" w:rsidRDefault="00DA260B" w:rsidP="00DA260B">
      <w:pPr>
        <w:spacing w:line="360" w:lineRule="auto"/>
        <w:jc w:val="both"/>
        <w:rPr>
          <w:rFonts w:ascii="David" w:hAnsi="David"/>
        </w:rPr>
      </w:pPr>
      <w:r>
        <w:rPr>
          <w:rFonts w:ascii="David" w:hAnsi="David"/>
          <w:rtl/>
        </w:rPr>
        <w:t>אין צורך להכביר מילים על פוטנציאל הסיכון הנובע מהחזקת נשק חם קטלני, שלא כדין. כלי הנשק עלול למצוא דרכו לפעילות שלילית, אם פלילית ואם נגד בטחון המדינה.</w:t>
      </w:r>
    </w:p>
    <w:p w14:paraId="028A4E44" w14:textId="77777777" w:rsidR="00DA260B" w:rsidRDefault="00DA260B" w:rsidP="00DA260B">
      <w:pPr>
        <w:spacing w:line="360" w:lineRule="auto"/>
        <w:jc w:val="both"/>
        <w:rPr>
          <w:rFonts w:ascii="David" w:hAnsi="David"/>
          <w:rtl/>
        </w:rPr>
      </w:pPr>
    </w:p>
    <w:p w14:paraId="0EE92DAB" w14:textId="77777777" w:rsidR="00DA260B" w:rsidRDefault="00DA260B" w:rsidP="00DA260B">
      <w:pPr>
        <w:spacing w:line="360" w:lineRule="auto"/>
        <w:jc w:val="both"/>
        <w:rPr>
          <w:rFonts w:ascii="Arial" w:hAnsi="Arial" w:cs="Arial"/>
        </w:rPr>
      </w:pPr>
      <w:r>
        <w:rPr>
          <w:rFonts w:ascii="David" w:hAnsi="David"/>
          <w:rtl/>
        </w:rPr>
        <w:t>החזקת נשק על ידי מי שלא נבדק, לא נמצא מתאים ולא הוכשר לכך, בתנאים שאינם מבטיחים בידודו של הנשק מהסביבה (כיום, מי שמחזיק נשק ברישיון נדרש לאפסנו בכספת מאובטחת, מאחורי שני מנעולים), עלולה להביא לסיכון שלום הציבור, גם אם אין ראיות שהוחזק לצורך פעילות שלילית, כמפורט לעיל.</w:t>
      </w:r>
    </w:p>
    <w:p w14:paraId="2289BDFC" w14:textId="77777777" w:rsidR="00DA260B" w:rsidRDefault="00DA260B" w:rsidP="00DA260B">
      <w:pPr>
        <w:spacing w:line="360" w:lineRule="auto"/>
        <w:jc w:val="both"/>
        <w:rPr>
          <w:rFonts w:cs="Times New Roman"/>
        </w:rPr>
      </w:pPr>
    </w:p>
    <w:p w14:paraId="194A3442" w14:textId="77777777" w:rsidR="00DA260B" w:rsidRDefault="00DA260B" w:rsidP="00DA260B">
      <w:pPr>
        <w:spacing w:line="360" w:lineRule="auto"/>
        <w:jc w:val="both"/>
        <w:rPr>
          <w:rFonts w:ascii="David" w:hAnsi="David"/>
        </w:rPr>
      </w:pPr>
      <w:r>
        <w:rPr>
          <w:rFonts w:ascii="David" w:hAnsi="David"/>
          <w:rtl/>
        </w:rPr>
        <w:t>בנוסף, החזקת נשק כאמור עלולה להביא לפגיעה בשלטון החוק ובנושאי שלטון החוק, המבצעים את תפקידם.</w:t>
      </w:r>
    </w:p>
    <w:p w14:paraId="4EC374EF" w14:textId="77777777" w:rsidR="00DA260B" w:rsidRDefault="00DA260B" w:rsidP="00DA260B">
      <w:pPr>
        <w:spacing w:line="360" w:lineRule="auto"/>
        <w:jc w:val="both"/>
        <w:rPr>
          <w:rFonts w:ascii="David" w:hAnsi="David"/>
        </w:rPr>
      </w:pPr>
    </w:p>
    <w:p w14:paraId="3B69CE10" w14:textId="77777777" w:rsidR="00DA260B" w:rsidRDefault="00DA260B" w:rsidP="00DA260B">
      <w:pPr>
        <w:spacing w:line="360" w:lineRule="auto"/>
        <w:jc w:val="both"/>
        <w:rPr>
          <w:rFonts w:ascii="David" w:hAnsi="David"/>
          <w:rtl/>
        </w:rPr>
      </w:pPr>
      <w:r>
        <w:rPr>
          <w:rFonts w:ascii="David" w:hAnsi="David"/>
          <w:rtl/>
        </w:rPr>
        <w:t xml:space="preserve">בפסק הדין </w:t>
      </w:r>
      <w:hyperlink r:id="rId14" w:history="1">
        <w:r w:rsidR="006F5308" w:rsidRPr="006F5308">
          <w:rPr>
            <w:rFonts w:ascii="David" w:hAnsi="David"/>
            <w:color w:val="0000FF"/>
            <w:u w:val="single"/>
            <w:rtl/>
          </w:rPr>
          <w:t>ע"פ 3288/14</w:t>
        </w:r>
      </w:hyperlink>
      <w:r>
        <w:rPr>
          <w:rFonts w:ascii="David" w:hAnsi="David"/>
          <w:rtl/>
        </w:rPr>
        <w:t xml:space="preserve"> </w:t>
      </w:r>
      <w:r>
        <w:rPr>
          <w:rFonts w:ascii="David" w:hAnsi="David"/>
          <w:b/>
          <w:bCs/>
          <w:rtl/>
        </w:rPr>
        <w:t>מדינת ישראל נ' קריספל</w:t>
      </w:r>
      <w:r>
        <w:rPr>
          <w:rFonts w:ascii="David" w:hAnsi="David"/>
          <w:rtl/>
        </w:rPr>
        <w:t xml:space="preserve"> (פורסם במאגרים), נאמר: </w:t>
      </w:r>
    </w:p>
    <w:p w14:paraId="65132276" w14:textId="77777777" w:rsidR="00DA260B" w:rsidRDefault="00DA260B" w:rsidP="00DA260B">
      <w:pPr>
        <w:spacing w:line="360" w:lineRule="auto"/>
        <w:jc w:val="both"/>
        <w:rPr>
          <w:rFonts w:ascii="David" w:hAnsi="David"/>
          <w:rtl/>
        </w:rPr>
      </w:pPr>
    </w:p>
    <w:p w14:paraId="2A1E033A" w14:textId="77777777" w:rsidR="00DA260B" w:rsidRDefault="00DA260B" w:rsidP="00DA260B">
      <w:pPr>
        <w:spacing w:line="360" w:lineRule="auto"/>
        <w:jc w:val="both"/>
        <w:rPr>
          <w:rFonts w:ascii="Aharoni" w:hAnsi="Aharoni" w:cs="Aharoni"/>
          <w:rtl/>
        </w:rPr>
      </w:pPr>
      <w:r>
        <w:rPr>
          <w:rFonts w:ascii="Aharoni" w:hAnsi="Aharoni" w:cs="Aharoni" w:hint="cs"/>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5C6E934C" w14:textId="77777777" w:rsidR="00DA260B" w:rsidRDefault="00DA260B" w:rsidP="00DA260B">
      <w:pPr>
        <w:spacing w:line="360" w:lineRule="auto"/>
        <w:jc w:val="both"/>
        <w:rPr>
          <w:rFonts w:ascii="David" w:hAnsi="David"/>
        </w:rPr>
      </w:pPr>
    </w:p>
    <w:p w14:paraId="1915B28A" w14:textId="77777777" w:rsidR="00DA260B" w:rsidRDefault="00DA260B" w:rsidP="00DA260B">
      <w:pPr>
        <w:spacing w:line="360" w:lineRule="auto"/>
        <w:jc w:val="both"/>
        <w:rPr>
          <w:rFonts w:ascii="David" w:hAnsi="David"/>
          <w:rtl/>
        </w:rPr>
      </w:pPr>
      <w:r>
        <w:rPr>
          <w:rFonts w:ascii="David" w:hAnsi="David"/>
          <w:rtl/>
        </w:rPr>
        <w:t xml:space="preserve">בפסק הדין </w:t>
      </w:r>
      <w:hyperlink r:id="rId15" w:history="1">
        <w:r w:rsidR="006F5308" w:rsidRPr="006F5308">
          <w:rPr>
            <w:rFonts w:ascii="David" w:hAnsi="David"/>
            <w:color w:val="0000FF"/>
            <w:u w:val="single"/>
            <w:rtl/>
          </w:rPr>
          <w:t>ע"פ 4945/13</w:t>
        </w:r>
      </w:hyperlink>
      <w:r>
        <w:rPr>
          <w:rFonts w:ascii="David" w:hAnsi="David"/>
          <w:rtl/>
        </w:rPr>
        <w:t xml:space="preserve"> </w:t>
      </w:r>
      <w:r>
        <w:rPr>
          <w:rFonts w:ascii="David" w:hAnsi="David"/>
          <w:b/>
          <w:bCs/>
          <w:rtl/>
        </w:rPr>
        <w:t>סלימאן, נ' מדינת ישראל</w:t>
      </w:r>
      <w:r>
        <w:rPr>
          <w:rFonts w:ascii="David" w:hAnsi="David"/>
          <w:rtl/>
        </w:rPr>
        <w:t xml:space="preserve"> (פורסם במאגרים), נאמר:</w:t>
      </w:r>
    </w:p>
    <w:p w14:paraId="706F0922" w14:textId="77777777" w:rsidR="00DA260B" w:rsidRDefault="00DA260B" w:rsidP="00DA260B">
      <w:pPr>
        <w:spacing w:line="360" w:lineRule="auto"/>
        <w:jc w:val="both"/>
        <w:rPr>
          <w:rFonts w:ascii="David" w:hAnsi="David"/>
          <w:rtl/>
        </w:rPr>
      </w:pPr>
    </w:p>
    <w:p w14:paraId="6EBE559C" w14:textId="77777777" w:rsidR="00DA260B" w:rsidRDefault="00DA260B" w:rsidP="00DA260B">
      <w:pPr>
        <w:spacing w:line="360" w:lineRule="auto"/>
        <w:jc w:val="both"/>
        <w:rPr>
          <w:rFonts w:ascii="Calibri" w:hAnsi="Calibri" w:cs="Calibri"/>
        </w:rPr>
      </w:pPr>
      <w:r>
        <w:rPr>
          <w:rFonts w:ascii="Aharoni" w:hAnsi="Aharoni" w:cs="Aharoni" w:hint="cs"/>
          <w:rtl/>
        </w:rPr>
        <w:t>... התגלגלותם של כלי נשק מיד ליד ללא פיקוח עלולה להוביל להגעתם בדרך לא דרך לגורמים פליליים ועוינים. אין לדעת מה יעלה בגורלם של</w:t>
      </w:r>
      <w:r w:rsidR="006F5308">
        <w:rPr>
          <w:rFonts w:ascii="Aharoni" w:hAnsi="Aharoni" w:cs="Aharoni" w:hint="cs"/>
          <w:rtl/>
        </w:rPr>
        <w:t xml:space="preserve"> </w:t>
      </w:r>
      <w:r>
        <w:rPr>
          <w:rFonts w:ascii="Aharoni" w:hAnsi="Aharoni" w:cs="Aharoni" w:hint="cs"/>
          <w:rtl/>
        </w:rPr>
        <w:t xml:space="preserve"> ולאלו תוצאות הרסניות יובילו. ודוק: הסיכון שנשקף לשלום הציבור צריך להילקח בחשבון על ידי כל מי שמחזיק בידו נשק שלא כדין, </w:t>
      </w:r>
      <w:r>
        <w:rPr>
          <w:rFonts w:ascii="Aharoni" w:hAnsi="Aharoni" w:cs="Aharoni" w:hint="cs"/>
          <w:u w:val="single"/>
          <w:rtl/>
        </w:rPr>
        <w:t>גם אם אינו מחזיק בו למטרת ביצוען של עבירות אחרות</w:t>
      </w:r>
      <w:r>
        <w:rPr>
          <w:rFonts w:ascii="Aharoni" w:hAnsi="Aharoni" w:cs="Aharoni" w:hint="cs"/>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16E7300B" w14:textId="77777777" w:rsidR="00DA260B" w:rsidRDefault="00DA260B" w:rsidP="00DA260B">
      <w:pPr>
        <w:spacing w:line="360" w:lineRule="auto"/>
        <w:jc w:val="both"/>
        <w:rPr>
          <w:rFonts w:ascii="David" w:hAnsi="David"/>
        </w:rPr>
      </w:pPr>
      <w:r>
        <w:rPr>
          <w:rFonts w:ascii="David" w:hAnsi="David"/>
          <w:rtl/>
        </w:rPr>
        <w:t>[ההדגשה אינה במקור].</w:t>
      </w:r>
    </w:p>
    <w:p w14:paraId="3E2ADEE7" w14:textId="77777777" w:rsidR="00DA260B" w:rsidRDefault="00DA260B" w:rsidP="00DA260B">
      <w:pPr>
        <w:spacing w:line="360" w:lineRule="auto"/>
        <w:jc w:val="both"/>
        <w:rPr>
          <w:rFonts w:ascii="David" w:hAnsi="David"/>
          <w:rtl/>
        </w:rPr>
      </w:pPr>
    </w:p>
    <w:p w14:paraId="0DB613A5" w14:textId="77777777" w:rsidR="00DA260B" w:rsidRDefault="00DA260B" w:rsidP="00DA260B">
      <w:pPr>
        <w:spacing w:line="360" w:lineRule="auto"/>
        <w:jc w:val="both"/>
        <w:rPr>
          <w:rFonts w:ascii="David" w:hAnsi="David"/>
        </w:rPr>
      </w:pPr>
      <w:r>
        <w:rPr>
          <w:rFonts w:ascii="David" w:hAnsi="David" w:hint="cs"/>
          <w:rtl/>
        </w:rPr>
        <w:t xml:space="preserve">ככל, על בית המשפט ליתן ידו למיגור התופעה של החזקת נשק בלתי חוקי, אשר הפכה "מכת מדינה". </w:t>
      </w:r>
      <w:r>
        <w:rPr>
          <w:rFonts w:ascii="David" w:hAnsi="David"/>
          <w:rtl/>
        </w:rPr>
        <w:t>נפיצות כלי הנשק יוצרת סכנה של ממש לבטחון הציבור, כפי האמרה הידועה, לפיה, כלי הנשק שהופיע במערכה הראשונה, חוזר להופיע במערכות שלאחר מכן. ובעת האחרונה, די בהצצה חטופה בכל מהדורת חדשות כמעט, כדי להתרשם מהנזקים הקשים, אשר נגרמים מכלי הנשק, המוחזקים על ידי מי שאינו מורשה לכך.</w:t>
      </w:r>
    </w:p>
    <w:p w14:paraId="1D1C5E9C" w14:textId="77777777" w:rsidR="00DA260B" w:rsidRDefault="00DA260B" w:rsidP="00DA260B">
      <w:pPr>
        <w:spacing w:line="360" w:lineRule="auto"/>
        <w:jc w:val="both"/>
        <w:rPr>
          <w:rFonts w:ascii="David" w:hAnsi="David"/>
          <w:rtl/>
        </w:rPr>
      </w:pPr>
    </w:p>
    <w:p w14:paraId="64664CF4" w14:textId="77777777" w:rsidR="00DA260B" w:rsidRDefault="00DA260B" w:rsidP="00DA260B">
      <w:pPr>
        <w:spacing w:line="360" w:lineRule="auto"/>
        <w:jc w:val="both"/>
        <w:rPr>
          <w:rFonts w:ascii="David" w:hAnsi="David"/>
          <w:rtl/>
        </w:rPr>
      </w:pPr>
      <w:r>
        <w:rPr>
          <w:rFonts w:ascii="David" w:hAnsi="David"/>
          <w:rtl/>
        </w:rPr>
        <w:t xml:space="preserve">הסיכון גובר כאשר המדובר בכלי נשק אוטומטי, ולעניין זה, גם כלי מאולתר – הוא כלי נשק מסוכן, שבכוחו להמית ובשנים האחרונות אירעו אינספור פיגועים פליליים ואף בטחוניים, אשר גרמו למותם של בני אדם, </w:t>
      </w:r>
      <w:r>
        <w:rPr>
          <w:rFonts w:ascii="David" w:hAnsi="David" w:hint="cs"/>
          <w:rtl/>
        </w:rPr>
        <w:t xml:space="preserve">כולל מי שאינם מעורבים בסכסוך הפלילי, </w:t>
      </w:r>
      <w:r>
        <w:rPr>
          <w:rFonts w:ascii="David" w:hAnsi="David"/>
          <w:rtl/>
        </w:rPr>
        <w:t>באמצעות כלי נשק מסוג זה</w:t>
      </w:r>
      <w:r>
        <w:rPr>
          <w:rFonts w:ascii="David" w:hAnsi="David" w:hint="cs"/>
          <w:rtl/>
        </w:rPr>
        <w:t xml:space="preserve">, שקצב האש שלו גבוה, ורמת הדיוק שלו </w:t>
      </w:r>
      <w:r>
        <w:rPr>
          <w:rFonts w:ascii="David" w:hAnsi="David"/>
          <w:rtl/>
        </w:rPr>
        <w:t>–</w:t>
      </w:r>
      <w:r>
        <w:rPr>
          <w:rFonts w:ascii="David" w:hAnsi="David" w:hint="cs"/>
          <w:rtl/>
        </w:rPr>
        <w:t xml:space="preserve"> נמוכה.</w:t>
      </w:r>
    </w:p>
    <w:p w14:paraId="43A31504" w14:textId="77777777" w:rsidR="00DA260B" w:rsidRDefault="00DA260B" w:rsidP="00DA260B">
      <w:pPr>
        <w:spacing w:line="360" w:lineRule="auto"/>
        <w:jc w:val="both"/>
        <w:rPr>
          <w:rFonts w:ascii="David" w:hAnsi="David"/>
          <w:rtl/>
        </w:rPr>
      </w:pPr>
    </w:p>
    <w:p w14:paraId="626A1544" w14:textId="77777777" w:rsidR="00DA260B" w:rsidRPr="00FE7F64" w:rsidRDefault="00DA260B" w:rsidP="00DA260B">
      <w:pPr>
        <w:spacing w:line="360" w:lineRule="auto"/>
        <w:jc w:val="both"/>
        <w:rPr>
          <w:rFonts w:ascii="David" w:hAnsi="David"/>
          <w:rtl/>
        </w:rPr>
      </w:pPr>
      <w:r>
        <w:rPr>
          <w:rFonts w:ascii="David" w:hAnsi="David" w:hint="cs"/>
          <w:rtl/>
        </w:rPr>
        <w:t xml:space="preserve">בשורה של גזרי דין, שניתנו בבית משפט זה בשנים האחרונות, הוביל בית המשפט זה מגמה של החמרת הענישה בגין עבירות אלה וזאת כמענה להתפשטות התופעה הקשה, שהגיעה עד כדי מכת מדינה. מתחם הענישה, בגין עבירה של החזקת נשק חם מסוג רובה סער או תת מקלע, הועמד בין 18 עד 36 חדשי מאסר בפועל, כשבחודש האחרון אף גילה בית המשפט דעתו, כי המשך התפשטות התופעה מצדיק החמרה נוספת במתחם, כך שינוע בין 20 עד 40 חדשי מאסר (מתחם זה טרם הוחל בפועל, שכן באותו מקרה </w:t>
      </w:r>
      <w:r>
        <w:rPr>
          <w:rFonts w:ascii="David" w:hAnsi="David"/>
          <w:rtl/>
        </w:rPr>
        <w:t>–</w:t>
      </w:r>
      <w:r>
        <w:rPr>
          <w:rFonts w:ascii="David" w:hAnsi="David" w:hint="cs"/>
          <w:rtl/>
        </w:rPr>
        <w:t xml:space="preserve"> נדון הנאשם בגין עבירה, שנעברה קודם לגילוי הדעת האמור). ראו ניתוח מפורט של הפסיקה בגזר הדין </w:t>
      </w:r>
      <w:hyperlink r:id="rId16" w:history="1">
        <w:r w:rsidR="006F5308" w:rsidRPr="006F5308">
          <w:rPr>
            <w:rFonts w:ascii="David" w:hAnsi="David"/>
            <w:color w:val="0000FF"/>
            <w:u w:val="single"/>
            <w:rtl/>
          </w:rPr>
          <w:t>ת.פ. 52901-02-20</w:t>
        </w:r>
      </w:hyperlink>
      <w:r>
        <w:rPr>
          <w:rFonts w:ascii="David" w:hAnsi="David" w:hint="cs"/>
          <w:rtl/>
        </w:rPr>
        <w:t xml:space="preserve"> </w:t>
      </w:r>
      <w:r>
        <w:rPr>
          <w:rFonts w:ascii="David" w:hAnsi="David" w:hint="cs"/>
          <w:b/>
          <w:bCs/>
          <w:rtl/>
        </w:rPr>
        <w:t>מדינת ישראל נ' אל אעסם</w:t>
      </w:r>
      <w:r>
        <w:rPr>
          <w:rFonts w:ascii="David" w:hAnsi="David" w:hint="cs"/>
          <w:rtl/>
        </w:rPr>
        <w:t xml:space="preserve"> (15.03.21 - פורסם במאגרים).</w:t>
      </w:r>
    </w:p>
    <w:p w14:paraId="1ABEB13D" w14:textId="77777777" w:rsidR="00DA260B" w:rsidRDefault="00DA260B" w:rsidP="00DA260B">
      <w:pPr>
        <w:spacing w:line="360" w:lineRule="auto"/>
        <w:jc w:val="both"/>
        <w:rPr>
          <w:rFonts w:ascii="David" w:hAnsi="David"/>
          <w:rtl/>
        </w:rPr>
      </w:pPr>
    </w:p>
    <w:p w14:paraId="20A23B57" w14:textId="77777777" w:rsidR="00DA260B" w:rsidRDefault="00DA260B" w:rsidP="00DA260B">
      <w:pPr>
        <w:spacing w:line="360" w:lineRule="auto"/>
        <w:jc w:val="both"/>
        <w:rPr>
          <w:rFonts w:ascii="David" w:hAnsi="David"/>
          <w:rtl/>
        </w:rPr>
      </w:pPr>
      <w:r>
        <w:rPr>
          <w:rFonts w:ascii="David" w:hAnsi="David" w:hint="cs"/>
          <w:rtl/>
        </w:rPr>
        <w:t xml:space="preserve">ברם, המקרה דנן, </w:t>
      </w:r>
      <w:r w:rsidRPr="00FE7F64">
        <w:rPr>
          <w:rFonts w:ascii="David" w:hAnsi="David" w:hint="cs"/>
          <w:u w:val="single"/>
          <w:rtl/>
        </w:rPr>
        <w:t>יוצא דופן בנסיבותיו</w:t>
      </w:r>
      <w:r>
        <w:rPr>
          <w:rFonts w:ascii="David" w:hAnsi="David" w:hint="cs"/>
          <w:rtl/>
        </w:rPr>
        <w:t>, כפי שהתביעה עצמה הודתה, בהגינותה.</w:t>
      </w:r>
    </w:p>
    <w:p w14:paraId="0ACB4BB4" w14:textId="77777777" w:rsidR="00DA260B" w:rsidRDefault="00DA260B" w:rsidP="00DA260B">
      <w:pPr>
        <w:spacing w:line="360" w:lineRule="auto"/>
        <w:jc w:val="both"/>
        <w:rPr>
          <w:rFonts w:ascii="David" w:hAnsi="David"/>
          <w:rtl/>
        </w:rPr>
      </w:pPr>
    </w:p>
    <w:p w14:paraId="3423FCBA" w14:textId="77777777" w:rsidR="00DA260B" w:rsidRDefault="00DA260B" w:rsidP="00DA260B">
      <w:pPr>
        <w:spacing w:line="360" w:lineRule="auto"/>
        <w:jc w:val="both"/>
        <w:rPr>
          <w:rFonts w:ascii="David" w:hAnsi="David"/>
          <w:rtl/>
        </w:rPr>
      </w:pPr>
      <w:r>
        <w:rPr>
          <w:rFonts w:ascii="David" w:hAnsi="David" w:hint="cs"/>
          <w:rtl/>
        </w:rPr>
        <w:t xml:space="preserve">המדובר בנאשם, אשר פנה </w:t>
      </w:r>
      <w:r w:rsidRPr="00C81DE2">
        <w:rPr>
          <w:rFonts w:ascii="David" w:hAnsi="David" w:hint="cs"/>
          <w:u w:val="single"/>
          <w:rtl/>
        </w:rPr>
        <w:t>מיוזמתו</w:t>
      </w:r>
      <w:r>
        <w:rPr>
          <w:rFonts w:ascii="David" w:hAnsi="David" w:hint="cs"/>
          <w:rtl/>
        </w:rPr>
        <w:t xml:space="preserve"> לתחנת המשטרה לצורך השבת הנשק והתחמושת, מבלי שהמשטרה חשדה כלל, כי באמתחתו נשק או תחמושת.</w:t>
      </w:r>
    </w:p>
    <w:p w14:paraId="63A33838" w14:textId="77777777" w:rsidR="00DA260B" w:rsidRDefault="00DA260B" w:rsidP="00DA260B">
      <w:pPr>
        <w:spacing w:line="360" w:lineRule="auto"/>
        <w:jc w:val="both"/>
        <w:rPr>
          <w:rFonts w:ascii="David" w:hAnsi="David"/>
          <w:rtl/>
        </w:rPr>
      </w:pPr>
    </w:p>
    <w:p w14:paraId="07B0B595" w14:textId="77777777" w:rsidR="00DA260B" w:rsidRDefault="00DA260B" w:rsidP="00DA260B">
      <w:pPr>
        <w:spacing w:line="360" w:lineRule="auto"/>
        <w:jc w:val="both"/>
        <w:rPr>
          <w:rFonts w:ascii="David" w:hAnsi="David"/>
          <w:rtl/>
        </w:rPr>
      </w:pPr>
      <w:r>
        <w:rPr>
          <w:rFonts w:ascii="David" w:hAnsi="David" w:hint="cs"/>
          <w:rtl/>
        </w:rPr>
        <w:t xml:space="preserve">ודוק: התביעה הכללית אישרה, בהגינותה, כי </w:t>
      </w:r>
      <w:r w:rsidRPr="00365EB4">
        <w:rPr>
          <w:rFonts w:ascii="David" w:hAnsi="David" w:hint="cs"/>
          <w:u w:val="single"/>
          <w:rtl/>
        </w:rPr>
        <w:t>לא היה מידע מוקדם</w:t>
      </w:r>
      <w:r>
        <w:rPr>
          <w:rFonts w:ascii="David" w:hAnsi="David" w:hint="cs"/>
          <w:rtl/>
        </w:rPr>
        <w:t xml:space="preserve">, שהגיע לידיעת היחידה החוקרת, בענינו של הנאשם דנן. אם היה מידע כזה, ואם החלו צעדים לבירורו </w:t>
      </w:r>
      <w:r>
        <w:rPr>
          <w:rFonts w:ascii="David" w:hAnsi="David"/>
          <w:rtl/>
        </w:rPr>
        <w:t>–</w:t>
      </w:r>
      <w:r>
        <w:rPr>
          <w:rFonts w:ascii="David" w:hAnsi="David" w:hint="cs"/>
          <w:rtl/>
        </w:rPr>
        <w:t xml:space="preserve"> היה הדבר עלול להפחית ממשקל חשיפת עובדת החזקת הנשק ומסירתו ליחידה החוקרת. שכן, קיימים מקרים, בהם נוקטת המשטרה פעולות, במישור המודיעיני, ומעבירה דרישות למי מבני המשפחה, למסור הנשק הבלתי חוקי, בטרם פתיחה בהליכים. אך זהו אינו אחד המקרים הללו אלא, על פי מה שהוצג לבית המשפט </w:t>
      </w:r>
      <w:r>
        <w:rPr>
          <w:rFonts w:ascii="David" w:hAnsi="David"/>
          <w:rtl/>
        </w:rPr>
        <w:t>–</w:t>
      </w:r>
      <w:r>
        <w:rPr>
          <w:rFonts w:ascii="David" w:hAnsi="David" w:hint="cs"/>
          <w:rtl/>
        </w:rPr>
        <w:t xml:space="preserve"> נמסר הנשק לידי המשטרה ללא שהיתה כל אינדיקציה להחזקתו.</w:t>
      </w:r>
    </w:p>
    <w:p w14:paraId="2132C490" w14:textId="77777777" w:rsidR="00DA260B" w:rsidRDefault="00DA260B" w:rsidP="00DA260B">
      <w:pPr>
        <w:spacing w:line="360" w:lineRule="auto"/>
        <w:jc w:val="both"/>
        <w:rPr>
          <w:rFonts w:ascii="David" w:hAnsi="David"/>
          <w:rtl/>
        </w:rPr>
      </w:pPr>
    </w:p>
    <w:p w14:paraId="33AB7AF7" w14:textId="77777777" w:rsidR="00DA260B" w:rsidRDefault="00DA260B" w:rsidP="00DA260B">
      <w:pPr>
        <w:spacing w:line="360" w:lineRule="auto"/>
        <w:jc w:val="both"/>
        <w:rPr>
          <w:rFonts w:ascii="David" w:hAnsi="David"/>
          <w:rtl/>
        </w:rPr>
      </w:pPr>
      <w:r>
        <w:rPr>
          <w:rFonts w:ascii="David" w:hAnsi="David" w:hint="cs"/>
          <w:rtl/>
        </w:rPr>
        <w:t xml:space="preserve">קיים אינטרס ציבורי משמעותי, לעודד מחזיקי נשק בלתי חוקי, למסרו לרשויות ולפיכך </w:t>
      </w:r>
      <w:r>
        <w:rPr>
          <w:rFonts w:ascii="David" w:hAnsi="David"/>
          <w:rtl/>
        </w:rPr>
        <w:t>–</w:t>
      </w:r>
      <w:r>
        <w:rPr>
          <w:rFonts w:ascii="David" w:hAnsi="David" w:hint="cs"/>
          <w:rtl/>
        </w:rPr>
        <w:t xml:space="preserve"> מוצא בית המשפט לקבוע מתחם ענישה מיוחד למצב זה, שלא יהיה דומה למתחם הקבוע בפסיקה במצב השכיח יותר, בו נתפס הנשק בעקבות פעילות אכיפה של רשויות החוק, ואף לא יחול, במקרים בהם נאסף מידע מוקדם על החזקת כלי הנשק.</w:t>
      </w:r>
    </w:p>
    <w:p w14:paraId="5499277A" w14:textId="77777777" w:rsidR="00DA260B" w:rsidRDefault="00DA260B" w:rsidP="00DA260B">
      <w:pPr>
        <w:spacing w:line="360" w:lineRule="auto"/>
        <w:jc w:val="both"/>
        <w:rPr>
          <w:rFonts w:ascii="David" w:hAnsi="David"/>
          <w:rtl/>
        </w:rPr>
      </w:pPr>
    </w:p>
    <w:p w14:paraId="128C53AE" w14:textId="77777777" w:rsidR="00DA260B" w:rsidRDefault="00DA260B" w:rsidP="00DA260B">
      <w:pPr>
        <w:spacing w:line="360" w:lineRule="auto"/>
        <w:jc w:val="both"/>
        <w:rPr>
          <w:rFonts w:ascii="David" w:hAnsi="David"/>
          <w:rtl/>
        </w:rPr>
      </w:pPr>
      <w:r>
        <w:rPr>
          <w:rFonts w:ascii="David" w:hAnsi="David" w:hint="cs"/>
          <w:rtl/>
        </w:rPr>
        <w:t xml:space="preserve">העיקרון שענינו פטור מאחריות או צמצומה בעקבות גילוי מרצון, אינו חדש, והוא נדון עוד על ידי חכמינו ז"ל, לפני כאלפיים שנה. </w:t>
      </w:r>
    </w:p>
    <w:p w14:paraId="2C730451" w14:textId="77777777" w:rsidR="00DA260B" w:rsidRDefault="00DA260B" w:rsidP="00DA260B">
      <w:pPr>
        <w:spacing w:line="360" w:lineRule="auto"/>
        <w:jc w:val="both"/>
        <w:rPr>
          <w:rFonts w:ascii="David" w:hAnsi="David"/>
          <w:rtl/>
        </w:rPr>
      </w:pPr>
    </w:p>
    <w:p w14:paraId="5379638D" w14:textId="77777777" w:rsidR="00DA260B" w:rsidRDefault="00DA260B" w:rsidP="00DA260B">
      <w:pPr>
        <w:spacing w:line="360" w:lineRule="auto"/>
        <w:jc w:val="both"/>
        <w:rPr>
          <w:rFonts w:ascii="David" w:hAnsi="David"/>
          <w:rtl/>
        </w:rPr>
      </w:pPr>
      <w:r>
        <w:rPr>
          <w:rFonts w:ascii="David" w:hAnsi="David" w:hint="cs"/>
          <w:rtl/>
        </w:rPr>
        <w:t xml:space="preserve">התורה קובעת, בענינו של המפתה נערה בתולה (שמות, כב', ט"ו </w:t>
      </w:r>
      <w:r>
        <w:rPr>
          <w:rFonts w:ascii="David" w:hAnsi="David"/>
          <w:rtl/>
        </w:rPr>
        <w:t>–</w:t>
      </w:r>
      <w:r>
        <w:rPr>
          <w:rFonts w:ascii="David" w:hAnsi="David" w:hint="cs"/>
          <w:rtl/>
        </w:rPr>
        <w:t xml:space="preserve"> ט"ז):</w:t>
      </w:r>
    </w:p>
    <w:p w14:paraId="72ED070A" w14:textId="77777777" w:rsidR="00DA260B" w:rsidRDefault="00DA260B" w:rsidP="00DA260B">
      <w:pPr>
        <w:spacing w:line="360" w:lineRule="auto"/>
        <w:jc w:val="both"/>
        <w:rPr>
          <w:rFonts w:ascii="David" w:hAnsi="David"/>
          <w:rtl/>
        </w:rPr>
      </w:pPr>
    </w:p>
    <w:p w14:paraId="0A33FD47" w14:textId="77777777" w:rsidR="00DA260B" w:rsidRDefault="00DA260B" w:rsidP="00DA260B">
      <w:pPr>
        <w:spacing w:line="360" w:lineRule="auto"/>
        <w:ind w:left="425" w:right="567"/>
        <w:jc w:val="both"/>
        <w:rPr>
          <w:rFonts w:ascii="David" w:hAnsi="David"/>
          <w:rtl/>
        </w:rPr>
      </w:pPr>
      <w:r w:rsidRPr="00C51E07">
        <w:rPr>
          <w:rFonts w:ascii="David" w:hAnsi="David"/>
          <w:rtl/>
        </w:rPr>
        <w:t>וְכִי יְפַתֶּה אִישׁ בְּתוּלָה אֲשֶׁר לֹא אֹרָשָׂה וְשָׁכַב עִמָּהּ, מָהֹר יִמְהָרֶנָּה לּוֹ לְאִשָּׁה; אִם מָאֵן יְמָאֵן אָבִיהָ לְתִתָּהּ לוֹ כֶּסֶף יִשְׁקֹל כְּמֹהַר הַבְּתוּלֹת</w:t>
      </w:r>
      <w:r>
        <w:rPr>
          <w:rFonts w:ascii="David" w:hAnsi="David" w:hint="cs"/>
          <w:rtl/>
        </w:rPr>
        <w:t>.</w:t>
      </w:r>
    </w:p>
    <w:p w14:paraId="07883CFA" w14:textId="77777777" w:rsidR="00DA260B" w:rsidRDefault="00DA260B" w:rsidP="00DA260B">
      <w:pPr>
        <w:spacing w:line="360" w:lineRule="auto"/>
        <w:jc w:val="both"/>
        <w:rPr>
          <w:rFonts w:ascii="David" w:hAnsi="David"/>
          <w:rtl/>
        </w:rPr>
      </w:pPr>
    </w:p>
    <w:p w14:paraId="1097EE6F" w14:textId="77777777" w:rsidR="00DA260B" w:rsidRDefault="00DA260B" w:rsidP="00DA260B">
      <w:pPr>
        <w:spacing w:line="360" w:lineRule="auto"/>
        <w:jc w:val="both"/>
        <w:rPr>
          <w:rFonts w:ascii="David" w:hAnsi="David"/>
          <w:rtl/>
        </w:rPr>
      </w:pPr>
      <w:r>
        <w:rPr>
          <w:rFonts w:ascii="David" w:hAnsi="David" w:hint="cs"/>
          <w:rtl/>
        </w:rPr>
        <w:t xml:space="preserve">חז"ל קבעו, בתורה שבעל פה, כי על המפתה לשלם לאבי הנערה פיצוי המורכב משלושה ראשי נזק: דמי בושת (הפגיעה במעמד המשפחה, שנגרמה עקב כך); פגם (פיצוי על הפגיעה בנערה); וקנס </w:t>
      </w:r>
      <w:r>
        <w:rPr>
          <w:rFonts w:ascii="David" w:hAnsi="David"/>
          <w:rtl/>
        </w:rPr>
        <w:t>–</w:t>
      </w:r>
      <w:r>
        <w:rPr>
          <w:rFonts w:ascii="David" w:hAnsi="David" w:hint="cs"/>
          <w:rtl/>
        </w:rPr>
        <w:t xml:space="preserve"> שהועמד על חמישים שקל כסף, שהוא בעצם העונש הקצוב בתורה על המעשים, בלא קשר לנזק שנגרם.</w:t>
      </w:r>
    </w:p>
    <w:p w14:paraId="2FA2C0DD" w14:textId="77777777" w:rsidR="00DA260B" w:rsidRDefault="00DA260B" w:rsidP="00DA260B">
      <w:pPr>
        <w:spacing w:line="360" w:lineRule="auto"/>
        <w:jc w:val="both"/>
        <w:rPr>
          <w:rFonts w:ascii="David" w:hAnsi="David"/>
          <w:rtl/>
        </w:rPr>
      </w:pPr>
    </w:p>
    <w:p w14:paraId="11CD9C07" w14:textId="77777777" w:rsidR="00DA260B" w:rsidRDefault="00DA260B" w:rsidP="00DA260B">
      <w:pPr>
        <w:spacing w:line="360" w:lineRule="auto"/>
        <w:jc w:val="both"/>
        <w:rPr>
          <w:rFonts w:ascii="David" w:hAnsi="David"/>
          <w:rtl/>
        </w:rPr>
      </w:pPr>
      <w:r>
        <w:rPr>
          <w:rFonts w:ascii="David" w:hAnsi="David" w:hint="cs"/>
          <w:rtl/>
        </w:rPr>
        <w:t>ברם, לענין מי שהחליט לגלות מרצון את מעשיו, נקבע, במשנה (כתובות, פרק ג', ט'):</w:t>
      </w:r>
    </w:p>
    <w:p w14:paraId="17E785CC" w14:textId="77777777" w:rsidR="00DA260B" w:rsidRDefault="00DA260B" w:rsidP="00DA260B">
      <w:pPr>
        <w:spacing w:line="360" w:lineRule="auto"/>
        <w:jc w:val="both"/>
        <w:rPr>
          <w:rFonts w:ascii="David" w:hAnsi="David"/>
          <w:rtl/>
        </w:rPr>
      </w:pPr>
    </w:p>
    <w:p w14:paraId="2804A100" w14:textId="77777777" w:rsidR="00DA260B" w:rsidRPr="00603238" w:rsidRDefault="00DA260B" w:rsidP="00DA260B">
      <w:pPr>
        <w:spacing w:line="360" w:lineRule="auto"/>
        <w:ind w:left="425"/>
        <w:rPr>
          <w:rFonts w:ascii="David" w:hAnsi="David"/>
          <w:rtl/>
        </w:rPr>
      </w:pPr>
      <w:r w:rsidRPr="00603238">
        <w:rPr>
          <w:rFonts w:ascii="David" w:hAnsi="David"/>
          <w:rtl/>
        </w:rPr>
        <w:t>הָאוֹמֵר: פִּתִּיתִי אֶת בִּתּוֹ שֶׁל פְּלוֹנִי,</w:t>
      </w:r>
    </w:p>
    <w:p w14:paraId="54A15830" w14:textId="77777777" w:rsidR="00DA260B" w:rsidRPr="00603238" w:rsidRDefault="00DA260B" w:rsidP="00DA260B">
      <w:pPr>
        <w:spacing w:line="360" w:lineRule="auto"/>
        <w:ind w:left="425"/>
        <w:rPr>
          <w:rFonts w:ascii="David" w:hAnsi="David"/>
          <w:rtl/>
        </w:rPr>
      </w:pPr>
      <w:r w:rsidRPr="00603238">
        <w:rPr>
          <w:rFonts w:ascii="David" w:hAnsi="David"/>
          <w:rtl/>
        </w:rPr>
        <w:t>מְשַׁלֵּם בֹּשֶׁת וּפְגָם עַל פִּי עַצְמוֹ,</w:t>
      </w:r>
    </w:p>
    <w:p w14:paraId="4CC10573" w14:textId="77777777" w:rsidR="00DA260B" w:rsidRDefault="00DA260B" w:rsidP="00DA260B">
      <w:pPr>
        <w:spacing w:line="360" w:lineRule="auto"/>
        <w:ind w:left="425"/>
        <w:rPr>
          <w:rFonts w:ascii="David" w:hAnsi="David"/>
          <w:rtl/>
        </w:rPr>
      </w:pPr>
      <w:r w:rsidRPr="00603238">
        <w:rPr>
          <w:rFonts w:ascii="David" w:hAnsi="David"/>
          <w:rtl/>
        </w:rPr>
        <w:t>וְאֵינוֹ מְשַׁלֵּם קְנָס.</w:t>
      </w:r>
    </w:p>
    <w:p w14:paraId="23FAE8B7" w14:textId="77777777" w:rsidR="00DA260B" w:rsidRDefault="00DA260B" w:rsidP="00DA260B">
      <w:pPr>
        <w:spacing w:line="360" w:lineRule="auto"/>
        <w:rPr>
          <w:rFonts w:ascii="David" w:hAnsi="David"/>
          <w:rtl/>
        </w:rPr>
      </w:pPr>
    </w:p>
    <w:p w14:paraId="6BBE8972" w14:textId="77777777" w:rsidR="00DA260B" w:rsidRDefault="00DA260B" w:rsidP="00DA260B">
      <w:pPr>
        <w:spacing w:line="360" w:lineRule="auto"/>
        <w:rPr>
          <w:rFonts w:ascii="David" w:hAnsi="David"/>
          <w:rtl/>
        </w:rPr>
      </w:pPr>
      <w:r>
        <w:rPr>
          <w:rFonts w:ascii="David" w:hAnsi="David" w:hint="cs"/>
          <w:rtl/>
        </w:rPr>
        <w:t xml:space="preserve">גם לגבי גנב, נקבע בתורה, כי דינו לשלם כפל שווי הטובין שנגנבו, ובמקרים מסוימים גם פי ארבעה ופי חמישה, אך כאשר הגנב מודה מעצמו </w:t>
      </w:r>
      <w:r>
        <w:rPr>
          <w:rFonts w:ascii="David" w:hAnsi="David"/>
          <w:rtl/>
        </w:rPr>
        <w:t>–</w:t>
      </w:r>
      <w:r>
        <w:rPr>
          <w:rFonts w:ascii="David" w:hAnsi="David" w:hint="cs"/>
          <w:rtl/>
        </w:rPr>
        <w:t xml:space="preserve"> יהיה פטור מהתוספת, וישלם הקרן בלבד (משנה, שם):</w:t>
      </w:r>
    </w:p>
    <w:p w14:paraId="07ABD9DF" w14:textId="77777777" w:rsidR="00DA260B" w:rsidRPr="00603238" w:rsidRDefault="00DA260B" w:rsidP="00DA260B">
      <w:pPr>
        <w:spacing w:line="360" w:lineRule="auto"/>
        <w:rPr>
          <w:rFonts w:ascii="David" w:hAnsi="David"/>
          <w:rtl/>
        </w:rPr>
      </w:pPr>
    </w:p>
    <w:p w14:paraId="66D1F270" w14:textId="77777777" w:rsidR="00DA260B" w:rsidRPr="00603238" w:rsidRDefault="00DA260B" w:rsidP="00DA260B">
      <w:pPr>
        <w:spacing w:line="360" w:lineRule="auto"/>
        <w:ind w:left="425"/>
        <w:rPr>
          <w:rFonts w:ascii="David" w:hAnsi="David"/>
          <w:rtl/>
        </w:rPr>
      </w:pPr>
      <w:r w:rsidRPr="00603238">
        <w:rPr>
          <w:rFonts w:ascii="David" w:hAnsi="David"/>
          <w:rtl/>
        </w:rPr>
        <w:t>הָאוֹמֵר: גָּנַבְתִּי, וְטָבַחְתִּי וּמָכַרְתִּי,</w:t>
      </w:r>
    </w:p>
    <w:p w14:paraId="1F4E95E5" w14:textId="77777777" w:rsidR="00DA260B" w:rsidRPr="00603238" w:rsidRDefault="00DA260B" w:rsidP="00DA260B">
      <w:pPr>
        <w:spacing w:line="360" w:lineRule="auto"/>
        <w:ind w:left="425"/>
        <w:rPr>
          <w:rFonts w:ascii="David" w:hAnsi="David"/>
          <w:rtl/>
        </w:rPr>
      </w:pPr>
      <w:r w:rsidRPr="00603238">
        <w:rPr>
          <w:rFonts w:ascii="David" w:hAnsi="David"/>
          <w:rtl/>
        </w:rPr>
        <w:t>מְשַׁלֵּם אֶת הַקֶּרֶן עַל פִּי עַצְמוֹ;</w:t>
      </w:r>
    </w:p>
    <w:p w14:paraId="24D9388D" w14:textId="77777777" w:rsidR="00DA260B" w:rsidRDefault="00DA260B" w:rsidP="00DA260B">
      <w:pPr>
        <w:spacing w:line="360" w:lineRule="auto"/>
        <w:ind w:left="425"/>
        <w:rPr>
          <w:rFonts w:ascii="David" w:hAnsi="David"/>
          <w:rtl/>
        </w:rPr>
      </w:pPr>
      <w:r w:rsidRPr="00603238">
        <w:rPr>
          <w:rFonts w:ascii="David" w:hAnsi="David"/>
          <w:rtl/>
        </w:rPr>
        <w:t>וְאֵינוֹ מְשַׁלֵּם תַּשְׁלוּמֵי כֶּפֶל וְתַשְׁלוּמֵי אַרְבָּעָה וַחֲמִשָּׁה.</w:t>
      </w:r>
    </w:p>
    <w:p w14:paraId="3C5B4234" w14:textId="77777777" w:rsidR="00DA260B" w:rsidRDefault="00DA260B" w:rsidP="00DA260B">
      <w:pPr>
        <w:spacing w:line="360" w:lineRule="auto"/>
        <w:rPr>
          <w:rFonts w:ascii="David" w:hAnsi="David"/>
          <w:rtl/>
        </w:rPr>
      </w:pPr>
    </w:p>
    <w:p w14:paraId="14079B96" w14:textId="77777777" w:rsidR="00DA260B" w:rsidRDefault="00DA260B" w:rsidP="00DA260B">
      <w:pPr>
        <w:spacing w:line="360" w:lineRule="auto"/>
        <w:rPr>
          <w:rFonts w:ascii="David" w:hAnsi="David"/>
          <w:rtl/>
        </w:rPr>
      </w:pPr>
      <w:r>
        <w:rPr>
          <w:rFonts w:ascii="David" w:hAnsi="David" w:hint="cs"/>
          <w:rtl/>
        </w:rPr>
        <w:t>בסיום אותה משנה, קבעו חז"ל את הכלל:</w:t>
      </w:r>
    </w:p>
    <w:p w14:paraId="02E8830B" w14:textId="77777777" w:rsidR="00DA260B" w:rsidRPr="00603238" w:rsidRDefault="00DA260B" w:rsidP="00DA260B">
      <w:pPr>
        <w:spacing w:line="360" w:lineRule="auto"/>
        <w:rPr>
          <w:rFonts w:ascii="David" w:hAnsi="David"/>
          <w:rtl/>
        </w:rPr>
      </w:pPr>
    </w:p>
    <w:p w14:paraId="2CF7DD4B" w14:textId="77777777" w:rsidR="00DA260B" w:rsidRPr="00603238" w:rsidRDefault="00DA260B" w:rsidP="00DA260B">
      <w:pPr>
        <w:spacing w:line="360" w:lineRule="auto"/>
        <w:ind w:left="425"/>
        <w:rPr>
          <w:rFonts w:ascii="David" w:hAnsi="David"/>
          <w:rtl/>
        </w:rPr>
      </w:pPr>
      <w:r w:rsidRPr="00603238">
        <w:rPr>
          <w:rFonts w:ascii="David" w:hAnsi="David"/>
          <w:rtl/>
        </w:rPr>
        <w:t>זֶה הַכְּלָל:</w:t>
      </w:r>
    </w:p>
    <w:p w14:paraId="3BF144BD" w14:textId="77777777" w:rsidR="00DA260B" w:rsidRPr="00603238" w:rsidRDefault="00DA260B" w:rsidP="00DA260B">
      <w:pPr>
        <w:spacing w:line="360" w:lineRule="auto"/>
        <w:ind w:left="425"/>
        <w:rPr>
          <w:rFonts w:ascii="David" w:hAnsi="David"/>
          <w:rtl/>
        </w:rPr>
      </w:pPr>
      <w:r w:rsidRPr="00603238">
        <w:rPr>
          <w:rFonts w:ascii="David" w:hAnsi="David"/>
          <w:rtl/>
        </w:rPr>
        <w:t>כָּל הַמְּשַׁלֵּם יָתֵר עַל מַה שֶּׁהִזִּיק,</w:t>
      </w:r>
    </w:p>
    <w:p w14:paraId="31E6E3DF" w14:textId="77777777" w:rsidR="00DA260B" w:rsidRDefault="00DA260B" w:rsidP="00DA260B">
      <w:pPr>
        <w:spacing w:line="360" w:lineRule="auto"/>
        <w:ind w:left="425"/>
        <w:jc w:val="both"/>
        <w:rPr>
          <w:rFonts w:ascii="David" w:hAnsi="David"/>
          <w:rtl/>
        </w:rPr>
      </w:pPr>
      <w:r w:rsidRPr="00603238">
        <w:rPr>
          <w:rFonts w:ascii="David" w:hAnsi="David"/>
          <w:rtl/>
        </w:rPr>
        <w:t>אֵינוֹ מְשַׁלֵּם עַל פִּי עַצְמוֹ:</w:t>
      </w:r>
    </w:p>
    <w:p w14:paraId="01C0BA5B" w14:textId="77777777" w:rsidR="00DA260B" w:rsidRDefault="00DA260B" w:rsidP="00DA260B">
      <w:pPr>
        <w:spacing w:line="360" w:lineRule="auto"/>
        <w:jc w:val="both"/>
        <w:rPr>
          <w:rFonts w:ascii="David" w:hAnsi="David"/>
          <w:rtl/>
        </w:rPr>
      </w:pPr>
    </w:p>
    <w:p w14:paraId="59B9EE74" w14:textId="77777777" w:rsidR="00DA260B" w:rsidRDefault="00DA260B" w:rsidP="00DA260B">
      <w:pPr>
        <w:spacing w:line="360" w:lineRule="auto"/>
        <w:jc w:val="both"/>
        <w:rPr>
          <w:rFonts w:ascii="David" w:hAnsi="David"/>
          <w:rtl/>
        </w:rPr>
      </w:pPr>
      <w:r>
        <w:rPr>
          <w:rFonts w:ascii="David" w:hAnsi="David" w:hint="cs"/>
          <w:rtl/>
        </w:rPr>
        <w:t>כלומר, מי שבוחר לגלות מרצון עבירה שעבר, ישלם את הנזק בלבד, ולא יוטל עליו קנס בתוספת (הקנס בא לידי ביטוי במילים "יתר על מה שהזיק").</w:t>
      </w:r>
    </w:p>
    <w:p w14:paraId="4CFDB73A" w14:textId="77777777" w:rsidR="00DA260B" w:rsidRDefault="00DA260B" w:rsidP="00DA260B">
      <w:pPr>
        <w:spacing w:line="360" w:lineRule="auto"/>
        <w:jc w:val="both"/>
        <w:rPr>
          <w:rFonts w:ascii="David" w:hAnsi="David"/>
          <w:rtl/>
        </w:rPr>
      </w:pPr>
    </w:p>
    <w:p w14:paraId="3C6B09CE" w14:textId="77777777" w:rsidR="00DA260B" w:rsidRDefault="00DA260B" w:rsidP="00DA260B">
      <w:pPr>
        <w:spacing w:line="360" w:lineRule="auto"/>
        <w:rPr>
          <w:rFonts w:ascii="David" w:hAnsi="David"/>
          <w:rtl/>
        </w:rPr>
      </w:pPr>
      <w:r>
        <w:rPr>
          <w:rFonts w:ascii="David" w:hAnsi="David" w:hint="cs"/>
          <w:rtl/>
        </w:rPr>
        <w:t xml:space="preserve">בגמרא, המפרשת את המשנה, נדונה השאלה </w:t>
      </w:r>
      <w:r>
        <w:rPr>
          <w:rFonts w:ascii="David" w:hAnsi="David"/>
          <w:rtl/>
        </w:rPr>
        <w:t>–</w:t>
      </w:r>
      <w:r>
        <w:rPr>
          <w:rFonts w:ascii="David" w:hAnsi="David" w:hint="cs"/>
          <w:rtl/>
        </w:rPr>
        <w:t xml:space="preserve"> מה דינו של מי שהודה, כשטבעת הראיות סביבו התהדקה, או, בלשון חכמים: "ראה עדים ממשמשים ובאים", כשלענין זה התגלעה מחלוקת חכמים, האם יהיה עליו לשאת בתשלום הקנס, אם לאו. ראו תלמוד בבלי, מסכת בבא קמא, ע"ה ע"א. לשיטת רבי אלעזר ברבי שמעון </w:t>
      </w:r>
      <w:r>
        <w:rPr>
          <w:rFonts w:ascii="David" w:hAnsi="David"/>
          <w:rtl/>
        </w:rPr>
        <w:t>–</w:t>
      </w:r>
      <w:r>
        <w:rPr>
          <w:rFonts w:ascii="David" w:hAnsi="David" w:hint="cs"/>
          <w:rtl/>
        </w:rPr>
        <w:t xml:space="preserve"> במצב כזה, לא יחול הפטור מתשלום הקנס. חכמים אחרים מייחסים חשיבות לעצם ההודאה ולשיטתם עדין יהיה העברין פטור מתשלום הקנס. ראו ניתוח מעמיק של הסוגיה במאמרו של עו"ד ורו"ח חגי גרוס </w:t>
      </w:r>
      <w:r w:rsidRPr="00111E26">
        <w:rPr>
          <w:rFonts w:ascii="David" w:hAnsi="David" w:hint="cs"/>
          <w:i/>
          <w:iCs/>
          <w:rtl/>
        </w:rPr>
        <w:t>"</w:t>
      </w:r>
      <w:r w:rsidRPr="00111E26">
        <w:rPr>
          <w:rFonts w:ascii="David" w:hAnsi="David"/>
          <w:i/>
          <w:iCs/>
          <w:rtl/>
        </w:rPr>
        <w:t>פטור מאכיפה פלילית ל'מעלימי מס' עקב הליכי גלוי מרצון של רשות המיסים</w:t>
      </w:r>
      <w:r w:rsidRPr="00111E26">
        <w:rPr>
          <w:rFonts w:ascii="David" w:hAnsi="David" w:hint="cs"/>
          <w:i/>
          <w:iCs/>
          <w:rtl/>
        </w:rPr>
        <w:t xml:space="preserve"> - </w:t>
      </w:r>
      <w:r w:rsidRPr="00111E26">
        <w:rPr>
          <w:rFonts w:ascii="David" w:hAnsi="David"/>
          <w:i/>
          <w:iCs/>
          <w:rtl/>
        </w:rPr>
        <w:t>- עמדת המשפט העברי</w:t>
      </w:r>
      <w:r w:rsidRPr="00111E26">
        <w:rPr>
          <w:rFonts w:ascii="David" w:hAnsi="David" w:hint="cs"/>
          <w:i/>
          <w:iCs/>
          <w:rtl/>
        </w:rPr>
        <w:t>"</w:t>
      </w:r>
      <w:r>
        <w:rPr>
          <w:rFonts w:ascii="David" w:hAnsi="David" w:hint="cs"/>
          <w:rtl/>
        </w:rPr>
        <w:t xml:space="preserve">, שו"ת ועוד, עלון המשפט העברי של לשכת עורכי הדין, מחוז תל אביב, גליון 17, שבט תשע"ח </w:t>
      </w:r>
      <w:r>
        <w:rPr>
          <w:rFonts w:ascii="David" w:hAnsi="David"/>
          <w:rtl/>
        </w:rPr>
        <w:t>–</w:t>
      </w:r>
      <w:r>
        <w:rPr>
          <w:rFonts w:ascii="David" w:hAnsi="David" w:hint="cs"/>
          <w:rtl/>
        </w:rPr>
        <w:t xml:space="preserve"> פברואר 2018.</w:t>
      </w:r>
    </w:p>
    <w:p w14:paraId="71640697" w14:textId="77777777" w:rsidR="00DA260B" w:rsidRDefault="00DA260B" w:rsidP="00DA260B">
      <w:pPr>
        <w:spacing w:line="360" w:lineRule="auto"/>
        <w:jc w:val="both"/>
        <w:rPr>
          <w:rFonts w:ascii="David" w:hAnsi="David"/>
          <w:rtl/>
        </w:rPr>
      </w:pPr>
    </w:p>
    <w:p w14:paraId="255DB822" w14:textId="77777777" w:rsidR="00DA260B" w:rsidRDefault="00DA260B" w:rsidP="00DA260B">
      <w:pPr>
        <w:spacing w:line="360" w:lineRule="auto"/>
        <w:jc w:val="both"/>
        <w:rPr>
          <w:rFonts w:ascii="David" w:hAnsi="David"/>
          <w:rtl/>
        </w:rPr>
      </w:pPr>
      <w:r>
        <w:rPr>
          <w:rFonts w:ascii="David" w:hAnsi="David" w:hint="cs"/>
          <w:rtl/>
        </w:rPr>
        <w:t xml:space="preserve">גם במשפט הישראלי המודרני, מוכר העיקרון של פטור או הפחתת האחריות עקב גילוי מרצון והוא אינו יחודי לתחום העבירות בנשק. התייחסות כזו קיימת גם ברשויות המס </w:t>
      </w:r>
      <w:r>
        <w:rPr>
          <w:rFonts w:ascii="David" w:hAnsi="David"/>
          <w:rtl/>
        </w:rPr>
        <w:t>–</w:t>
      </w:r>
      <w:r>
        <w:rPr>
          <w:rFonts w:ascii="David" w:hAnsi="David" w:hint="cs"/>
          <w:rtl/>
        </w:rPr>
        <w:t xml:space="preserve"> שם נקבע "נוהל גילוי מרצון" על עבירות אשר, במקרים בהם לא היתה ידיעה מוקדמת לרשויות המס אודותיהן, וכאשר גילוין הניב תשלום מס משמעותי </w:t>
      </w:r>
      <w:r>
        <w:rPr>
          <w:rFonts w:ascii="David" w:hAnsi="David"/>
          <w:rtl/>
        </w:rPr>
        <w:t>–</w:t>
      </w:r>
      <w:r>
        <w:rPr>
          <w:rFonts w:ascii="David" w:hAnsi="David" w:hint="cs"/>
          <w:rtl/>
        </w:rPr>
        <w:t xml:space="preserve"> יביא הגילוי, במקרים מסוימים, לפטור מלא מאחריות פלילית. נוהל זה עמד בתקפו כהוראת שעה בין השנים 2005 עד 2019 (תוך הארכתו מעת לעת) ולאחרונה מתקיימים דיונים לקביעתו מחדש. גם כיום, כשפג תקפו של הנוהל, קיימת התייחסות שונה בתכלית למי שמגלה מרצון נתונים, שיביאו לחבות במס.</w:t>
      </w:r>
    </w:p>
    <w:p w14:paraId="176DABC6" w14:textId="77777777" w:rsidR="00DA260B" w:rsidRDefault="00DA260B" w:rsidP="00DA260B">
      <w:pPr>
        <w:spacing w:line="360" w:lineRule="auto"/>
        <w:jc w:val="both"/>
        <w:rPr>
          <w:rFonts w:ascii="David" w:hAnsi="David"/>
          <w:rtl/>
        </w:rPr>
      </w:pPr>
    </w:p>
    <w:p w14:paraId="65637FFA" w14:textId="77777777" w:rsidR="00DA260B" w:rsidRDefault="00DA260B" w:rsidP="00DA260B">
      <w:pPr>
        <w:spacing w:line="360" w:lineRule="auto"/>
        <w:jc w:val="both"/>
        <w:rPr>
          <w:rFonts w:ascii="David" w:hAnsi="David"/>
          <w:rtl/>
        </w:rPr>
      </w:pPr>
      <w:r>
        <w:rPr>
          <w:rFonts w:ascii="David" w:hAnsi="David" w:hint="cs"/>
          <w:rtl/>
        </w:rPr>
        <w:t>יתרה מכך, כפי שטענה ההגנה, מתקיימים, מעת לעת, מבצעים, במסגרתם ניתנת לציבור הזדמנות למסור לרשויות נשק ואמל"ח, באופן אנונימי ומבלי שיינקטו הליכים פליליים.</w:t>
      </w:r>
    </w:p>
    <w:p w14:paraId="35318ABD" w14:textId="77777777" w:rsidR="00DA260B" w:rsidRDefault="00DA260B" w:rsidP="00DA260B">
      <w:pPr>
        <w:spacing w:line="360" w:lineRule="auto"/>
        <w:jc w:val="both"/>
        <w:rPr>
          <w:rFonts w:ascii="David" w:hAnsi="David"/>
          <w:rtl/>
        </w:rPr>
      </w:pPr>
    </w:p>
    <w:p w14:paraId="48A4443C" w14:textId="77777777" w:rsidR="00DA260B" w:rsidRDefault="00DA260B" w:rsidP="00DA260B">
      <w:pPr>
        <w:spacing w:line="360" w:lineRule="auto"/>
        <w:jc w:val="both"/>
        <w:rPr>
          <w:rFonts w:ascii="David" w:hAnsi="David"/>
          <w:rtl/>
        </w:rPr>
      </w:pPr>
      <w:r>
        <w:rPr>
          <w:rFonts w:ascii="David" w:hAnsi="David" w:hint="cs"/>
          <w:rtl/>
        </w:rPr>
        <w:t xml:space="preserve">הגם שהנאשם לא המתין למבצע מעין זה לצורך השבת הנשק והתחמושת </w:t>
      </w:r>
      <w:r>
        <w:rPr>
          <w:rFonts w:ascii="David" w:hAnsi="David"/>
          <w:rtl/>
        </w:rPr>
        <w:t>–</w:t>
      </w:r>
      <w:r>
        <w:rPr>
          <w:rFonts w:ascii="David" w:hAnsi="David" w:hint="cs"/>
          <w:rtl/>
        </w:rPr>
        <w:t xml:space="preserve"> ולכן ננקט נגדו הליך פלילי, הרי עצם קיום אותם מבצעים מלמד, ביתר תוקף, על עצמתו של האינטרס הציבורי לעודד מסירת נשק בלתי חוקי לרשויות.</w:t>
      </w:r>
    </w:p>
    <w:p w14:paraId="60DA87E3" w14:textId="77777777" w:rsidR="00DA260B" w:rsidRDefault="00DA260B" w:rsidP="00DA260B">
      <w:pPr>
        <w:spacing w:line="360" w:lineRule="auto"/>
        <w:jc w:val="both"/>
        <w:rPr>
          <w:rFonts w:ascii="David" w:hAnsi="David"/>
          <w:rtl/>
        </w:rPr>
      </w:pPr>
    </w:p>
    <w:p w14:paraId="3A9C045B" w14:textId="77777777" w:rsidR="00DA260B" w:rsidRDefault="00DA260B" w:rsidP="00DA260B">
      <w:pPr>
        <w:spacing w:line="360" w:lineRule="auto"/>
        <w:jc w:val="both"/>
        <w:rPr>
          <w:rFonts w:ascii="David" w:hAnsi="David"/>
          <w:rtl/>
        </w:rPr>
      </w:pPr>
      <w:r>
        <w:rPr>
          <w:rFonts w:ascii="David" w:hAnsi="David" w:hint="cs"/>
          <w:rtl/>
        </w:rPr>
        <w:t xml:space="preserve">על מנת לקדם האינטרס הציבורי ולאחר שהוברר, כאמור, כי במקרה דנן אין המדובר במצב, בו היתה ידיעה מוקדמת לרשויות על החזקת הנשק; לאחר שנמסר לידי הרשויות כלי נשק חם, שהיה עלול להקים פוטנציאל סיכון של ממש לציבור </w:t>
      </w:r>
      <w:r>
        <w:rPr>
          <w:rFonts w:ascii="David" w:hAnsi="David"/>
          <w:rtl/>
        </w:rPr>
        <w:t>–</w:t>
      </w:r>
      <w:r>
        <w:rPr>
          <w:rFonts w:ascii="David" w:hAnsi="David" w:hint="cs"/>
          <w:rtl/>
        </w:rPr>
        <w:t xml:space="preserve"> יועמד מתחם הענישה הנע כך שינוע בין עונש מאסר צופה פני עתיד ועד למאסר בפועל בן מחצית השנה, לריצוי בדרך של עבודות שירות.</w:t>
      </w:r>
    </w:p>
    <w:p w14:paraId="0E5FD853" w14:textId="77777777" w:rsidR="00DA260B" w:rsidRDefault="00DA260B" w:rsidP="00DA260B">
      <w:pPr>
        <w:spacing w:line="360" w:lineRule="auto"/>
        <w:jc w:val="both"/>
        <w:rPr>
          <w:rFonts w:ascii="David" w:hAnsi="David"/>
          <w:rtl/>
        </w:rPr>
      </w:pPr>
    </w:p>
    <w:p w14:paraId="0DFAA3A6" w14:textId="77777777" w:rsidR="00DA260B" w:rsidRDefault="00DA260B" w:rsidP="00DA260B">
      <w:pPr>
        <w:spacing w:line="360" w:lineRule="auto"/>
        <w:jc w:val="both"/>
        <w:rPr>
          <w:rFonts w:ascii="David" w:hAnsi="David"/>
          <w:rtl/>
        </w:rPr>
      </w:pPr>
    </w:p>
    <w:p w14:paraId="6364D352" w14:textId="77777777" w:rsidR="00DA260B" w:rsidRDefault="00DA260B" w:rsidP="00DA260B">
      <w:pPr>
        <w:spacing w:line="360" w:lineRule="auto"/>
        <w:jc w:val="both"/>
        <w:rPr>
          <w:rFonts w:ascii="David" w:hAnsi="David"/>
          <w:rtl/>
        </w:rPr>
      </w:pPr>
      <w:r>
        <w:rPr>
          <w:rFonts w:ascii="David" w:hAnsi="David" w:hint="cs"/>
          <w:b/>
          <w:bCs/>
          <w:rtl/>
        </w:rPr>
        <w:t>קביעת הענישה הספציפית בתוך המתחם</w:t>
      </w:r>
    </w:p>
    <w:p w14:paraId="2E0BDD96" w14:textId="77777777" w:rsidR="00DA260B" w:rsidRDefault="00DA260B" w:rsidP="00DA260B">
      <w:pPr>
        <w:spacing w:line="360" w:lineRule="auto"/>
        <w:jc w:val="both"/>
        <w:rPr>
          <w:rFonts w:ascii="David" w:hAnsi="David"/>
          <w:rtl/>
        </w:rPr>
      </w:pPr>
    </w:p>
    <w:p w14:paraId="18409372" w14:textId="77777777" w:rsidR="00DA260B" w:rsidRDefault="00DA260B" w:rsidP="00DA260B">
      <w:pPr>
        <w:spacing w:line="360" w:lineRule="auto"/>
        <w:jc w:val="both"/>
        <w:rPr>
          <w:rFonts w:ascii="Arial" w:hAnsi="Arial"/>
        </w:rPr>
      </w:pPr>
      <w:r>
        <w:rPr>
          <w:rFonts w:ascii="Arial" w:hAnsi="Arial"/>
          <w:rtl/>
        </w:rPr>
        <w:t>אשר לקביעת הענישה במסגרת המתחם האמור, על בית המשפט לשקול, את עברו של הנאשם; נסיבותיו האישיות והפרוגנוזה של גורמי ההערכה לגביו.</w:t>
      </w:r>
    </w:p>
    <w:p w14:paraId="006528A0" w14:textId="77777777" w:rsidR="00DA260B" w:rsidRDefault="00DA260B" w:rsidP="00DA260B">
      <w:pPr>
        <w:spacing w:line="360" w:lineRule="auto"/>
        <w:jc w:val="both"/>
        <w:rPr>
          <w:rFonts w:ascii="David" w:hAnsi="David"/>
          <w:rtl/>
        </w:rPr>
      </w:pPr>
    </w:p>
    <w:p w14:paraId="43D43C0B" w14:textId="77777777" w:rsidR="00DA260B" w:rsidRDefault="00DA260B" w:rsidP="00DA260B">
      <w:pPr>
        <w:spacing w:line="360" w:lineRule="auto"/>
        <w:jc w:val="both"/>
        <w:rPr>
          <w:rFonts w:ascii="David" w:hAnsi="David"/>
          <w:rtl/>
        </w:rPr>
      </w:pPr>
      <w:r>
        <w:rPr>
          <w:rFonts w:ascii="David" w:hAnsi="David"/>
          <w:rtl/>
        </w:rPr>
        <w:t xml:space="preserve">לזכות הנאשם, גילו הצעיר; היעדר </w:t>
      </w:r>
      <w:r>
        <w:rPr>
          <w:rFonts w:ascii="David" w:hAnsi="David" w:hint="cs"/>
          <w:rtl/>
        </w:rPr>
        <w:t>הסתבכויות אחרות כלשהן עם החוק</w:t>
      </w:r>
      <w:r>
        <w:rPr>
          <w:rFonts w:ascii="David" w:hAnsi="David"/>
          <w:rtl/>
        </w:rPr>
        <w:t>;</w:t>
      </w:r>
      <w:r>
        <w:rPr>
          <w:rFonts w:ascii="David" w:hAnsi="David" w:hint="cs"/>
          <w:rtl/>
        </w:rPr>
        <w:t xml:space="preserve"> </w:t>
      </w:r>
      <w:r>
        <w:rPr>
          <w:rFonts w:ascii="David" w:hAnsi="David"/>
          <w:rtl/>
        </w:rPr>
        <w:t>הודאתו באשמה; הפרוגנוזה החיובית משירות המבחן למבוגרים.</w:t>
      </w:r>
    </w:p>
    <w:p w14:paraId="40105B7F" w14:textId="77777777" w:rsidR="00DA260B" w:rsidRDefault="00DA260B" w:rsidP="00DA260B">
      <w:pPr>
        <w:spacing w:line="360" w:lineRule="auto"/>
        <w:jc w:val="both"/>
        <w:rPr>
          <w:rFonts w:ascii="David" w:hAnsi="David"/>
          <w:rtl/>
        </w:rPr>
      </w:pPr>
    </w:p>
    <w:p w14:paraId="4E92F5C5" w14:textId="77777777" w:rsidR="00DA260B" w:rsidRDefault="00DA260B" w:rsidP="00DA260B">
      <w:pPr>
        <w:spacing w:line="360" w:lineRule="auto"/>
        <w:jc w:val="both"/>
        <w:rPr>
          <w:rFonts w:ascii="David" w:hAnsi="David"/>
          <w:rtl/>
        </w:rPr>
      </w:pPr>
      <w:r>
        <w:rPr>
          <w:rFonts w:ascii="David" w:hAnsi="David" w:hint="cs"/>
          <w:rtl/>
        </w:rPr>
        <w:t xml:space="preserve">שירות המבחן אמנם לא בא בהמלצה טיפולית, אך ייאמר, כי אין בעובדות, העולות מתיק החקירה, כדי ללמד על מי שמעורב בעברינות, או סובל מהתמכרות כלשהי, או קיימת נסיבה אחרת, המצריכה שילובו בהליך טיפולי או שיקומי. בסך הכל </w:t>
      </w:r>
      <w:r>
        <w:rPr>
          <w:rFonts w:ascii="David" w:hAnsi="David"/>
          <w:rtl/>
        </w:rPr>
        <w:t>–</w:t>
      </w:r>
      <w:r>
        <w:rPr>
          <w:rFonts w:ascii="David" w:hAnsi="David" w:hint="cs"/>
          <w:rtl/>
        </w:rPr>
        <w:t xml:space="preserve"> על פי טענת הנאשם, שאין בנמצא ראיות לסתור אותה - החזיק בנשק שמצא למשך מספר ימים, בהם התלבט מה לעשות עמו, ולאחר מכן </w:t>
      </w:r>
      <w:r>
        <w:rPr>
          <w:rFonts w:ascii="David" w:hAnsi="David"/>
          <w:rtl/>
        </w:rPr>
        <w:t>–</w:t>
      </w:r>
      <w:r>
        <w:rPr>
          <w:rFonts w:ascii="David" w:hAnsi="David" w:hint="cs"/>
          <w:rtl/>
        </w:rPr>
        <w:t xml:space="preserve"> מסרו לידי הרשויות.</w:t>
      </w:r>
    </w:p>
    <w:p w14:paraId="76EB7036" w14:textId="77777777" w:rsidR="00DA260B" w:rsidRDefault="00DA260B" w:rsidP="00DA260B">
      <w:pPr>
        <w:spacing w:line="360" w:lineRule="auto"/>
        <w:jc w:val="both"/>
        <w:rPr>
          <w:rFonts w:ascii="David" w:hAnsi="David"/>
          <w:rtl/>
        </w:rPr>
      </w:pPr>
    </w:p>
    <w:p w14:paraId="413CCC2A" w14:textId="77777777" w:rsidR="00DA260B" w:rsidRDefault="00DA260B" w:rsidP="00DA260B">
      <w:pPr>
        <w:spacing w:line="360" w:lineRule="auto"/>
        <w:rPr>
          <w:rFonts w:ascii="David" w:hAnsi="David"/>
          <w:rtl/>
        </w:rPr>
      </w:pPr>
      <w:r>
        <w:rPr>
          <w:rFonts w:ascii="David" w:hAnsi="David"/>
          <w:rtl/>
        </w:rPr>
        <w:t>מכלול הנתונים מצביע, אם כן, לכיוון ענישה ברף התחתון של מתחם הענישה.</w:t>
      </w:r>
    </w:p>
    <w:p w14:paraId="54714D89" w14:textId="77777777" w:rsidR="00DA260B" w:rsidRDefault="00DA260B" w:rsidP="00DA260B">
      <w:pPr>
        <w:spacing w:line="360" w:lineRule="auto"/>
        <w:rPr>
          <w:rFonts w:ascii="David" w:hAnsi="David"/>
          <w:rtl/>
        </w:rPr>
      </w:pPr>
    </w:p>
    <w:p w14:paraId="19B8584A" w14:textId="77777777" w:rsidR="00DA260B" w:rsidRDefault="00DA260B" w:rsidP="00DA260B">
      <w:pPr>
        <w:spacing w:line="360" w:lineRule="auto"/>
        <w:rPr>
          <w:rFonts w:ascii="David" w:hAnsi="David"/>
          <w:rtl/>
        </w:rPr>
      </w:pPr>
      <w:r>
        <w:rPr>
          <w:rFonts w:ascii="David" w:hAnsi="David" w:hint="cs"/>
          <w:rtl/>
        </w:rPr>
        <w:t>ענישה זו חורגת לקולה גם מהמלצתו העונשית של שירות המבחן למבוגרים, אך האינטרס הציבורי אינו עולה בקנה אחד עם המלצת שירות המבחן, במקרה זה. ודוק: זוהי המלצת שירות המבחן באופן שגרתי, בתיקים שענינם החזקת נשק חם, ולא נראה, שניתן המשקל המתאים לנסיבות המיוחדות האופפות תיק זה, שכאמור, אף התביעה הכללית ראתה בו מקרה מיוחד, שאינו מצדיק מתן הדין לפי מתחמי הענישה המקובלים בפסיקה.</w:t>
      </w:r>
    </w:p>
    <w:p w14:paraId="501FC85A" w14:textId="77777777" w:rsidR="00DA260B" w:rsidRDefault="00DA260B" w:rsidP="00DA260B">
      <w:pPr>
        <w:spacing w:line="360" w:lineRule="auto"/>
        <w:rPr>
          <w:rFonts w:ascii="David" w:hAnsi="David"/>
          <w:rtl/>
        </w:rPr>
      </w:pPr>
    </w:p>
    <w:p w14:paraId="6E560ABF" w14:textId="77777777" w:rsidR="00DA260B" w:rsidRDefault="00DA260B" w:rsidP="00DA260B">
      <w:pPr>
        <w:spacing w:line="360" w:lineRule="auto"/>
        <w:rPr>
          <w:rFonts w:ascii="David" w:hAnsi="David"/>
        </w:rPr>
      </w:pPr>
      <w:r>
        <w:rPr>
          <w:rFonts w:ascii="David" w:hAnsi="David" w:hint="cs"/>
          <w:rtl/>
        </w:rPr>
        <w:t>על הנאשם יושתו, איפוא, עונשי מאסר צופים פני עתיד, בגין עבירות שענינן החזקת נשק חם או קר, או תחמושת.</w:t>
      </w:r>
    </w:p>
    <w:p w14:paraId="75E72A5C" w14:textId="77777777" w:rsidR="00DA260B" w:rsidRDefault="00DA260B" w:rsidP="00DA260B">
      <w:pPr>
        <w:spacing w:line="360" w:lineRule="auto"/>
        <w:jc w:val="both"/>
        <w:rPr>
          <w:rFonts w:ascii="David" w:hAnsi="David"/>
          <w:rtl/>
        </w:rPr>
      </w:pPr>
    </w:p>
    <w:p w14:paraId="4050F7B2" w14:textId="77777777" w:rsidR="00DA260B" w:rsidRPr="007840E0" w:rsidRDefault="00DA260B" w:rsidP="00DA260B">
      <w:pPr>
        <w:spacing w:line="360" w:lineRule="auto"/>
        <w:jc w:val="both"/>
        <w:rPr>
          <w:rFonts w:ascii="David" w:hAnsi="David"/>
        </w:rPr>
      </w:pPr>
      <w:r>
        <w:rPr>
          <w:rFonts w:ascii="David" w:hAnsi="David" w:hint="cs"/>
          <w:rtl/>
        </w:rPr>
        <w:t>לנוכח נסיבותיו האישיות של הנאשם דנן, כפי שפורטו בתסקיר, אין בית המשפט מוצא להשית עיצום כספי במישור המעשה, ויסתפק בהשתת עיצום כספי, שגם הוא יהיה צופה פני עתיד.</w:t>
      </w:r>
    </w:p>
    <w:p w14:paraId="7D3B2D45" w14:textId="77777777" w:rsidR="00DA260B" w:rsidRPr="001E1CE4" w:rsidRDefault="00DA260B" w:rsidP="00DA260B">
      <w:pPr>
        <w:spacing w:line="360" w:lineRule="auto"/>
        <w:jc w:val="both"/>
        <w:rPr>
          <w:rFonts w:ascii="David" w:hAnsi="David"/>
          <w:rtl/>
        </w:rPr>
      </w:pPr>
    </w:p>
    <w:p w14:paraId="6244A674" w14:textId="77777777" w:rsidR="00DA260B" w:rsidRDefault="00DA260B" w:rsidP="00DA260B">
      <w:pPr>
        <w:spacing w:line="360" w:lineRule="auto"/>
        <w:jc w:val="both"/>
        <w:rPr>
          <w:rFonts w:ascii="David" w:hAnsi="David"/>
          <w:rtl/>
        </w:rPr>
      </w:pPr>
    </w:p>
    <w:p w14:paraId="7EB289AD" w14:textId="77777777" w:rsidR="00DA260B" w:rsidRDefault="00DA260B" w:rsidP="00DA260B">
      <w:pPr>
        <w:spacing w:line="360" w:lineRule="auto"/>
        <w:jc w:val="both"/>
        <w:rPr>
          <w:rFonts w:ascii="David" w:hAnsi="David"/>
          <w:rtl/>
        </w:rPr>
      </w:pPr>
      <w:r>
        <w:rPr>
          <w:rFonts w:ascii="David" w:hAnsi="David" w:hint="cs"/>
          <w:b/>
          <w:bCs/>
          <w:rtl/>
        </w:rPr>
        <w:t>סיכום</w:t>
      </w:r>
    </w:p>
    <w:p w14:paraId="2258B460" w14:textId="77777777" w:rsidR="00DA260B" w:rsidRDefault="00DA260B" w:rsidP="00DA260B">
      <w:pPr>
        <w:spacing w:line="360" w:lineRule="auto"/>
        <w:jc w:val="both"/>
        <w:rPr>
          <w:rFonts w:ascii="David" w:hAnsi="David"/>
          <w:rtl/>
        </w:rPr>
      </w:pPr>
    </w:p>
    <w:p w14:paraId="400C8A89" w14:textId="77777777" w:rsidR="00DA260B" w:rsidRDefault="00DA260B" w:rsidP="00DA260B">
      <w:pPr>
        <w:spacing w:line="360" w:lineRule="auto"/>
        <w:jc w:val="both"/>
        <w:rPr>
          <w:rFonts w:ascii="David" w:hAnsi="David"/>
          <w:rtl/>
        </w:rPr>
      </w:pPr>
      <w:r>
        <w:rPr>
          <w:rFonts w:ascii="David" w:hAnsi="David"/>
          <w:rtl/>
        </w:rPr>
        <w:t>לאחר שבית המשפט עיין בטיעוני התביעה בכתב; שמע טיעוני הצדדים על פה; עיין בראיות לעונש; עיין בתסקיר שירות המבחן למבוגרים; ולאחר ששמע דברו האחרון של הנאשם, גוזר בית המשפט על הנאשם את העונשים כדלקמן:</w:t>
      </w:r>
    </w:p>
    <w:p w14:paraId="3C2B846F" w14:textId="77777777" w:rsidR="00DA260B" w:rsidRDefault="00DA260B" w:rsidP="00DA260B">
      <w:pPr>
        <w:pStyle w:val="a9"/>
        <w:numPr>
          <w:ilvl w:val="0"/>
          <w:numId w:val="1"/>
        </w:numPr>
        <w:spacing w:line="360" w:lineRule="auto"/>
        <w:jc w:val="both"/>
        <w:rPr>
          <w:rFonts w:ascii="David" w:hAnsi="David"/>
        </w:rPr>
      </w:pPr>
      <w:r>
        <w:rPr>
          <w:rFonts w:ascii="David" w:hAnsi="David" w:hint="cs"/>
          <w:rtl/>
        </w:rPr>
        <w:t>9</w:t>
      </w:r>
      <w:r w:rsidRPr="007840E0">
        <w:rPr>
          <w:rFonts w:ascii="David" w:hAnsi="David"/>
          <w:rtl/>
        </w:rPr>
        <w:t xml:space="preserve"> חודשי מאסר על תנאי למשך 3 שנים מהיום; והתנאי – שהנאשם לא יעבור עבירה בניגוד </w:t>
      </w:r>
      <w:hyperlink r:id="rId17" w:history="1">
        <w:r w:rsidR="00153039" w:rsidRPr="00153039">
          <w:rPr>
            <w:rStyle w:val="Hyperlink"/>
            <w:rFonts w:ascii="David" w:hAnsi="David"/>
            <w:rtl/>
          </w:rPr>
          <w:t>לסעיף 144</w:t>
        </w:r>
      </w:hyperlink>
      <w:r w:rsidRPr="007840E0">
        <w:rPr>
          <w:rFonts w:ascii="David" w:hAnsi="David"/>
          <w:rtl/>
        </w:rPr>
        <w:t xml:space="preserve"> ל</w:t>
      </w:r>
      <w:hyperlink r:id="rId18" w:history="1">
        <w:r w:rsidR="006F5308" w:rsidRPr="006F5308">
          <w:rPr>
            <w:rFonts w:ascii="David" w:hAnsi="David"/>
            <w:color w:val="0000FF"/>
            <w:u w:val="single"/>
            <w:rtl/>
          </w:rPr>
          <w:t>חוק העונשין</w:t>
        </w:r>
      </w:hyperlink>
      <w:r w:rsidRPr="007840E0">
        <w:rPr>
          <w:rFonts w:ascii="David" w:hAnsi="David"/>
          <w:rtl/>
        </w:rPr>
        <w:t>, תשל"ז – 1977</w:t>
      </w:r>
      <w:r>
        <w:rPr>
          <w:rFonts w:ascii="David" w:hAnsi="David" w:hint="cs"/>
          <w:rtl/>
        </w:rPr>
        <w:t>, שהיא מסוג פשע</w:t>
      </w:r>
      <w:r w:rsidRPr="007840E0">
        <w:rPr>
          <w:rFonts w:ascii="David" w:hAnsi="David"/>
          <w:rtl/>
        </w:rPr>
        <w:t xml:space="preserve">; </w:t>
      </w:r>
    </w:p>
    <w:p w14:paraId="6C8467EB" w14:textId="77777777" w:rsidR="00DA260B" w:rsidRDefault="006F5308" w:rsidP="00DA260B">
      <w:pPr>
        <w:pStyle w:val="a9"/>
        <w:numPr>
          <w:ilvl w:val="0"/>
          <w:numId w:val="1"/>
        </w:numPr>
        <w:spacing w:line="360" w:lineRule="auto"/>
        <w:jc w:val="both"/>
        <w:rPr>
          <w:rFonts w:ascii="David" w:hAnsi="David"/>
        </w:rPr>
      </w:pPr>
      <w:r>
        <w:rPr>
          <w:rFonts w:ascii="David" w:hAnsi="David"/>
          <w:rtl/>
        </w:rPr>
        <w:t xml:space="preserve"> </w:t>
      </w:r>
      <w:r w:rsidR="00DA260B" w:rsidRPr="007840E0">
        <w:rPr>
          <w:rFonts w:ascii="David" w:hAnsi="David"/>
          <w:rtl/>
        </w:rPr>
        <w:t xml:space="preserve">6 חודשי מאסר על תנאי למשך 3 שנים מהיום; והתנאי – שהנאשם לא יעבור עבירה בניגוד </w:t>
      </w:r>
      <w:hyperlink r:id="rId19" w:history="1">
        <w:r w:rsidR="00153039" w:rsidRPr="00153039">
          <w:rPr>
            <w:rStyle w:val="Hyperlink"/>
            <w:rFonts w:ascii="David" w:hAnsi="David"/>
            <w:rtl/>
          </w:rPr>
          <w:t>לסעיף 144</w:t>
        </w:r>
      </w:hyperlink>
      <w:r w:rsidR="00DA260B" w:rsidRPr="007840E0">
        <w:rPr>
          <w:rFonts w:ascii="David" w:hAnsi="David"/>
          <w:rtl/>
        </w:rPr>
        <w:t xml:space="preserve"> ל</w:t>
      </w:r>
      <w:hyperlink r:id="rId20" w:history="1">
        <w:r w:rsidRPr="006F5308">
          <w:rPr>
            <w:rFonts w:ascii="David" w:hAnsi="David"/>
            <w:color w:val="0000FF"/>
            <w:u w:val="single"/>
            <w:rtl/>
          </w:rPr>
          <w:t>חוק העונשין</w:t>
        </w:r>
      </w:hyperlink>
      <w:r w:rsidR="00DA260B" w:rsidRPr="007840E0">
        <w:rPr>
          <w:rFonts w:ascii="David" w:hAnsi="David"/>
          <w:rtl/>
        </w:rPr>
        <w:t>, תשל"ז – 1977</w:t>
      </w:r>
      <w:r w:rsidR="00DA260B">
        <w:rPr>
          <w:rFonts w:ascii="David" w:hAnsi="David" w:hint="cs"/>
          <w:rtl/>
        </w:rPr>
        <w:t>, שהיא מסוג עוון</w:t>
      </w:r>
      <w:r w:rsidR="00DA260B" w:rsidRPr="007840E0">
        <w:rPr>
          <w:rFonts w:ascii="David" w:hAnsi="David"/>
          <w:rtl/>
        </w:rPr>
        <w:t>;</w:t>
      </w:r>
      <w:r>
        <w:rPr>
          <w:rFonts w:ascii="David" w:hAnsi="David"/>
          <w:rtl/>
        </w:rPr>
        <w:t xml:space="preserve"> </w:t>
      </w:r>
      <w:r w:rsidR="00DA260B" w:rsidRPr="007840E0">
        <w:rPr>
          <w:rFonts w:ascii="David" w:hAnsi="David"/>
          <w:rtl/>
        </w:rPr>
        <w:t xml:space="preserve"> או עבירה כלשהי בניגוד </w:t>
      </w:r>
      <w:hyperlink r:id="rId21" w:history="1">
        <w:r w:rsidR="00153039" w:rsidRPr="00153039">
          <w:rPr>
            <w:rStyle w:val="Hyperlink"/>
            <w:rFonts w:ascii="David" w:hAnsi="David"/>
            <w:rtl/>
          </w:rPr>
          <w:t>לסעיף 186</w:t>
        </w:r>
      </w:hyperlink>
      <w:r w:rsidR="00DA260B" w:rsidRPr="007840E0">
        <w:rPr>
          <w:rFonts w:ascii="David" w:hAnsi="David"/>
          <w:rtl/>
        </w:rPr>
        <w:t xml:space="preserve"> לאותו חוק;</w:t>
      </w:r>
    </w:p>
    <w:p w14:paraId="2E939B28" w14:textId="77777777" w:rsidR="00DA260B" w:rsidRDefault="00DA260B" w:rsidP="00DA260B">
      <w:pPr>
        <w:pStyle w:val="a9"/>
        <w:numPr>
          <w:ilvl w:val="0"/>
          <w:numId w:val="1"/>
        </w:numPr>
        <w:spacing w:line="360" w:lineRule="auto"/>
        <w:jc w:val="both"/>
        <w:rPr>
          <w:rFonts w:ascii="David" w:hAnsi="David"/>
        </w:rPr>
      </w:pPr>
      <w:r>
        <w:rPr>
          <w:rFonts w:ascii="David" w:hAnsi="David" w:hint="cs"/>
          <w:rtl/>
        </w:rPr>
        <w:t xml:space="preserve">הנאשם יחתום התחייבות על סך 10,000 ₪, להימנע, בתוך 3 שנים מהיום, מלעבור כל עבירה המפעילה אחד המאסרים המותנים הנקובים בסעיפים א' </w:t>
      </w:r>
      <w:r>
        <w:rPr>
          <w:rFonts w:ascii="David" w:hAnsi="David"/>
          <w:rtl/>
        </w:rPr>
        <w:t>–</w:t>
      </w:r>
      <w:r>
        <w:rPr>
          <w:rFonts w:ascii="David" w:hAnsi="David" w:hint="cs"/>
          <w:rtl/>
        </w:rPr>
        <w:t xml:space="preserve"> ב' לעיל. לא תיחתם ההתחייבות, ייאסר למשך 21 יום;</w:t>
      </w:r>
    </w:p>
    <w:p w14:paraId="6FB41FE0" w14:textId="77777777" w:rsidR="00DA260B" w:rsidRPr="007840E0" w:rsidRDefault="006F5308" w:rsidP="00DA260B">
      <w:pPr>
        <w:pStyle w:val="a9"/>
        <w:numPr>
          <w:ilvl w:val="0"/>
          <w:numId w:val="1"/>
        </w:numPr>
        <w:spacing w:line="360" w:lineRule="auto"/>
        <w:jc w:val="both"/>
        <w:rPr>
          <w:rFonts w:ascii="David" w:hAnsi="David"/>
          <w:rtl/>
        </w:rPr>
      </w:pPr>
      <w:r>
        <w:rPr>
          <w:rFonts w:ascii="David" w:hAnsi="David"/>
          <w:rtl/>
        </w:rPr>
        <w:t xml:space="preserve"> </w:t>
      </w:r>
      <w:r w:rsidR="00DA260B" w:rsidRPr="007840E0">
        <w:rPr>
          <w:rFonts w:ascii="David" w:hAnsi="David"/>
          <w:rtl/>
        </w:rPr>
        <w:t xml:space="preserve"> נשק ותחמושת – יושמדו, בחלוף תקופת הערעור.</w:t>
      </w:r>
    </w:p>
    <w:p w14:paraId="6C37C61D" w14:textId="77777777" w:rsidR="00DA260B" w:rsidRDefault="00DA260B" w:rsidP="00DA260B">
      <w:pPr>
        <w:spacing w:line="360" w:lineRule="auto"/>
        <w:jc w:val="both"/>
        <w:rPr>
          <w:rFonts w:ascii="David" w:hAnsi="David"/>
          <w:rtl/>
        </w:rPr>
      </w:pPr>
    </w:p>
    <w:p w14:paraId="32B83C8C" w14:textId="77777777" w:rsidR="00DA260B" w:rsidRDefault="00DA260B" w:rsidP="00DA260B">
      <w:pPr>
        <w:spacing w:line="360" w:lineRule="auto"/>
        <w:jc w:val="both"/>
        <w:rPr>
          <w:rFonts w:ascii="David" w:hAnsi="David"/>
          <w:rtl/>
        </w:rPr>
      </w:pPr>
    </w:p>
    <w:p w14:paraId="60F7A3FE" w14:textId="77777777" w:rsidR="00DA260B" w:rsidRDefault="00DA260B" w:rsidP="00DA260B">
      <w:pPr>
        <w:spacing w:line="360" w:lineRule="auto"/>
        <w:jc w:val="both"/>
        <w:rPr>
          <w:rFonts w:ascii="David" w:hAnsi="David"/>
          <w:rtl/>
        </w:rPr>
      </w:pPr>
    </w:p>
    <w:p w14:paraId="175B3F03" w14:textId="77777777" w:rsidR="00DA260B" w:rsidRDefault="00DA260B" w:rsidP="00DA260B">
      <w:pPr>
        <w:spacing w:line="360" w:lineRule="auto"/>
        <w:jc w:val="both"/>
        <w:rPr>
          <w:rFonts w:ascii="David" w:hAnsi="David"/>
          <w:rtl/>
        </w:rPr>
      </w:pPr>
    </w:p>
    <w:p w14:paraId="228D139C" w14:textId="77777777" w:rsidR="00DA260B" w:rsidRPr="00FD0AD8" w:rsidRDefault="00DA260B" w:rsidP="00DA260B">
      <w:pPr>
        <w:spacing w:after="160" w:line="276" w:lineRule="auto"/>
        <w:rPr>
          <w:rFonts w:ascii="Calibri" w:hAnsi="Calibri"/>
          <w:rtl/>
        </w:rPr>
      </w:pPr>
      <w:r w:rsidRPr="00FD0AD8">
        <w:rPr>
          <w:rFonts w:ascii="Calibri" w:hAnsi="Calibri" w:hint="eastAsia"/>
          <w:rtl/>
        </w:rPr>
        <w:t>עותק</w:t>
      </w:r>
      <w:r w:rsidRPr="00FD0AD8">
        <w:rPr>
          <w:rFonts w:ascii="Calibri" w:hAnsi="Calibri"/>
          <w:rtl/>
        </w:rPr>
        <w:t xml:space="preserve"> </w:t>
      </w:r>
      <w:r w:rsidRPr="00FD0AD8">
        <w:rPr>
          <w:rFonts w:ascii="Calibri" w:hAnsi="Calibri" w:hint="eastAsia"/>
          <w:rtl/>
        </w:rPr>
        <w:t>גזר</w:t>
      </w:r>
      <w:r w:rsidRPr="00FD0AD8">
        <w:rPr>
          <w:rFonts w:ascii="Calibri" w:hAnsi="Calibri"/>
          <w:rtl/>
        </w:rPr>
        <w:t xml:space="preserve"> </w:t>
      </w:r>
      <w:r w:rsidRPr="00FD0AD8">
        <w:rPr>
          <w:rFonts w:ascii="Calibri" w:hAnsi="Calibri" w:hint="eastAsia"/>
          <w:rtl/>
        </w:rPr>
        <w:t>הדין</w:t>
      </w:r>
      <w:r w:rsidRPr="00FD0AD8">
        <w:rPr>
          <w:rFonts w:ascii="Calibri" w:hAnsi="Calibri"/>
          <w:rtl/>
        </w:rPr>
        <w:t xml:space="preserve"> </w:t>
      </w:r>
      <w:r w:rsidRPr="00FD0AD8">
        <w:rPr>
          <w:rFonts w:ascii="Calibri" w:hAnsi="Calibri" w:hint="eastAsia"/>
          <w:rtl/>
        </w:rPr>
        <w:t>יועבר</w:t>
      </w:r>
      <w:r w:rsidRPr="00FD0AD8">
        <w:rPr>
          <w:rFonts w:ascii="Calibri" w:hAnsi="Calibri"/>
          <w:rtl/>
        </w:rPr>
        <w:t xml:space="preserve"> </w:t>
      </w:r>
      <w:r w:rsidRPr="00FD0AD8">
        <w:rPr>
          <w:rFonts w:ascii="Calibri" w:hAnsi="Calibri" w:hint="eastAsia"/>
          <w:rtl/>
        </w:rPr>
        <w:t>לשירות</w:t>
      </w:r>
      <w:r w:rsidRPr="00FD0AD8">
        <w:rPr>
          <w:rFonts w:ascii="Calibri" w:hAnsi="Calibri"/>
          <w:rtl/>
        </w:rPr>
        <w:t xml:space="preserve"> </w:t>
      </w:r>
      <w:r w:rsidRPr="00FD0AD8">
        <w:rPr>
          <w:rFonts w:ascii="Calibri" w:hAnsi="Calibri" w:hint="eastAsia"/>
          <w:rtl/>
        </w:rPr>
        <w:t>המבחן</w:t>
      </w:r>
      <w:r w:rsidRPr="00FD0AD8">
        <w:rPr>
          <w:rFonts w:ascii="Calibri" w:hAnsi="Calibri"/>
          <w:rtl/>
        </w:rPr>
        <w:t xml:space="preserve"> </w:t>
      </w:r>
      <w:r w:rsidRPr="00FD0AD8">
        <w:rPr>
          <w:rFonts w:ascii="Calibri" w:hAnsi="Calibri" w:hint="eastAsia"/>
          <w:rtl/>
        </w:rPr>
        <w:t>למבוגרים</w:t>
      </w:r>
      <w:r>
        <w:rPr>
          <w:rFonts w:ascii="Calibri" w:hAnsi="Calibri" w:hint="cs"/>
          <w:rtl/>
        </w:rPr>
        <w:t>.</w:t>
      </w:r>
    </w:p>
    <w:p w14:paraId="19360005" w14:textId="77777777" w:rsidR="00DA260B" w:rsidRDefault="00DA260B" w:rsidP="00DA260B">
      <w:pPr>
        <w:spacing w:after="160" w:line="276" w:lineRule="auto"/>
        <w:rPr>
          <w:rFonts w:ascii="Calibri" w:hAnsi="Calibri"/>
          <w:rtl/>
        </w:rPr>
      </w:pPr>
    </w:p>
    <w:p w14:paraId="47AB8A12" w14:textId="77777777" w:rsidR="00DA260B" w:rsidRDefault="00DA260B" w:rsidP="00DA260B">
      <w:pPr>
        <w:spacing w:after="160" w:line="276" w:lineRule="auto"/>
        <w:rPr>
          <w:rFonts w:ascii="Calibri" w:hAnsi="Calibri"/>
          <w:rtl/>
        </w:rPr>
      </w:pPr>
    </w:p>
    <w:p w14:paraId="1ADCAE9B" w14:textId="77777777" w:rsidR="00DA260B" w:rsidRPr="00FD0AD8" w:rsidRDefault="00DA260B" w:rsidP="00DA260B">
      <w:pPr>
        <w:spacing w:after="160" w:line="276" w:lineRule="auto"/>
        <w:rPr>
          <w:rFonts w:ascii="Calibri" w:hAnsi="Calibri"/>
          <w:rtl/>
        </w:rPr>
      </w:pPr>
      <w:r w:rsidRPr="00FD0AD8">
        <w:rPr>
          <w:rFonts w:ascii="Calibri" w:hAnsi="Calibri" w:hint="eastAsia"/>
          <w:rtl/>
        </w:rPr>
        <w:t>הודעה</w:t>
      </w:r>
      <w:r w:rsidRPr="00FD0AD8">
        <w:rPr>
          <w:rFonts w:ascii="Calibri" w:hAnsi="Calibri"/>
          <w:rtl/>
        </w:rPr>
        <w:t xml:space="preserve"> </w:t>
      </w:r>
      <w:r w:rsidRPr="00FD0AD8">
        <w:rPr>
          <w:rFonts w:ascii="Calibri" w:hAnsi="Calibri" w:hint="eastAsia"/>
          <w:rtl/>
        </w:rPr>
        <w:t>זכות</w:t>
      </w:r>
      <w:r w:rsidRPr="00FD0AD8">
        <w:rPr>
          <w:rFonts w:ascii="Calibri" w:hAnsi="Calibri"/>
          <w:rtl/>
        </w:rPr>
        <w:t xml:space="preserve"> </w:t>
      </w:r>
      <w:r w:rsidRPr="00FD0AD8">
        <w:rPr>
          <w:rFonts w:ascii="Calibri" w:hAnsi="Calibri" w:hint="eastAsia"/>
          <w:rtl/>
        </w:rPr>
        <w:t>הערעור</w:t>
      </w:r>
      <w:r w:rsidRPr="00FD0AD8">
        <w:rPr>
          <w:rFonts w:ascii="Calibri" w:hAnsi="Calibri"/>
          <w:rtl/>
        </w:rPr>
        <w:t>.</w:t>
      </w:r>
    </w:p>
    <w:p w14:paraId="1F233086" w14:textId="77777777" w:rsidR="00DA260B" w:rsidRDefault="00DA260B" w:rsidP="00DA260B"/>
    <w:p w14:paraId="240951B5" w14:textId="77777777" w:rsidR="00DA260B" w:rsidRPr="006F5308" w:rsidRDefault="006F5308" w:rsidP="00DA260B">
      <w:pPr>
        <w:spacing w:line="360" w:lineRule="auto"/>
        <w:jc w:val="both"/>
        <w:rPr>
          <w:rFonts w:ascii="David" w:hAnsi="David"/>
          <w:color w:val="FFFFFF"/>
          <w:sz w:val="2"/>
          <w:szCs w:val="2"/>
          <w:rtl/>
        </w:rPr>
      </w:pPr>
      <w:r w:rsidRPr="006F5308">
        <w:rPr>
          <w:rFonts w:ascii="David" w:hAnsi="David"/>
          <w:color w:val="FFFFFF"/>
          <w:sz w:val="2"/>
          <w:szCs w:val="2"/>
          <w:rtl/>
        </w:rPr>
        <w:t>5129371</w:t>
      </w:r>
    </w:p>
    <w:p w14:paraId="14905C1B" w14:textId="77777777" w:rsidR="00DA260B" w:rsidRPr="006F5308" w:rsidRDefault="006F5308" w:rsidP="00DA260B">
      <w:pPr>
        <w:spacing w:line="360" w:lineRule="auto"/>
        <w:jc w:val="both"/>
        <w:rPr>
          <w:rFonts w:ascii="Arial" w:hAnsi="Arial"/>
          <w:color w:val="FFFFFF"/>
          <w:sz w:val="2"/>
          <w:szCs w:val="2"/>
          <w:rtl/>
        </w:rPr>
      </w:pPr>
      <w:r w:rsidRPr="006F5308">
        <w:rPr>
          <w:rFonts w:ascii="Arial" w:hAnsi="Arial"/>
          <w:color w:val="FFFFFF"/>
          <w:sz w:val="2"/>
          <w:szCs w:val="2"/>
          <w:rtl/>
        </w:rPr>
        <w:t>54678313</w:t>
      </w:r>
    </w:p>
    <w:p w14:paraId="012A3900" w14:textId="77777777" w:rsidR="00DA260B" w:rsidRDefault="00DA260B" w:rsidP="00DA260B">
      <w:pPr>
        <w:spacing w:line="360" w:lineRule="auto"/>
        <w:jc w:val="both"/>
        <w:rPr>
          <w:rFonts w:ascii="Arial" w:hAnsi="Arial"/>
          <w:rtl/>
        </w:rPr>
      </w:pPr>
    </w:p>
    <w:p w14:paraId="4BD96986" w14:textId="77777777" w:rsidR="00DA260B" w:rsidRDefault="006F5308" w:rsidP="00DA260B">
      <w:pPr>
        <w:spacing w:line="360" w:lineRule="auto"/>
        <w:jc w:val="both"/>
        <w:rPr>
          <w:rFonts w:ascii="Arial" w:hAnsi="Arial"/>
          <w:rtl/>
        </w:rPr>
      </w:pPr>
      <w:bookmarkStart w:id="8" w:name="Nitan"/>
      <w:r>
        <w:rPr>
          <w:rFonts w:ascii="Arial" w:hAnsi="Arial"/>
          <w:rtl/>
        </w:rPr>
        <w:t xml:space="preserve">ניתנה היום, ח' אייר תשפ"א, 20 אפריל 2021, בנוכחות הצדדים. </w:t>
      </w:r>
      <w:bookmarkEnd w:id="8"/>
    </w:p>
    <w:p w14:paraId="6EB2202E" w14:textId="77777777" w:rsidR="00DA260B" w:rsidRDefault="00DA260B" w:rsidP="00DA260B">
      <w:pPr>
        <w:spacing w:line="360" w:lineRule="auto"/>
        <w:ind w:left="3600" w:firstLine="720"/>
        <w:jc w:val="center"/>
      </w:pPr>
    </w:p>
    <w:p w14:paraId="42897C99" w14:textId="77777777" w:rsidR="00DA260B" w:rsidRPr="00153039" w:rsidRDefault="00153039" w:rsidP="00DA260B">
      <w:pPr>
        <w:spacing w:line="360" w:lineRule="auto"/>
        <w:ind w:left="3600" w:firstLine="720"/>
        <w:jc w:val="center"/>
        <w:rPr>
          <w:rFonts w:ascii="Arial" w:hAnsi="Arial"/>
          <w:color w:val="FFFFFF"/>
          <w:sz w:val="2"/>
          <w:szCs w:val="2"/>
          <w:rtl/>
        </w:rPr>
      </w:pPr>
      <w:r w:rsidRPr="00153039">
        <w:rPr>
          <w:rFonts w:ascii="Arial" w:hAnsi="Arial"/>
          <w:color w:val="FFFFFF"/>
          <w:sz w:val="2"/>
          <w:szCs w:val="2"/>
          <w:rtl/>
        </w:rPr>
        <w:t>5129371</w:t>
      </w:r>
    </w:p>
    <w:p w14:paraId="2F7DC509" w14:textId="77777777" w:rsidR="00323BA8" w:rsidRPr="00153039" w:rsidRDefault="00153039" w:rsidP="006F5308">
      <w:pPr>
        <w:keepNext/>
        <w:rPr>
          <w:rFonts w:ascii="David" w:hAnsi="David" w:hint="cs"/>
          <w:color w:val="FFFFFF"/>
          <w:sz w:val="2"/>
          <w:szCs w:val="2"/>
          <w:rtl/>
        </w:rPr>
      </w:pPr>
      <w:r w:rsidRPr="00153039">
        <w:rPr>
          <w:rFonts w:ascii="David" w:hAnsi="David"/>
          <w:color w:val="FFFFFF"/>
          <w:sz w:val="2"/>
          <w:szCs w:val="2"/>
          <w:rtl/>
        </w:rPr>
        <w:t>54678313</w:t>
      </w:r>
    </w:p>
    <w:p w14:paraId="06FCC0BE" w14:textId="77777777" w:rsidR="006F5308" w:rsidRPr="006F5308" w:rsidRDefault="006F5308" w:rsidP="006F5308">
      <w:pPr>
        <w:keepNext/>
        <w:rPr>
          <w:rFonts w:ascii="David" w:hAnsi="David"/>
          <w:color w:val="000000"/>
          <w:sz w:val="22"/>
          <w:szCs w:val="22"/>
          <w:rtl/>
        </w:rPr>
      </w:pPr>
      <w:r w:rsidRPr="006F5308">
        <w:rPr>
          <w:rFonts w:ascii="David" w:hAnsi="David"/>
          <w:color w:val="000000"/>
          <w:sz w:val="22"/>
          <w:szCs w:val="22"/>
          <w:rtl/>
        </w:rPr>
        <w:t>רון סולקין 54678313</w:t>
      </w:r>
    </w:p>
    <w:p w14:paraId="297ADDAA" w14:textId="77777777" w:rsidR="006F5308" w:rsidRDefault="006F5308" w:rsidP="006F5308">
      <w:r w:rsidRPr="006F5308">
        <w:rPr>
          <w:color w:val="000000"/>
          <w:rtl/>
        </w:rPr>
        <w:t>נוסח מסמך זה כפוף לשינויי ניסוח ועריכה</w:t>
      </w:r>
    </w:p>
    <w:p w14:paraId="699695C7" w14:textId="77777777" w:rsidR="006F5308" w:rsidRDefault="006F5308" w:rsidP="006F5308">
      <w:pPr>
        <w:rPr>
          <w:rtl/>
        </w:rPr>
      </w:pPr>
    </w:p>
    <w:p w14:paraId="50FCD706" w14:textId="77777777" w:rsidR="006F5308" w:rsidRDefault="006F5308" w:rsidP="006F5308">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0ED1D1F5" w14:textId="77777777" w:rsidR="00153039" w:rsidRPr="00153039" w:rsidRDefault="00153039" w:rsidP="00153039">
      <w:pPr>
        <w:keepNext/>
        <w:rPr>
          <w:rFonts w:ascii="David" w:hAnsi="David" w:hint="cs"/>
          <w:color w:val="000000"/>
          <w:sz w:val="22"/>
          <w:szCs w:val="22"/>
          <w:rtl/>
        </w:rPr>
      </w:pPr>
    </w:p>
    <w:sectPr w:rsidR="00153039" w:rsidRPr="00153039" w:rsidSect="00153039">
      <w:headerReference w:type="even" r:id="rId23"/>
      <w:headerReference w:type="default" r:id="rId24"/>
      <w:footerReference w:type="even" r:id="rId25"/>
      <w:footerReference w:type="default" r:id="rId26"/>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FA90C" w14:textId="77777777" w:rsidR="004F7BE9" w:rsidRDefault="004F7BE9" w:rsidP="001C66CF">
      <w:r>
        <w:separator/>
      </w:r>
    </w:p>
  </w:endnote>
  <w:endnote w:type="continuationSeparator" w:id="0">
    <w:p w14:paraId="0CA61D09" w14:textId="77777777" w:rsidR="004F7BE9" w:rsidRDefault="004F7BE9" w:rsidP="001C6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88903" w14:textId="77777777" w:rsidR="00153039" w:rsidRDefault="00153039" w:rsidP="0015303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BFD318C" w14:textId="77777777" w:rsidR="006F5308" w:rsidRPr="00153039" w:rsidRDefault="00153039" w:rsidP="00153039">
    <w:pPr>
      <w:pStyle w:val="a5"/>
      <w:pBdr>
        <w:top w:val="single" w:sz="4" w:space="1" w:color="auto"/>
        <w:between w:val="single" w:sz="4" w:space="0" w:color="auto"/>
      </w:pBdr>
      <w:spacing w:after="60"/>
      <w:jc w:val="center"/>
      <w:rPr>
        <w:rFonts w:ascii="FrankRuehl" w:hAnsi="FrankRuehl" w:cs="FrankRuehl"/>
        <w:color w:val="000000"/>
      </w:rPr>
    </w:pPr>
    <w:r w:rsidRPr="0015303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8E49A" w14:textId="77777777" w:rsidR="00153039" w:rsidRDefault="00153039" w:rsidP="00153039">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67E6C">
      <w:rPr>
        <w:rStyle w:val="a8"/>
        <w:rFonts w:ascii="FrankRuehl" w:hAnsi="FrankRuehl" w:cs="FrankRuehl"/>
        <w:noProof/>
        <w:rtl/>
      </w:rPr>
      <w:t>1</w:t>
    </w:r>
    <w:r>
      <w:rPr>
        <w:rStyle w:val="a8"/>
        <w:rFonts w:ascii="FrankRuehl" w:hAnsi="FrankRuehl" w:cs="FrankRuehl"/>
        <w:rtl/>
      </w:rPr>
      <w:fldChar w:fldCharType="end"/>
    </w:r>
  </w:p>
  <w:p w14:paraId="5716BAD1" w14:textId="77777777" w:rsidR="00E22932" w:rsidRPr="00153039" w:rsidRDefault="00153039" w:rsidP="00153039">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153039">
      <w:rPr>
        <w:rStyle w:val="a8"/>
        <w:rFonts w:ascii="FrankRuehl" w:hAnsi="FrankRuehl" w:cs="FrankRuehl" w:hint="cs"/>
        <w:color w:val="000000"/>
      </w:rPr>
      <w:pict w14:anchorId="42F5E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F2807" w14:textId="77777777" w:rsidR="004F7BE9" w:rsidRDefault="004F7BE9" w:rsidP="001C66CF">
      <w:r>
        <w:separator/>
      </w:r>
    </w:p>
  </w:footnote>
  <w:footnote w:type="continuationSeparator" w:id="0">
    <w:p w14:paraId="61E15521" w14:textId="77777777" w:rsidR="004F7BE9" w:rsidRDefault="004F7BE9" w:rsidP="001C6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ECD25" w14:textId="77777777" w:rsidR="006F5308" w:rsidRPr="00153039" w:rsidRDefault="00153039" w:rsidP="001530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30216-05-19</w:t>
    </w:r>
    <w:r>
      <w:rPr>
        <w:rFonts w:ascii="David" w:hAnsi="David"/>
        <w:color w:val="000000"/>
        <w:sz w:val="22"/>
        <w:szCs w:val="22"/>
        <w:rtl/>
      </w:rPr>
      <w:tab/>
      <w:t xml:space="preserve"> מדינת ישראל  נ' נאג'י בן מחמד אבו עאמר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2480A" w14:textId="77777777" w:rsidR="006F5308" w:rsidRPr="00153039" w:rsidRDefault="00153039" w:rsidP="001530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30216-05-19</w:t>
    </w:r>
    <w:r>
      <w:rPr>
        <w:rFonts w:ascii="David" w:hAnsi="David"/>
        <w:color w:val="000000"/>
        <w:sz w:val="22"/>
        <w:szCs w:val="22"/>
        <w:rtl/>
      </w:rPr>
      <w:tab/>
      <w:t xml:space="preserve"> מדינת ישראל  נ' נאג'י בן מחמד אבו עאמר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A816EE"/>
    <w:multiLevelType w:val="hybridMultilevel"/>
    <w:tmpl w:val="B3962142"/>
    <w:lvl w:ilvl="0" w:tplc="04090013">
      <w:start w:val="1"/>
      <w:numFmt w:val="hebrew1"/>
      <w:lvlText w:val="%1."/>
      <w:lvlJc w:val="center"/>
      <w:pPr>
        <w:ind w:left="1053" w:hanging="360"/>
      </w:p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num w:numId="1" w16cid:durableId="2099599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260B"/>
    <w:rsid w:val="00023F37"/>
    <w:rsid w:val="00153039"/>
    <w:rsid w:val="001C66CF"/>
    <w:rsid w:val="001D00B4"/>
    <w:rsid w:val="001E5D80"/>
    <w:rsid w:val="00323BA8"/>
    <w:rsid w:val="004F7BE9"/>
    <w:rsid w:val="006F5308"/>
    <w:rsid w:val="00767E6C"/>
    <w:rsid w:val="009A4E4C"/>
    <w:rsid w:val="00B5627A"/>
    <w:rsid w:val="00BE7E38"/>
    <w:rsid w:val="00DA260B"/>
    <w:rsid w:val="00DF52C0"/>
    <w:rsid w:val="00E22932"/>
    <w:rsid w:val="00F50CC6"/>
    <w:rsid w:val="00F564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3789A9"/>
  <w15:chartTrackingRefBased/>
  <w15:docId w15:val="{3DE52CA3-E038-4C42-8A2B-F4DF60C2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260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60B"/>
    <w:pPr>
      <w:tabs>
        <w:tab w:val="center" w:pos="4153"/>
        <w:tab w:val="right" w:pos="8306"/>
      </w:tabs>
    </w:pPr>
  </w:style>
  <w:style w:type="character" w:customStyle="1" w:styleId="a4">
    <w:name w:val="כותרת עליונה תו"/>
    <w:link w:val="a3"/>
    <w:rsid w:val="00DA260B"/>
    <w:rPr>
      <w:rFonts w:ascii="Times New Roman" w:eastAsia="Times New Roman" w:hAnsi="Times New Roman" w:cs="David"/>
      <w:sz w:val="24"/>
      <w:szCs w:val="24"/>
    </w:rPr>
  </w:style>
  <w:style w:type="paragraph" w:styleId="a5">
    <w:name w:val="footer"/>
    <w:basedOn w:val="a"/>
    <w:link w:val="a6"/>
    <w:rsid w:val="00DA260B"/>
    <w:pPr>
      <w:tabs>
        <w:tab w:val="center" w:pos="4153"/>
        <w:tab w:val="right" w:pos="8306"/>
      </w:tabs>
    </w:pPr>
  </w:style>
  <w:style w:type="character" w:customStyle="1" w:styleId="a6">
    <w:name w:val="כותרת תחתונה תו"/>
    <w:link w:val="a5"/>
    <w:rsid w:val="00DA260B"/>
    <w:rPr>
      <w:rFonts w:ascii="Times New Roman" w:eastAsia="Times New Roman" w:hAnsi="Times New Roman" w:cs="David"/>
      <w:sz w:val="24"/>
      <w:szCs w:val="24"/>
    </w:rPr>
  </w:style>
  <w:style w:type="table" w:styleId="a7">
    <w:name w:val="Table Grid"/>
    <w:basedOn w:val="a1"/>
    <w:rsid w:val="00DA260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A260B"/>
    <w:rPr>
      <w:noProof w:val="0"/>
    </w:rPr>
  </w:style>
  <w:style w:type="paragraph" w:styleId="a9">
    <w:name w:val="List Paragraph"/>
    <w:basedOn w:val="a"/>
    <w:qFormat/>
    <w:rsid w:val="00DA260B"/>
    <w:pPr>
      <w:ind w:left="720"/>
      <w:contextualSpacing/>
    </w:pPr>
  </w:style>
  <w:style w:type="character" w:styleId="aa">
    <w:name w:val="line number"/>
    <w:rsid w:val="00DA260B"/>
  </w:style>
  <w:style w:type="character" w:styleId="Hyperlink">
    <w:name w:val="Hyperlink"/>
    <w:rsid w:val="006F5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186" TargetMode="External"/><Relationship Id="rId7" Type="http://schemas.openxmlformats.org/officeDocument/2006/relationships/hyperlink" Target="http://www.nevo.co.il/case/25692205"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14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6479435" TargetMode="External"/><Relationship Id="rId20"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7791493"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law/70301/144"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case/16913730"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2418</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14483</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7143524</vt:i4>
      </vt:variant>
      <vt:variant>
        <vt:i4>42</vt:i4>
      </vt:variant>
      <vt:variant>
        <vt:i4>0</vt:i4>
      </vt:variant>
      <vt:variant>
        <vt:i4>5</vt:i4>
      </vt:variant>
      <vt:variant>
        <vt:lpwstr>http://www.nevo.co.il/law/70301/186</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6357092</vt:i4>
      </vt:variant>
      <vt:variant>
        <vt:i4>36</vt:i4>
      </vt:variant>
      <vt:variant>
        <vt:i4>0</vt:i4>
      </vt:variant>
      <vt:variant>
        <vt:i4>5</vt:i4>
      </vt:variant>
      <vt:variant>
        <vt:lpwstr>http://www.nevo.co.il/law/70301/144</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3932273</vt:i4>
      </vt:variant>
      <vt:variant>
        <vt:i4>27</vt:i4>
      </vt:variant>
      <vt:variant>
        <vt:i4>0</vt:i4>
      </vt:variant>
      <vt:variant>
        <vt:i4>5</vt:i4>
      </vt:variant>
      <vt:variant>
        <vt:lpwstr>http://www.nevo.co.il/case/26479435</vt:lpwstr>
      </vt:variant>
      <vt:variant>
        <vt:lpwstr/>
      </vt:variant>
      <vt:variant>
        <vt:i4>3735675</vt:i4>
      </vt:variant>
      <vt:variant>
        <vt:i4>24</vt:i4>
      </vt:variant>
      <vt:variant>
        <vt:i4>0</vt:i4>
      </vt:variant>
      <vt:variant>
        <vt:i4>5</vt:i4>
      </vt:variant>
      <vt:variant>
        <vt:lpwstr>http://www.nevo.co.il/case/7791493</vt:lpwstr>
      </vt:variant>
      <vt:variant>
        <vt:lpwstr/>
      </vt:variant>
      <vt:variant>
        <vt:i4>3670132</vt:i4>
      </vt:variant>
      <vt:variant>
        <vt:i4>21</vt:i4>
      </vt:variant>
      <vt:variant>
        <vt:i4>0</vt:i4>
      </vt:variant>
      <vt:variant>
        <vt:i4>5</vt:i4>
      </vt:variant>
      <vt:variant>
        <vt:lpwstr>http://www.nevo.co.il/case/16913730</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3539066</vt:i4>
      </vt:variant>
      <vt:variant>
        <vt:i4>0</vt:i4>
      </vt:variant>
      <vt:variant>
        <vt:i4>0</vt:i4>
      </vt:variant>
      <vt:variant>
        <vt:i4>5</vt:i4>
      </vt:variant>
      <vt:variant>
        <vt:lpwstr>http://www.nevo.co.il/case/25692205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2025-01-19T17:42:00Z</dcterms:created>
  <dcterms:modified xsi:type="dcterms:W3CDTF">2025-01-19T17:42:00Z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30216</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נאג'י בן מחמד אבו עאמר</vt:lpwstr>
  </property>
  <property fmtid="{D5CDD505-2E9C-101B-9397-08002B2CF9AE}" pid="10" name="LAWYER">
    <vt:lpwstr>לימור אהרוני;עמית דויטשר</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20210420</vt:lpwstr>
  </property>
  <property fmtid="{D5CDD505-2E9C-101B-9397-08002B2CF9AE}" pid="14" name="TYPE_N_DATE">
    <vt:lpwstr>38020210420</vt:lpwstr>
  </property>
  <property fmtid="{D5CDD505-2E9C-101B-9397-08002B2CF9AE}" pid="15" name="WORDNUMPAGES">
    <vt:lpwstr>10</vt:lpwstr>
  </property>
  <property fmtid="{D5CDD505-2E9C-101B-9397-08002B2CF9AE}" pid="16" name="TYPE_ABS_DATE">
    <vt:lpwstr>380020210420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25692205;16913730;7791493;26479435</vt:lpwstr>
  </property>
  <property fmtid="{D5CDD505-2E9C-101B-9397-08002B2CF9AE}" pid="36" name="LAWLISTTMP1">
    <vt:lpwstr>70301/144.a;144:2;186</vt:lpwstr>
  </property>
</Properties>
</file>